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drawings/drawing1.xml" ContentType="application/vnd.openxmlformats-officedocument.drawingml.chartshapes+xml"/>
  <Override PartName="/word/charts/chart13.xml" ContentType="application/vnd.openxmlformats-officedocument.drawingml.chart+xml"/>
  <Override PartName="/word/theme/themeOverride8.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3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3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4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4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4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4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7.xml" ContentType="application/vnd.openxmlformats-officedocument.drawingml.chart+xml"/>
  <Override PartName="/word/charts/style37.xml" ContentType="application/vnd.ms-office.chartstyle+xml"/>
  <Override PartName="/word/charts/colors37.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bookmarkStart w:id="0" w:name="_Toc423351741" w:displacedByCustomXml="next"/>
    <w:bookmarkStart w:id="1" w:name="_Toc391466321" w:displacedByCustomXml="next"/>
    <w:sdt>
      <w:sdtPr>
        <w:id w:val="-1073897228"/>
        <w:docPartObj>
          <w:docPartGallery w:val="Cover Pages"/>
          <w:docPartUnique/>
        </w:docPartObj>
      </w:sdtPr>
      <w:sdtEndPr/>
      <w:sdtContent>
        <w:p w14:paraId="30E9B1E8" w14:textId="36F75E7C" w:rsidR="006C22EA" w:rsidRPr="00367271" w:rsidRDefault="001F484B" w:rsidP="004625D2">
          <w:pPr>
            <w:jc w:val="center"/>
            <w:rPr>
              <w:rFonts w:ascii="Comic Sans MS" w:hAnsi="Comic Sans MS"/>
              <w:b/>
              <w:color w:val="FFFFFF" w:themeColor="background1"/>
              <w:sz w:val="52"/>
              <w:szCs w:val="52"/>
            </w:rPr>
          </w:pPr>
          <w:r w:rsidRPr="00367271">
            <w:rPr>
              <w:rFonts w:ascii="Comic Sans MS" w:hAnsi="Comic Sans MS"/>
              <w:noProof/>
              <w:sz w:val="56"/>
              <w:szCs w:val="56"/>
            </w:rPr>
            <w:drawing>
              <wp:anchor distT="0" distB="0" distL="114300" distR="114300" simplePos="0" relativeHeight="251691008" behindDoc="0" locked="0" layoutInCell="1" allowOverlap="1" wp14:anchorId="7590C227" wp14:editId="61A3F00B">
                <wp:simplePos x="0" y="0"/>
                <wp:positionH relativeFrom="column">
                  <wp:posOffset>-371475</wp:posOffset>
                </wp:positionH>
                <wp:positionV relativeFrom="paragraph">
                  <wp:posOffset>171450</wp:posOffset>
                </wp:positionV>
                <wp:extent cx="2828925" cy="2476500"/>
                <wp:effectExtent l="152400" t="171450" r="161925" b="171450"/>
                <wp:wrapThrough wrapText="bothSides">
                  <wp:wrapPolygon edited="0">
                    <wp:start x="-1164" y="-1495"/>
                    <wp:lineTo x="-1164" y="22929"/>
                    <wp:lineTo x="22691" y="22929"/>
                    <wp:lineTo x="22691" y="-1495"/>
                    <wp:lineTo x="-1164" y="-1495"/>
                  </wp:wrapPolygon>
                </wp:wrapThrough>
                <wp:docPr id="38915" name="Symbol zastępczy zawartości 5" descr="_DSC229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8915" name="Symbol zastępczy zawartości 5" descr="_DSC2290.jpg"/>
                        <pic:cNvPicPr>
                          <a:picLocks noGrp="1"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8925" cy="24765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pic:spPr>
                    </pic:pic>
                  </a:graphicData>
                </a:graphic>
                <wp14:sizeRelH relativeFrom="margin">
                  <wp14:pctWidth>0</wp14:pctWidth>
                </wp14:sizeRelH>
                <wp14:sizeRelV relativeFrom="margin">
                  <wp14:pctHeight>0</wp14:pctHeight>
                </wp14:sizeRelV>
              </wp:anchor>
            </w:drawing>
          </w:r>
          <w:r w:rsidRPr="00367271">
            <w:rPr>
              <w:rFonts w:ascii="Comic Sans MS" w:hAnsi="Comic Sans MS"/>
              <w:noProof/>
              <w:sz w:val="56"/>
              <w:szCs w:val="56"/>
            </w:rPr>
            <w:drawing>
              <wp:anchor distT="0" distB="0" distL="114300" distR="114300" simplePos="0" relativeHeight="251692032" behindDoc="0" locked="0" layoutInCell="1" allowOverlap="1" wp14:anchorId="19D138ED" wp14:editId="4AF0836D">
                <wp:simplePos x="0" y="0"/>
                <wp:positionH relativeFrom="margin">
                  <wp:posOffset>2840355</wp:posOffset>
                </wp:positionH>
                <wp:positionV relativeFrom="margin">
                  <wp:posOffset>9525</wp:posOffset>
                </wp:positionV>
                <wp:extent cx="3228975" cy="2533650"/>
                <wp:effectExtent l="171450" t="171450" r="180975" b="171450"/>
                <wp:wrapSquare wrapText="bothSides"/>
                <wp:docPr id="29" name="Obraz 8" descr="_DSC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4" name="Obraz 8" descr="_DSC1041.jpg"/>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8975" cy="25336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pic:spPr>
                    </pic:pic>
                  </a:graphicData>
                </a:graphic>
              </wp:anchor>
            </w:drawing>
          </w:r>
          <w:r w:rsidR="004625D2" w:rsidRPr="00367271">
            <w:rPr>
              <w:rFonts w:ascii="Comic Sans MS" w:hAnsi="Comic Sans MS"/>
              <w:b/>
              <w:sz w:val="56"/>
              <w:szCs w:val="56"/>
            </w:rPr>
            <w:t>SPRAWOZDANIE KOŃCOWE</w:t>
          </w:r>
          <w:r w:rsidR="004625D2" w:rsidRPr="00367271">
            <w:rPr>
              <w:rFonts w:ascii="Comic Sans MS" w:hAnsi="Comic Sans MS"/>
              <w:b/>
              <w:sz w:val="40"/>
              <w:szCs w:val="40"/>
            </w:rPr>
            <w:t xml:space="preserve">                           Z WDRAŻANIA REGIONALNEGO PROGRAMU OPERACYJNEGO WOJEWÓDZTWA ŚLĄSKIEGO 2007-2013</w:t>
          </w:r>
        </w:p>
        <w:p w14:paraId="0248CC55" w14:textId="204F8F8D" w:rsidR="00572C36" w:rsidRPr="0005728F" w:rsidRDefault="001F484B" w:rsidP="00572C36">
          <w:pPr>
            <w:jc w:val="center"/>
            <w:rPr>
              <w:b/>
              <w:sz w:val="52"/>
              <w:szCs w:val="52"/>
            </w:rPr>
          </w:pPr>
          <w:r>
            <w:rPr>
              <w:noProof/>
            </w:rPr>
            <w:drawing>
              <wp:anchor distT="0" distB="0" distL="114300" distR="114300" simplePos="0" relativeHeight="251689984" behindDoc="1" locked="0" layoutInCell="1" allowOverlap="1" wp14:anchorId="67E27E06" wp14:editId="7C1C48C9">
                <wp:simplePos x="0" y="0"/>
                <wp:positionH relativeFrom="column">
                  <wp:posOffset>-423545</wp:posOffset>
                </wp:positionH>
                <wp:positionV relativeFrom="paragraph">
                  <wp:posOffset>-1270</wp:posOffset>
                </wp:positionV>
                <wp:extent cx="2880995" cy="2543175"/>
                <wp:effectExtent l="133350" t="114300" r="128905" b="161925"/>
                <wp:wrapNone/>
                <wp:docPr id="4198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6" name="Obraz 6"/>
                        <pic:cNvPicPr>
                          <a:picLocks noChangeAspect="1"/>
                        </pic:cNvPicPr>
                      </pic:nvPicPr>
                      <pic:blipFill>
                        <a:blip r:embed="rId11">
                          <a:extLst>
                            <a:ext uri="{28A0092B-C50C-407E-A947-70E740481C1C}">
                              <a14:useLocalDpi xmlns:a14="http://schemas.microsoft.com/office/drawing/2010/main" val="0"/>
                            </a:ext>
                          </a:extLst>
                        </a:blip>
                        <a:srcRect t="10255" b="10255"/>
                        <a:stretch>
                          <a:fillRect/>
                        </a:stretch>
                      </pic:blipFill>
                      <pic:spPr bwMode="auto">
                        <a:xfrm>
                          <a:off x="0" y="0"/>
                          <a:ext cx="2880995" cy="25431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14:sizeRelH relativeFrom="page">
                  <wp14:pctWidth>0</wp14:pctWidth>
                </wp14:sizeRelH>
                <wp14:sizeRelV relativeFrom="page">
                  <wp14:pctHeight>0</wp14:pctHeight>
                </wp14:sizeRelV>
              </wp:anchor>
            </w:drawing>
          </w:r>
          <w:r w:rsidRPr="000E197A">
            <w:rPr>
              <w:noProof/>
              <w:color w:val="FFFFFF" w:themeColor="background1"/>
            </w:rPr>
            <w:drawing>
              <wp:anchor distT="0" distB="0" distL="114300" distR="114300" simplePos="0" relativeHeight="251687936" behindDoc="1" locked="0" layoutInCell="1" allowOverlap="1" wp14:anchorId="0547599A" wp14:editId="2742E213">
                <wp:simplePos x="0" y="0"/>
                <wp:positionH relativeFrom="column">
                  <wp:posOffset>2986405</wp:posOffset>
                </wp:positionH>
                <wp:positionV relativeFrom="paragraph">
                  <wp:posOffset>-1270</wp:posOffset>
                </wp:positionV>
                <wp:extent cx="2979420" cy="2657475"/>
                <wp:effectExtent l="133350" t="114300" r="106680" b="161925"/>
                <wp:wrapNone/>
                <wp:docPr id="22531" name="Obraz 7"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1" name="Obraz 7" descr=".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9420" cy="2657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14:sizeRelH relativeFrom="page">
                  <wp14:pctWidth>0</wp14:pctWidth>
                </wp14:sizeRelH>
                <wp14:sizeRelV relativeFrom="page">
                  <wp14:pctHeight>0</wp14:pctHeight>
                </wp14:sizeRelV>
              </wp:anchor>
            </w:drawing>
          </w:r>
        </w:p>
        <w:p w14:paraId="223AD4D3" w14:textId="77777777" w:rsidR="00572C36" w:rsidRPr="0005728F" w:rsidRDefault="00572C36" w:rsidP="00572C36"/>
        <w:p w14:paraId="46036530" w14:textId="77777777" w:rsidR="00572C36" w:rsidRPr="0005728F" w:rsidRDefault="00572C36" w:rsidP="00572C36"/>
        <w:p w14:paraId="0B4DC7AB" w14:textId="77777777" w:rsidR="00572C36" w:rsidRPr="0005728F" w:rsidRDefault="00572C36" w:rsidP="00572C36"/>
        <w:p w14:paraId="59C6B9C6" w14:textId="77777777" w:rsidR="00572C36" w:rsidRPr="0005728F" w:rsidRDefault="00572C36" w:rsidP="00572C36">
          <w:pPr>
            <w:autoSpaceDE w:val="0"/>
            <w:autoSpaceDN w:val="0"/>
            <w:adjustRightInd w:val="0"/>
            <w:spacing w:after="0" w:line="240" w:lineRule="auto"/>
            <w:rPr>
              <w:rFonts w:eastAsia="Calibri"/>
              <w:szCs w:val="24"/>
            </w:rPr>
          </w:pPr>
        </w:p>
        <w:p w14:paraId="37D1C5DC" w14:textId="77777777" w:rsidR="00572C36" w:rsidRPr="0005728F" w:rsidRDefault="00572C36" w:rsidP="00572C36">
          <w:pPr>
            <w:autoSpaceDE w:val="0"/>
            <w:autoSpaceDN w:val="0"/>
            <w:adjustRightInd w:val="0"/>
            <w:spacing w:after="0" w:line="240" w:lineRule="auto"/>
            <w:jc w:val="center"/>
            <w:rPr>
              <w:rFonts w:eastAsia="Calibri"/>
              <w:szCs w:val="24"/>
            </w:rPr>
          </w:pPr>
        </w:p>
        <w:p w14:paraId="05A0561A" w14:textId="77777777" w:rsidR="00572C36" w:rsidRPr="0005728F" w:rsidRDefault="00572C36" w:rsidP="00572C36">
          <w:pPr>
            <w:autoSpaceDE w:val="0"/>
            <w:autoSpaceDN w:val="0"/>
            <w:adjustRightInd w:val="0"/>
            <w:spacing w:after="0" w:line="240" w:lineRule="auto"/>
            <w:jc w:val="center"/>
            <w:rPr>
              <w:rFonts w:eastAsia="Calibri"/>
              <w:szCs w:val="24"/>
            </w:rPr>
          </w:pPr>
        </w:p>
        <w:p w14:paraId="7B57432F" w14:textId="77777777" w:rsidR="00572C36" w:rsidRPr="0005728F" w:rsidRDefault="00572C36" w:rsidP="004625D2">
          <w:pPr>
            <w:autoSpaceDE w:val="0"/>
            <w:autoSpaceDN w:val="0"/>
            <w:adjustRightInd w:val="0"/>
            <w:spacing w:after="0" w:line="240" w:lineRule="auto"/>
            <w:rPr>
              <w:rFonts w:eastAsia="Calibri"/>
              <w:szCs w:val="24"/>
            </w:rPr>
          </w:pPr>
        </w:p>
        <w:p w14:paraId="5DB94C65" w14:textId="77777777" w:rsidR="00572C36" w:rsidRPr="0005728F" w:rsidRDefault="00572C36" w:rsidP="00572C36">
          <w:pPr>
            <w:autoSpaceDE w:val="0"/>
            <w:autoSpaceDN w:val="0"/>
            <w:adjustRightInd w:val="0"/>
            <w:spacing w:after="0" w:line="240" w:lineRule="auto"/>
            <w:jc w:val="center"/>
            <w:rPr>
              <w:rFonts w:eastAsia="Calibri"/>
              <w:szCs w:val="24"/>
            </w:rPr>
          </w:pPr>
        </w:p>
        <w:p w14:paraId="72F50431" w14:textId="77777777" w:rsidR="00572C36" w:rsidRPr="0005728F" w:rsidRDefault="00572C36" w:rsidP="006C22EA">
          <w:pPr>
            <w:autoSpaceDE w:val="0"/>
            <w:autoSpaceDN w:val="0"/>
            <w:adjustRightInd w:val="0"/>
            <w:spacing w:after="0" w:line="240" w:lineRule="auto"/>
            <w:rPr>
              <w:rFonts w:eastAsia="Calibri"/>
              <w:szCs w:val="24"/>
            </w:rPr>
          </w:pPr>
        </w:p>
        <w:p w14:paraId="018A32E9" w14:textId="77777777" w:rsidR="007F5CC8" w:rsidRDefault="007F5CC8" w:rsidP="001F484B">
          <w:pPr>
            <w:autoSpaceDE w:val="0"/>
            <w:autoSpaceDN w:val="0"/>
            <w:adjustRightInd w:val="0"/>
            <w:spacing w:after="0" w:line="240" w:lineRule="auto"/>
            <w:rPr>
              <w:rFonts w:eastAsia="Calibri"/>
              <w:b/>
              <w:szCs w:val="24"/>
            </w:rPr>
          </w:pPr>
        </w:p>
        <w:p w14:paraId="2F08A515" w14:textId="77777777" w:rsidR="007F5CC8" w:rsidRDefault="007F5CC8" w:rsidP="00367271">
          <w:pPr>
            <w:autoSpaceDE w:val="0"/>
            <w:autoSpaceDN w:val="0"/>
            <w:adjustRightInd w:val="0"/>
            <w:spacing w:after="0" w:line="240" w:lineRule="auto"/>
            <w:rPr>
              <w:rFonts w:eastAsia="Calibri"/>
              <w:b/>
              <w:szCs w:val="24"/>
            </w:rPr>
          </w:pPr>
        </w:p>
        <w:p w14:paraId="5839348A" w14:textId="747A0D56" w:rsidR="00572C36" w:rsidRPr="00367271" w:rsidRDefault="00572C36">
          <w:pPr>
            <w:autoSpaceDE w:val="0"/>
            <w:autoSpaceDN w:val="0"/>
            <w:adjustRightInd w:val="0"/>
            <w:spacing w:after="0" w:line="240" w:lineRule="auto"/>
            <w:jc w:val="center"/>
            <w:rPr>
              <w:rFonts w:eastAsia="Calibri"/>
              <w:b/>
              <w:sz w:val="20"/>
              <w:szCs w:val="20"/>
            </w:rPr>
          </w:pPr>
          <w:r w:rsidRPr="00367271">
            <w:rPr>
              <w:rFonts w:eastAsia="Calibri"/>
              <w:b/>
              <w:sz w:val="20"/>
              <w:szCs w:val="20"/>
            </w:rPr>
            <w:t>Instytucja Zarządzająca RPO WSL</w:t>
          </w:r>
          <w:r w:rsidR="00951D3C" w:rsidRPr="00367271">
            <w:rPr>
              <w:rFonts w:eastAsia="Calibri"/>
              <w:b/>
              <w:sz w:val="20"/>
              <w:szCs w:val="20"/>
            </w:rPr>
            <w:t xml:space="preserve"> 2007-2013</w:t>
          </w:r>
        </w:p>
        <w:p w14:paraId="25A18659" w14:textId="67F1C597" w:rsidR="00572C36" w:rsidRPr="00367271" w:rsidRDefault="00572C36">
          <w:pPr>
            <w:autoSpaceDE w:val="0"/>
            <w:autoSpaceDN w:val="0"/>
            <w:adjustRightInd w:val="0"/>
            <w:spacing w:after="0" w:line="240" w:lineRule="auto"/>
            <w:jc w:val="center"/>
            <w:rPr>
              <w:rFonts w:eastAsia="Calibri"/>
              <w:b/>
              <w:sz w:val="20"/>
              <w:szCs w:val="20"/>
            </w:rPr>
          </w:pPr>
          <w:r w:rsidRPr="00367271">
            <w:rPr>
              <w:rFonts w:eastAsia="Calibri"/>
              <w:b/>
              <w:sz w:val="20"/>
              <w:szCs w:val="20"/>
            </w:rPr>
            <w:t>Urząd Marszałkowski Województwa Śląskiego</w:t>
          </w:r>
        </w:p>
        <w:p w14:paraId="64958D8B" w14:textId="77CBCF1C" w:rsidR="00572C36" w:rsidRPr="0005728F" w:rsidRDefault="00572C36">
          <w:pPr>
            <w:jc w:val="center"/>
            <w:rPr>
              <w:b/>
              <w:szCs w:val="24"/>
            </w:rPr>
          </w:pPr>
          <w:r w:rsidRPr="00367271">
            <w:rPr>
              <w:rFonts w:eastAsia="Calibri"/>
              <w:b/>
              <w:sz w:val="20"/>
              <w:szCs w:val="20"/>
            </w:rPr>
            <w:t>Katowice,</w:t>
          </w:r>
          <w:r w:rsidR="00951D3C" w:rsidRPr="00367271">
            <w:rPr>
              <w:rFonts w:eastAsia="Calibri"/>
              <w:b/>
              <w:sz w:val="20"/>
              <w:szCs w:val="20"/>
            </w:rPr>
            <w:t xml:space="preserve"> </w:t>
          </w:r>
          <w:r w:rsidR="00E53D93" w:rsidRPr="00367271">
            <w:rPr>
              <w:rFonts w:eastAsia="Calibri"/>
              <w:b/>
              <w:sz w:val="20"/>
              <w:szCs w:val="20"/>
            </w:rPr>
            <w:t xml:space="preserve">marzec </w:t>
          </w:r>
          <w:r w:rsidR="00951D3C" w:rsidRPr="00367271">
            <w:rPr>
              <w:rFonts w:eastAsia="Calibri"/>
              <w:b/>
              <w:sz w:val="20"/>
              <w:szCs w:val="20"/>
            </w:rPr>
            <w:t>2017 r.</w:t>
          </w:r>
          <w:r w:rsidRPr="0005728F">
            <w:br w:type="page"/>
          </w:r>
        </w:p>
        <w:p w14:paraId="4DCACA32" w14:textId="77777777" w:rsidR="001F484B" w:rsidRDefault="004361E1" w:rsidP="00367271">
          <w:pPr>
            <w:spacing w:after="120" w:line="240" w:lineRule="auto"/>
          </w:pPr>
        </w:p>
      </w:sdtContent>
    </w:sdt>
    <w:p w14:paraId="37AD1E5C" w14:textId="2E7EB3F7" w:rsidR="00313B11" w:rsidRPr="0080514C" w:rsidRDefault="00D8557C" w:rsidP="00367271">
      <w:pPr>
        <w:spacing w:after="120" w:line="240" w:lineRule="auto"/>
      </w:pPr>
      <w:r w:rsidRPr="00367271">
        <w:rPr>
          <w:b/>
        </w:rPr>
        <w:t>WSTĘP</w:t>
      </w:r>
      <w:bookmarkEnd w:id="0"/>
    </w:p>
    <w:p w14:paraId="3D159793" w14:textId="43D61B81" w:rsidR="0094320D" w:rsidRDefault="005156EE" w:rsidP="005156EE">
      <w:pPr>
        <w:pStyle w:val="Default"/>
        <w:spacing w:after="120" w:line="276" w:lineRule="auto"/>
        <w:jc w:val="both"/>
        <w:rPr>
          <w:rFonts w:eastAsia="Calibri"/>
        </w:rPr>
      </w:pPr>
      <w:r w:rsidRPr="005156EE">
        <w:rPr>
          <w:i/>
        </w:rPr>
        <w:t xml:space="preserve">Sprawozdanie końcowe </w:t>
      </w:r>
      <w:r w:rsidR="0094320D" w:rsidRPr="005156EE">
        <w:rPr>
          <w:i/>
        </w:rPr>
        <w:t xml:space="preserve">z </w:t>
      </w:r>
      <w:r>
        <w:rPr>
          <w:i/>
        </w:rPr>
        <w:t xml:space="preserve">wdrażania </w:t>
      </w:r>
      <w:r w:rsidR="0094320D" w:rsidRPr="005156EE">
        <w:rPr>
          <w:i/>
        </w:rPr>
        <w:t>RPO WSL</w:t>
      </w:r>
      <w:r w:rsidR="00534451">
        <w:rPr>
          <w:i/>
        </w:rPr>
        <w:t xml:space="preserve"> 2007-2013 (Sprawozdanie</w:t>
      </w:r>
      <w:r w:rsidR="00A40B54">
        <w:rPr>
          <w:i/>
        </w:rPr>
        <w:t>)</w:t>
      </w:r>
      <w:r w:rsidR="0094320D" w:rsidRPr="0094320D">
        <w:t xml:space="preserve"> stanowi po</w:t>
      </w:r>
      <w:r>
        <w:t xml:space="preserve">dsumowanie wdrażania </w:t>
      </w:r>
      <w:r w:rsidRPr="00367271">
        <w:rPr>
          <w:i/>
        </w:rPr>
        <w:t>Programu</w:t>
      </w:r>
      <w:r>
        <w:t xml:space="preserve"> w </w:t>
      </w:r>
      <w:r w:rsidR="0094320D" w:rsidRPr="0094320D">
        <w:t>całym okresie jego realizacji</w:t>
      </w:r>
      <w:r w:rsidR="00572C36">
        <w:rPr>
          <w:rFonts w:eastAsia="Calibri"/>
        </w:rPr>
        <w:t>.</w:t>
      </w:r>
      <w:r>
        <w:rPr>
          <w:rFonts w:eastAsia="Calibri"/>
        </w:rPr>
        <w:t xml:space="preserve"> </w:t>
      </w:r>
      <w:r w:rsidRPr="00367271">
        <w:rPr>
          <w:rFonts w:eastAsia="Calibri"/>
          <w:i/>
        </w:rPr>
        <w:t>Sprawozdanie</w:t>
      </w:r>
      <w:r w:rsidR="00534451">
        <w:rPr>
          <w:rFonts w:eastAsia="Calibri"/>
        </w:rPr>
        <w:t xml:space="preserve"> </w:t>
      </w:r>
      <w:r w:rsidR="00534451" w:rsidRPr="00367271">
        <w:rPr>
          <w:rFonts w:eastAsia="Calibri"/>
          <w:i/>
        </w:rPr>
        <w:t>końcowe</w:t>
      </w:r>
      <w:r>
        <w:rPr>
          <w:rFonts w:eastAsia="Calibri"/>
        </w:rPr>
        <w:t xml:space="preserve"> zostało przygotowane </w:t>
      </w:r>
      <w:r w:rsidR="00482B35">
        <w:rPr>
          <w:rFonts w:eastAsia="Calibri"/>
        </w:rPr>
        <w:t>przez Zarząd Województwa</w:t>
      </w:r>
      <w:r w:rsidR="006C22EA">
        <w:rPr>
          <w:rFonts w:eastAsia="Calibri"/>
        </w:rPr>
        <w:t xml:space="preserve"> </w:t>
      </w:r>
      <w:r w:rsidR="008F3ED9">
        <w:rPr>
          <w:rFonts w:eastAsia="Calibri"/>
        </w:rPr>
        <w:t>Śląskiego</w:t>
      </w:r>
      <w:r w:rsidR="00482B35">
        <w:rPr>
          <w:rFonts w:eastAsia="Calibri"/>
        </w:rPr>
        <w:t>, pełniącego</w:t>
      </w:r>
      <w:r>
        <w:rPr>
          <w:rFonts w:eastAsia="Calibri"/>
        </w:rPr>
        <w:t xml:space="preserve"> funkcję Instytucji Zarządzającej</w:t>
      </w:r>
      <w:r w:rsidR="00482B35">
        <w:rPr>
          <w:rFonts w:eastAsia="Calibri"/>
        </w:rPr>
        <w:t xml:space="preserve"> RPO WSL</w:t>
      </w:r>
      <w:r>
        <w:rPr>
          <w:rFonts w:eastAsia="Calibri"/>
        </w:rPr>
        <w:t xml:space="preserve">. </w:t>
      </w:r>
    </w:p>
    <w:p w14:paraId="127ABFED" w14:textId="7BBF8CE4" w:rsidR="005156EE" w:rsidRDefault="005156EE" w:rsidP="005156EE">
      <w:pPr>
        <w:tabs>
          <w:tab w:val="num" w:pos="1080"/>
        </w:tabs>
        <w:spacing w:before="120" w:after="120"/>
        <w:jc w:val="both"/>
        <w:rPr>
          <w:i/>
        </w:rPr>
      </w:pPr>
      <w:r w:rsidRPr="005156EE">
        <w:rPr>
          <w:rFonts w:eastAsia="Calibri"/>
        </w:rPr>
        <w:t xml:space="preserve">Obowiązek sporządzenia sprawozdania końcowego z wdrażania RPO WSL wynika z </w:t>
      </w:r>
      <w:r w:rsidRPr="005156EE">
        <w:rPr>
          <w:i/>
        </w:rPr>
        <w:t>art. 67 rozporządzenia nr 1083/2006</w:t>
      </w:r>
      <w:r w:rsidRPr="005156EE">
        <w:t xml:space="preserve"> oraz z </w:t>
      </w:r>
      <w:r w:rsidRPr="005156EE">
        <w:rPr>
          <w:i/>
        </w:rPr>
        <w:t>rozdział</w:t>
      </w:r>
      <w:r w:rsidR="008F3ED9">
        <w:rPr>
          <w:i/>
        </w:rPr>
        <w:t>u</w:t>
      </w:r>
      <w:r w:rsidRPr="005156EE">
        <w:rPr>
          <w:i/>
        </w:rPr>
        <w:t xml:space="preserve"> 5.2 „Końcowe sprawozdanie z realizacji” Wytycznych w sprawie zamknięcia programów 2007–2013 (decyzja komisji C(2013) 1573 </w:t>
      </w:r>
      <w:r>
        <w:rPr>
          <w:i/>
        </w:rPr>
        <w:t>z </w:t>
      </w:r>
      <w:r w:rsidR="006C22EA">
        <w:rPr>
          <w:i/>
        </w:rPr>
        <w:t xml:space="preserve">dnia 20 marca </w:t>
      </w:r>
      <w:r w:rsidR="00482B35">
        <w:rPr>
          <w:i/>
        </w:rPr>
        <w:t>2013 roku</w:t>
      </w:r>
      <w:r w:rsidRPr="005156EE">
        <w:rPr>
          <w:i/>
        </w:rPr>
        <w:t>).</w:t>
      </w:r>
    </w:p>
    <w:p w14:paraId="30C566DB" w14:textId="6C3C1317" w:rsidR="005156EE" w:rsidRDefault="005156EE" w:rsidP="005156EE">
      <w:pPr>
        <w:tabs>
          <w:tab w:val="num" w:pos="1080"/>
        </w:tabs>
        <w:spacing w:before="120" w:after="120"/>
        <w:jc w:val="both"/>
      </w:pPr>
      <w:r>
        <w:rPr>
          <w:i/>
        </w:rPr>
        <w:t xml:space="preserve">Sprawozdanie końcowe </w:t>
      </w:r>
      <w:r w:rsidRPr="005156EE">
        <w:t xml:space="preserve">obejmuje okres od 1 stycznia 2007 r. </w:t>
      </w:r>
      <w:r w:rsidR="00482B35">
        <w:t>do 31 grudnia 2016 roku i </w:t>
      </w:r>
      <w:r w:rsidRPr="005156EE">
        <w:t xml:space="preserve">zostało sporządzone w </w:t>
      </w:r>
      <w:r>
        <w:t>oparciu o:</w:t>
      </w:r>
    </w:p>
    <w:p w14:paraId="5FC5A958" w14:textId="582B636A" w:rsidR="00482B35" w:rsidRDefault="00482B35" w:rsidP="004914D8">
      <w:pPr>
        <w:pStyle w:val="Akapitzlist"/>
        <w:numPr>
          <w:ilvl w:val="0"/>
          <w:numId w:val="49"/>
        </w:numPr>
        <w:spacing w:after="0"/>
        <w:jc w:val="both"/>
        <w:rPr>
          <w:szCs w:val="24"/>
        </w:rPr>
      </w:pPr>
      <w:r>
        <w:rPr>
          <w:szCs w:val="24"/>
        </w:rPr>
        <w:t xml:space="preserve">przekazane przez IP2 RPO WSL sprawozdanie </w:t>
      </w:r>
      <w:r w:rsidR="00936A9C">
        <w:rPr>
          <w:szCs w:val="24"/>
        </w:rPr>
        <w:t>końcowe</w:t>
      </w:r>
      <w:r w:rsidRPr="00313B11">
        <w:rPr>
          <w:szCs w:val="24"/>
        </w:rPr>
        <w:t xml:space="preserve"> </w:t>
      </w:r>
      <w:r>
        <w:rPr>
          <w:szCs w:val="24"/>
        </w:rPr>
        <w:t>z realizacji wdrażanych działania i poddziałań,</w:t>
      </w:r>
    </w:p>
    <w:p w14:paraId="3CFE7A33" w14:textId="77777777" w:rsidR="00482B35" w:rsidRDefault="00482B35" w:rsidP="004914D8">
      <w:pPr>
        <w:pStyle w:val="Akapitzlist"/>
        <w:numPr>
          <w:ilvl w:val="0"/>
          <w:numId w:val="49"/>
        </w:numPr>
        <w:spacing w:after="0"/>
        <w:jc w:val="both"/>
        <w:rPr>
          <w:szCs w:val="24"/>
        </w:rPr>
      </w:pPr>
      <w:r>
        <w:rPr>
          <w:szCs w:val="24"/>
        </w:rPr>
        <w:t>badań ewaluacyjnych zleconych przez IZ RPO WSL,</w:t>
      </w:r>
    </w:p>
    <w:p w14:paraId="09A2B938" w14:textId="77777777" w:rsidR="00482B35" w:rsidRDefault="00482B35" w:rsidP="004914D8">
      <w:pPr>
        <w:pStyle w:val="Akapitzlist"/>
        <w:numPr>
          <w:ilvl w:val="0"/>
          <w:numId w:val="49"/>
        </w:numPr>
        <w:spacing w:after="0"/>
        <w:jc w:val="both"/>
        <w:rPr>
          <w:szCs w:val="24"/>
        </w:rPr>
      </w:pPr>
      <w:r>
        <w:rPr>
          <w:szCs w:val="24"/>
        </w:rPr>
        <w:t>analiz opracowanych</w:t>
      </w:r>
      <w:r w:rsidRPr="00D8557C">
        <w:rPr>
          <w:szCs w:val="24"/>
        </w:rPr>
        <w:t xml:space="preserve"> przez Instytucje Za</w:t>
      </w:r>
      <w:r>
        <w:rPr>
          <w:szCs w:val="24"/>
        </w:rPr>
        <w:t>rządzającą RPO WSL,</w:t>
      </w:r>
    </w:p>
    <w:p w14:paraId="42A83FC8" w14:textId="77777777" w:rsidR="00482B35" w:rsidRPr="00D8557C" w:rsidRDefault="00482B35" w:rsidP="004914D8">
      <w:pPr>
        <w:pStyle w:val="Akapitzlist"/>
        <w:numPr>
          <w:ilvl w:val="0"/>
          <w:numId w:val="49"/>
        </w:numPr>
        <w:spacing w:after="0"/>
        <w:jc w:val="both"/>
        <w:rPr>
          <w:szCs w:val="24"/>
        </w:rPr>
      </w:pPr>
      <w:r>
        <w:rPr>
          <w:szCs w:val="24"/>
          <w:lang w:val="en-US"/>
        </w:rPr>
        <w:t>Krajowy</w:t>
      </w:r>
      <w:r w:rsidRPr="00D8557C">
        <w:rPr>
          <w:szCs w:val="24"/>
          <w:lang w:val="en-US"/>
        </w:rPr>
        <w:t xml:space="preserve"> System</w:t>
      </w:r>
      <w:r>
        <w:rPr>
          <w:szCs w:val="24"/>
          <w:lang w:val="en-US"/>
        </w:rPr>
        <w:t xml:space="preserve"> Informatyczny</w:t>
      </w:r>
      <w:r w:rsidRPr="00D8557C">
        <w:rPr>
          <w:szCs w:val="24"/>
          <w:lang w:val="en-US"/>
        </w:rPr>
        <w:t xml:space="preserve"> (SIMIK 07-13), </w:t>
      </w:r>
    </w:p>
    <w:p w14:paraId="4BA3BC77" w14:textId="77777777" w:rsidR="00482B35" w:rsidRPr="00D8557C" w:rsidRDefault="00482B35" w:rsidP="004914D8">
      <w:pPr>
        <w:pStyle w:val="Akapitzlist"/>
        <w:numPr>
          <w:ilvl w:val="0"/>
          <w:numId w:val="49"/>
        </w:numPr>
        <w:spacing w:after="120"/>
        <w:ind w:left="714" w:hanging="357"/>
        <w:jc w:val="both"/>
        <w:rPr>
          <w:szCs w:val="24"/>
        </w:rPr>
      </w:pPr>
      <w:r>
        <w:rPr>
          <w:szCs w:val="24"/>
          <w:lang w:val="en-US"/>
        </w:rPr>
        <w:t>Lokalny System Informatyczny (LSI).</w:t>
      </w:r>
    </w:p>
    <w:p w14:paraId="19B70706" w14:textId="15C6E64C" w:rsidR="00231EBB" w:rsidRDefault="00231EBB" w:rsidP="005156EE">
      <w:pPr>
        <w:pStyle w:val="Default"/>
        <w:spacing w:line="276" w:lineRule="auto"/>
        <w:jc w:val="both"/>
        <w:rPr>
          <w:rFonts w:eastAsia="Calibri"/>
        </w:rPr>
      </w:pPr>
    </w:p>
    <w:p w14:paraId="759F5897" w14:textId="7875F150" w:rsidR="00D8557C" w:rsidRPr="0094320D" w:rsidRDefault="00D8557C" w:rsidP="0094320D">
      <w:pPr>
        <w:spacing w:after="0"/>
        <w:jc w:val="both"/>
        <w:rPr>
          <w:szCs w:val="24"/>
        </w:rPr>
      </w:pPr>
      <w:r w:rsidRPr="0094320D">
        <w:rPr>
          <w:szCs w:val="24"/>
        </w:rPr>
        <w:br w:type="page"/>
      </w:r>
    </w:p>
    <w:p w14:paraId="7D169096" w14:textId="70A76410" w:rsidR="00313B11" w:rsidRPr="0094320D" w:rsidRDefault="00313B11" w:rsidP="0094320D">
      <w:pPr>
        <w:jc w:val="both"/>
        <w:rPr>
          <w:szCs w:val="24"/>
        </w:rPr>
      </w:pPr>
    </w:p>
    <w:p w14:paraId="65B5D4E2" w14:textId="77777777" w:rsidR="000752E6" w:rsidRPr="0005728F" w:rsidRDefault="000752E6" w:rsidP="0005728F">
      <w:pPr>
        <w:pStyle w:val="Nagwek1"/>
        <w:numPr>
          <w:ilvl w:val="0"/>
          <w:numId w:val="22"/>
        </w:numPr>
        <w:spacing w:after="120"/>
        <w:ind w:left="357" w:hanging="357"/>
        <w:jc w:val="both"/>
        <w:rPr>
          <w:szCs w:val="24"/>
        </w:rPr>
      </w:pPr>
      <w:bookmarkStart w:id="2" w:name="_Toc423351742"/>
      <w:bookmarkStart w:id="3" w:name="_Toc477779732"/>
      <w:r w:rsidRPr="0005728F">
        <w:rPr>
          <w:szCs w:val="24"/>
        </w:rPr>
        <w:t xml:space="preserve">INFORMACJE </w:t>
      </w:r>
      <w:r w:rsidR="007E12FA" w:rsidRPr="0005728F">
        <w:rPr>
          <w:szCs w:val="24"/>
        </w:rPr>
        <w:t>WSTĘPNE</w:t>
      </w:r>
      <w:bookmarkEnd w:id="2"/>
      <w:bookmarkEnd w:id="3"/>
      <w:bookmarkEnd w:id="1"/>
    </w:p>
    <w:p w14:paraId="444ACC7A" w14:textId="21DA5886" w:rsidR="00231EBB" w:rsidRDefault="00231EBB" w:rsidP="00231EBB">
      <w:pPr>
        <w:jc w:val="both"/>
        <w:rPr>
          <w:i/>
        </w:rPr>
      </w:pPr>
      <w:r>
        <w:rPr>
          <w:i/>
          <w:iCs/>
          <w:szCs w:val="24"/>
        </w:rPr>
        <w:t>Sprawozdanie</w:t>
      </w:r>
      <w:r w:rsidR="00AF77BA">
        <w:rPr>
          <w:i/>
          <w:iCs/>
          <w:szCs w:val="24"/>
        </w:rPr>
        <w:t xml:space="preserve"> końcowe</w:t>
      </w:r>
      <w:r w:rsidRPr="00231EBB">
        <w:rPr>
          <w:i/>
          <w:iCs/>
          <w:szCs w:val="24"/>
        </w:rPr>
        <w:t xml:space="preserve"> z realizacji </w:t>
      </w:r>
      <w:r>
        <w:rPr>
          <w:i/>
          <w:iCs/>
          <w:szCs w:val="24"/>
        </w:rPr>
        <w:t>RPO WSL 2007-2013</w:t>
      </w:r>
      <w:r w:rsidRPr="00231EBB">
        <w:rPr>
          <w:i/>
          <w:iCs/>
          <w:szCs w:val="24"/>
        </w:rPr>
        <w:t xml:space="preserve"> </w:t>
      </w:r>
      <w:r w:rsidR="00676832">
        <w:rPr>
          <w:szCs w:val="24"/>
        </w:rPr>
        <w:t>jest przedkładane</w:t>
      </w:r>
      <w:r w:rsidRPr="00231EBB">
        <w:rPr>
          <w:szCs w:val="24"/>
        </w:rPr>
        <w:t xml:space="preserve"> Komisji Europejskiej po wcześniejszym zatwierdzeniu przez Komitet Monitorujący, </w:t>
      </w:r>
      <w:r w:rsidR="00482B35">
        <w:rPr>
          <w:szCs w:val="24"/>
        </w:rPr>
        <w:t>zgodnie z</w:t>
      </w:r>
      <w:r w:rsidR="00482B35" w:rsidRPr="00231EBB">
        <w:rPr>
          <w:szCs w:val="24"/>
        </w:rPr>
        <w:t xml:space="preserve"> art</w:t>
      </w:r>
      <w:r w:rsidR="00482B35" w:rsidRPr="005156EE">
        <w:rPr>
          <w:i/>
        </w:rPr>
        <w:t>.</w:t>
      </w:r>
      <w:r w:rsidR="00482B35">
        <w:rPr>
          <w:i/>
        </w:rPr>
        <w:t xml:space="preserve"> 65 i </w:t>
      </w:r>
      <w:r w:rsidR="00482B35" w:rsidRPr="005156EE">
        <w:rPr>
          <w:i/>
        </w:rPr>
        <w:t>67 rozporządzenia nr 1083/2006</w:t>
      </w:r>
      <w:r w:rsidR="00482B35">
        <w:rPr>
          <w:i/>
        </w:rPr>
        <w:t>.</w:t>
      </w:r>
    </w:p>
    <w:tbl>
      <w:tblPr>
        <w:tblStyle w:val="redniasiatka2akcent1"/>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1838"/>
        <w:gridCol w:w="8080"/>
      </w:tblGrid>
      <w:tr w:rsidR="0005728F" w:rsidRPr="00E97B31" w14:paraId="60B2B65E" w14:textId="77777777" w:rsidTr="00157A26">
        <w:trPr>
          <w:cnfStyle w:val="000000100000" w:firstRow="0" w:lastRow="0" w:firstColumn="0" w:lastColumn="0" w:oddVBand="0" w:evenVBand="0" w:oddHBand="1" w:evenHBand="0" w:firstRowFirstColumn="0" w:firstRowLastColumn="0" w:lastRowFirstColumn="0" w:lastRowLastColumn="0"/>
          <w:trHeight w:hRule="exact" w:val="717"/>
          <w:jc w:val="center"/>
        </w:trPr>
        <w:tc>
          <w:tcPr>
            <w:cnfStyle w:val="000010000000" w:firstRow="0" w:lastRow="0" w:firstColumn="0" w:lastColumn="0" w:oddVBand="1" w:evenVBand="0" w:oddHBand="0" w:evenHBand="0" w:firstRowFirstColumn="0" w:firstRowLastColumn="0" w:lastRowFirstColumn="0" w:lastRowLastColumn="0"/>
            <w:tcW w:w="1838" w:type="dxa"/>
            <w:vMerge w:val="restart"/>
            <w:tcBorders>
              <w:right w:val="none" w:sz="0" w:space="0" w:color="auto"/>
            </w:tcBorders>
            <w:shd w:val="clear" w:color="auto" w:fill="92D050"/>
            <w:vAlign w:val="center"/>
          </w:tcPr>
          <w:p w14:paraId="1D8B8414" w14:textId="79B7C223" w:rsidR="0005728F" w:rsidRPr="00367271" w:rsidRDefault="0005728F" w:rsidP="00046D74">
            <w:pPr>
              <w:widowControl w:val="0"/>
              <w:autoSpaceDE w:val="0"/>
              <w:autoSpaceDN w:val="0"/>
              <w:adjustRightInd w:val="0"/>
              <w:spacing w:after="0"/>
              <w:ind w:left="102" w:right="-20"/>
              <w:jc w:val="center"/>
              <w:rPr>
                <w:rFonts w:cs="Times New Roman"/>
                <w:b/>
                <w:szCs w:val="24"/>
              </w:rPr>
            </w:pPr>
            <w:r w:rsidRPr="00367271">
              <w:rPr>
                <w:b/>
                <w:spacing w:val="2"/>
                <w:szCs w:val="24"/>
              </w:rPr>
              <w:t>RPO WSL 2007-2013</w:t>
            </w:r>
          </w:p>
          <w:p w14:paraId="61534BB9" w14:textId="4490D39A" w:rsidR="0005728F" w:rsidRPr="00367271" w:rsidRDefault="0005728F" w:rsidP="00046D74">
            <w:pPr>
              <w:widowControl w:val="0"/>
              <w:autoSpaceDE w:val="0"/>
              <w:autoSpaceDN w:val="0"/>
              <w:adjustRightInd w:val="0"/>
              <w:spacing w:after="0"/>
              <w:ind w:left="102" w:right="-20"/>
              <w:jc w:val="both"/>
              <w:rPr>
                <w:rFonts w:cs="Times New Roman"/>
                <w:b/>
                <w:szCs w:val="24"/>
              </w:rPr>
            </w:pPr>
          </w:p>
        </w:tc>
        <w:tc>
          <w:tcPr>
            <w:tcW w:w="8080" w:type="dxa"/>
            <w:tcBorders>
              <w:left w:val="none" w:sz="0" w:space="0" w:color="auto"/>
            </w:tcBorders>
            <w:shd w:val="clear" w:color="auto" w:fill="FFFFFF" w:themeFill="background1"/>
            <w:vAlign w:val="center"/>
          </w:tcPr>
          <w:p w14:paraId="538CEED1" w14:textId="77777777" w:rsidR="0005728F" w:rsidRPr="00367271" w:rsidRDefault="0005728F" w:rsidP="0005728F">
            <w:pPr>
              <w:widowControl w:val="0"/>
              <w:autoSpaceDE w:val="0"/>
              <w:autoSpaceDN w:val="0"/>
              <w:adjustRightInd w:val="0"/>
              <w:spacing w:after="0"/>
              <w:ind w:right="-20"/>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367271">
              <w:rPr>
                <w:b/>
                <w:spacing w:val="-1"/>
                <w:szCs w:val="24"/>
              </w:rPr>
              <w:t>C</w:t>
            </w:r>
            <w:r w:rsidRPr="00367271">
              <w:rPr>
                <w:b/>
                <w:szCs w:val="24"/>
              </w:rPr>
              <w:t>el</w:t>
            </w:r>
            <w:r w:rsidRPr="00367271">
              <w:rPr>
                <w:szCs w:val="24"/>
              </w:rPr>
              <w:t>: konwergencja</w:t>
            </w:r>
          </w:p>
        </w:tc>
      </w:tr>
      <w:tr w:rsidR="0005728F" w:rsidRPr="00E97B31" w14:paraId="5791AC30" w14:textId="77777777" w:rsidTr="00157A26">
        <w:trPr>
          <w:trHeight w:hRule="exact" w:val="623"/>
          <w:jc w:val="center"/>
        </w:trPr>
        <w:tc>
          <w:tcPr>
            <w:cnfStyle w:val="000010000000" w:firstRow="0" w:lastRow="0" w:firstColumn="0" w:lastColumn="0" w:oddVBand="1" w:evenVBand="0" w:oddHBand="0" w:evenHBand="0" w:firstRowFirstColumn="0" w:firstRowLastColumn="0" w:lastRowFirstColumn="0" w:lastRowLastColumn="0"/>
            <w:tcW w:w="1838" w:type="dxa"/>
            <w:vMerge/>
            <w:shd w:val="clear" w:color="auto" w:fill="92D050"/>
            <w:vAlign w:val="center"/>
          </w:tcPr>
          <w:p w14:paraId="430B2A4F" w14:textId="10E78950" w:rsidR="0005728F" w:rsidRPr="00367271" w:rsidRDefault="0005728F" w:rsidP="00046D74">
            <w:pPr>
              <w:widowControl w:val="0"/>
              <w:autoSpaceDE w:val="0"/>
              <w:autoSpaceDN w:val="0"/>
              <w:adjustRightInd w:val="0"/>
              <w:spacing w:after="0"/>
              <w:ind w:left="102" w:right="-20"/>
              <w:jc w:val="both"/>
              <w:rPr>
                <w:rFonts w:cs="Times New Roman"/>
                <w:szCs w:val="24"/>
              </w:rPr>
            </w:pPr>
          </w:p>
        </w:tc>
        <w:tc>
          <w:tcPr>
            <w:tcW w:w="8080" w:type="dxa"/>
            <w:shd w:val="clear" w:color="auto" w:fill="FFFFFF" w:themeFill="background1"/>
            <w:vAlign w:val="center"/>
          </w:tcPr>
          <w:p w14:paraId="1E6303B3" w14:textId="77777777" w:rsidR="0005728F" w:rsidRPr="00367271" w:rsidRDefault="0005728F" w:rsidP="0005728F">
            <w:pPr>
              <w:widowControl w:val="0"/>
              <w:autoSpaceDE w:val="0"/>
              <w:autoSpaceDN w:val="0"/>
              <w:adjustRightInd w:val="0"/>
              <w:spacing w:after="0"/>
              <w:ind w:right="-20"/>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367271">
              <w:rPr>
                <w:b/>
                <w:spacing w:val="3"/>
                <w:szCs w:val="24"/>
              </w:rPr>
              <w:t>K</w:t>
            </w:r>
            <w:r w:rsidRPr="00367271">
              <w:rPr>
                <w:b/>
                <w:spacing w:val="-5"/>
                <w:szCs w:val="24"/>
              </w:rPr>
              <w:t>w</w:t>
            </w:r>
            <w:r w:rsidRPr="00367271">
              <w:rPr>
                <w:b/>
                <w:spacing w:val="3"/>
                <w:szCs w:val="24"/>
              </w:rPr>
              <w:t>a</w:t>
            </w:r>
            <w:r w:rsidRPr="00367271">
              <w:rPr>
                <w:b/>
                <w:szCs w:val="24"/>
              </w:rPr>
              <w:t>li</w:t>
            </w:r>
            <w:r w:rsidRPr="00367271">
              <w:rPr>
                <w:b/>
                <w:spacing w:val="1"/>
                <w:szCs w:val="24"/>
              </w:rPr>
              <w:t>f</w:t>
            </w:r>
            <w:r w:rsidRPr="00367271">
              <w:rPr>
                <w:b/>
                <w:szCs w:val="24"/>
              </w:rPr>
              <w:t>i</w:t>
            </w:r>
            <w:r w:rsidRPr="00367271">
              <w:rPr>
                <w:b/>
                <w:spacing w:val="-1"/>
                <w:szCs w:val="24"/>
              </w:rPr>
              <w:t>k</w:t>
            </w:r>
            <w:r w:rsidRPr="00367271">
              <w:rPr>
                <w:b/>
                <w:spacing w:val="4"/>
                <w:szCs w:val="24"/>
              </w:rPr>
              <w:t>o</w:t>
            </w:r>
            <w:r w:rsidRPr="00367271">
              <w:rPr>
                <w:b/>
                <w:spacing w:val="-2"/>
                <w:szCs w:val="24"/>
              </w:rPr>
              <w:t>w</w:t>
            </w:r>
            <w:r w:rsidRPr="00367271">
              <w:rPr>
                <w:b/>
                <w:spacing w:val="3"/>
                <w:szCs w:val="24"/>
              </w:rPr>
              <w:t>a</w:t>
            </w:r>
            <w:r w:rsidRPr="00367271">
              <w:rPr>
                <w:b/>
                <w:spacing w:val="1"/>
                <w:szCs w:val="24"/>
              </w:rPr>
              <w:t>n</w:t>
            </w:r>
            <w:r w:rsidRPr="00367271">
              <w:rPr>
                <w:b/>
                <w:szCs w:val="24"/>
              </w:rPr>
              <w:t>y</w:t>
            </w:r>
            <w:r w:rsidRPr="00367271">
              <w:rPr>
                <w:b/>
                <w:spacing w:val="-3"/>
                <w:szCs w:val="24"/>
              </w:rPr>
              <w:t xml:space="preserve"> </w:t>
            </w:r>
            <w:r w:rsidRPr="00367271">
              <w:rPr>
                <w:b/>
                <w:spacing w:val="1"/>
                <w:szCs w:val="24"/>
              </w:rPr>
              <w:t>ob</w:t>
            </w:r>
            <w:r w:rsidRPr="00367271">
              <w:rPr>
                <w:b/>
                <w:spacing w:val="-1"/>
                <w:szCs w:val="24"/>
              </w:rPr>
              <w:t>s</w:t>
            </w:r>
            <w:r w:rsidRPr="00367271">
              <w:rPr>
                <w:b/>
                <w:szCs w:val="24"/>
              </w:rPr>
              <w:t>zar</w:t>
            </w:r>
            <w:r w:rsidRPr="00367271">
              <w:rPr>
                <w:szCs w:val="24"/>
              </w:rPr>
              <w:t>: województwo śląskie</w:t>
            </w:r>
          </w:p>
        </w:tc>
      </w:tr>
      <w:tr w:rsidR="0005728F" w:rsidRPr="00E97B31" w14:paraId="32D27EDD" w14:textId="77777777" w:rsidTr="00157A26">
        <w:trPr>
          <w:cnfStyle w:val="000000100000" w:firstRow="0" w:lastRow="0" w:firstColumn="0" w:lastColumn="0" w:oddVBand="0" w:evenVBand="0" w:oddHBand="1" w:evenHBand="0" w:firstRowFirstColumn="0" w:firstRowLastColumn="0" w:lastRowFirstColumn="0" w:lastRowLastColumn="0"/>
          <w:trHeight w:hRule="exact" w:val="714"/>
          <w:jc w:val="center"/>
        </w:trPr>
        <w:tc>
          <w:tcPr>
            <w:cnfStyle w:val="000010000000" w:firstRow="0" w:lastRow="0" w:firstColumn="0" w:lastColumn="0" w:oddVBand="1" w:evenVBand="0" w:oddHBand="0" w:evenHBand="0" w:firstRowFirstColumn="0" w:firstRowLastColumn="0" w:lastRowFirstColumn="0" w:lastRowLastColumn="0"/>
            <w:tcW w:w="1838" w:type="dxa"/>
            <w:vMerge/>
            <w:tcBorders>
              <w:right w:val="none" w:sz="0" w:space="0" w:color="auto"/>
            </w:tcBorders>
            <w:shd w:val="clear" w:color="auto" w:fill="92D050"/>
            <w:vAlign w:val="center"/>
          </w:tcPr>
          <w:p w14:paraId="0A879631" w14:textId="523CF61B" w:rsidR="0005728F" w:rsidRPr="00367271" w:rsidRDefault="0005728F" w:rsidP="00046D74">
            <w:pPr>
              <w:widowControl w:val="0"/>
              <w:autoSpaceDE w:val="0"/>
              <w:autoSpaceDN w:val="0"/>
              <w:adjustRightInd w:val="0"/>
              <w:spacing w:after="0"/>
              <w:ind w:left="102" w:right="-20"/>
              <w:jc w:val="both"/>
              <w:rPr>
                <w:rFonts w:cs="Times New Roman"/>
                <w:szCs w:val="24"/>
              </w:rPr>
            </w:pPr>
          </w:p>
        </w:tc>
        <w:tc>
          <w:tcPr>
            <w:tcW w:w="8080" w:type="dxa"/>
            <w:tcBorders>
              <w:left w:val="none" w:sz="0" w:space="0" w:color="auto"/>
            </w:tcBorders>
            <w:shd w:val="clear" w:color="auto" w:fill="FFFFFF" w:themeFill="background1"/>
            <w:vAlign w:val="center"/>
          </w:tcPr>
          <w:p w14:paraId="0E9986BB" w14:textId="77777777" w:rsidR="0005728F" w:rsidRPr="00367271" w:rsidRDefault="0005728F" w:rsidP="0005728F">
            <w:pPr>
              <w:widowControl w:val="0"/>
              <w:autoSpaceDE w:val="0"/>
              <w:autoSpaceDN w:val="0"/>
              <w:adjustRightInd w:val="0"/>
              <w:spacing w:after="0"/>
              <w:ind w:right="-20"/>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367271">
              <w:rPr>
                <w:b/>
                <w:szCs w:val="24"/>
              </w:rPr>
              <w:t>O</w:t>
            </w:r>
            <w:r w:rsidRPr="00367271">
              <w:rPr>
                <w:b/>
                <w:spacing w:val="-1"/>
                <w:szCs w:val="24"/>
              </w:rPr>
              <w:t>k</w:t>
            </w:r>
            <w:r w:rsidRPr="00367271">
              <w:rPr>
                <w:b/>
                <w:spacing w:val="1"/>
                <w:szCs w:val="24"/>
              </w:rPr>
              <w:t>r</w:t>
            </w:r>
            <w:r w:rsidRPr="00367271">
              <w:rPr>
                <w:b/>
                <w:szCs w:val="24"/>
              </w:rPr>
              <w:t xml:space="preserve">es </w:t>
            </w:r>
            <w:r w:rsidRPr="00367271">
              <w:rPr>
                <w:b/>
                <w:spacing w:val="1"/>
                <w:szCs w:val="24"/>
              </w:rPr>
              <w:t>pro</w:t>
            </w:r>
            <w:r w:rsidRPr="00367271">
              <w:rPr>
                <w:b/>
                <w:spacing w:val="-1"/>
                <w:szCs w:val="24"/>
              </w:rPr>
              <w:t>g</w:t>
            </w:r>
            <w:r w:rsidRPr="00367271">
              <w:rPr>
                <w:b/>
                <w:spacing w:val="1"/>
                <w:szCs w:val="24"/>
              </w:rPr>
              <w:t>r</w:t>
            </w:r>
            <w:r w:rsidRPr="00367271">
              <w:rPr>
                <w:b/>
                <w:spacing w:val="3"/>
                <w:szCs w:val="24"/>
              </w:rPr>
              <w:t>a</w:t>
            </w:r>
            <w:r w:rsidRPr="00367271">
              <w:rPr>
                <w:b/>
                <w:spacing w:val="-4"/>
                <w:szCs w:val="24"/>
              </w:rPr>
              <w:t>m</w:t>
            </w:r>
            <w:r w:rsidRPr="00367271">
              <w:rPr>
                <w:b/>
                <w:spacing w:val="4"/>
                <w:szCs w:val="24"/>
              </w:rPr>
              <w:t>o</w:t>
            </w:r>
            <w:r w:rsidRPr="00367271">
              <w:rPr>
                <w:b/>
                <w:spacing w:val="-2"/>
                <w:szCs w:val="24"/>
              </w:rPr>
              <w:t>w</w:t>
            </w:r>
            <w:r w:rsidRPr="00367271">
              <w:rPr>
                <w:b/>
                <w:spacing w:val="3"/>
                <w:szCs w:val="24"/>
              </w:rPr>
              <w:t>a</w:t>
            </w:r>
            <w:r w:rsidRPr="00367271">
              <w:rPr>
                <w:b/>
                <w:spacing w:val="-1"/>
                <w:szCs w:val="24"/>
              </w:rPr>
              <w:t>n</w:t>
            </w:r>
            <w:r w:rsidRPr="00367271">
              <w:rPr>
                <w:b/>
                <w:szCs w:val="24"/>
              </w:rPr>
              <w:t>ia:</w:t>
            </w:r>
            <w:r w:rsidRPr="00367271">
              <w:rPr>
                <w:szCs w:val="24"/>
              </w:rPr>
              <w:t xml:space="preserve"> 2007 - 2013</w:t>
            </w:r>
          </w:p>
        </w:tc>
      </w:tr>
      <w:tr w:rsidR="0005728F" w:rsidRPr="00E97B31" w14:paraId="64EC581D" w14:textId="77777777" w:rsidTr="00157A26">
        <w:trPr>
          <w:trHeight w:hRule="exact" w:val="650"/>
          <w:jc w:val="center"/>
        </w:trPr>
        <w:tc>
          <w:tcPr>
            <w:cnfStyle w:val="000010000000" w:firstRow="0" w:lastRow="0" w:firstColumn="0" w:lastColumn="0" w:oddVBand="1" w:evenVBand="0" w:oddHBand="0" w:evenHBand="0" w:firstRowFirstColumn="0" w:firstRowLastColumn="0" w:lastRowFirstColumn="0" w:lastRowLastColumn="0"/>
            <w:tcW w:w="1838" w:type="dxa"/>
            <w:vMerge/>
            <w:shd w:val="clear" w:color="auto" w:fill="92D050"/>
            <w:vAlign w:val="center"/>
          </w:tcPr>
          <w:p w14:paraId="5059B056" w14:textId="61C1D8B9" w:rsidR="0005728F" w:rsidRPr="00367271" w:rsidRDefault="0005728F" w:rsidP="00046D74">
            <w:pPr>
              <w:widowControl w:val="0"/>
              <w:autoSpaceDE w:val="0"/>
              <w:autoSpaceDN w:val="0"/>
              <w:adjustRightInd w:val="0"/>
              <w:spacing w:after="0"/>
              <w:ind w:left="102" w:right="-20"/>
              <w:jc w:val="both"/>
              <w:rPr>
                <w:rFonts w:cs="Times New Roman"/>
                <w:szCs w:val="24"/>
              </w:rPr>
            </w:pPr>
          </w:p>
        </w:tc>
        <w:tc>
          <w:tcPr>
            <w:tcW w:w="8080" w:type="dxa"/>
            <w:shd w:val="clear" w:color="auto" w:fill="FFFFFF" w:themeFill="background1"/>
            <w:vAlign w:val="center"/>
          </w:tcPr>
          <w:p w14:paraId="1BCEBB18" w14:textId="77777777" w:rsidR="0005728F" w:rsidRPr="00367271" w:rsidRDefault="0005728F" w:rsidP="0005728F">
            <w:pPr>
              <w:widowControl w:val="0"/>
              <w:autoSpaceDE w:val="0"/>
              <w:autoSpaceDN w:val="0"/>
              <w:adjustRightInd w:val="0"/>
              <w:spacing w:after="0"/>
              <w:ind w:right="-20"/>
              <w:jc w:val="both"/>
              <w:cnfStyle w:val="000000000000" w:firstRow="0" w:lastRow="0" w:firstColumn="0" w:lastColumn="0" w:oddVBand="0" w:evenVBand="0" w:oddHBand="0" w:evenHBand="0" w:firstRowFirstColumn="0" w:firstRowLastColumn="0" w:lastRowFirstColumn="0" w:lastRowLastColumn="0"/>
              <w:rPr>
                <w:rFonts w:cs="Times New Roman"/>
                <w:szCs w:val="24"/>
              </w:rPr>
            </w:pPr>
            <w:r w:rsidRPr="00367271">
              <w:rPr>
                <w:b/>
                <w:szCs w:val="24"/>
              </w:rPr>
              <w:t>N</w:t>
            </w:r>
            <w:r w:rsidRPr="00367271">
              <w:rPr>
                <w:b/>
                <w:spacing w:val="1"/>
                <w:szCs w:val="24"/>
              </w:rPr>
              <w:t>u</w:t>
            </w:r>
            <w:r w:rsidRPr="00367271">
              <w:rPr>
                <w:b/>
                <w:spacing w:val="-1"/>
                <w:szCs w:val="24"/>
              </w:rPr>
              <w:t>m</w:t>
            </w:r>
            <w:r w:rsidRPr="00367271">
              <w:rPr>
                <w:b/>
                <w:szCs w:val="24"/>
              </w:rPr>
              <w:t>er</w:t>
            </w:r>
            <w:r w:rsidRPr="00367271">
              <w:rPr>
                <w:b/>
                <w:spacing w:val="1"/>
                <w:szCs w:val="24"/>
              </w:rPr>
              <w:t xml:space="preserve"> pro</w:t>
            </w:r>
            <w:r w:rsidRPr="00367271">
              <w:rPr>
                <w:b/>
                <w:spacing w:val="-1"/>
                <w:szCs w:val="24"/>
              </w:rPr>
              <w:t>g</w:t>
            </w:r>
            <w:r w:rsidRPr="00367271">
              <w:rPr>
                <w:b/>
                <w:spacing w:val="1"/>
                <w:szCs w:val="24"/>
              </w:rPr>
              <w:t>r</w:t>
            </w:r>
            <w:r w:rsidRPr="00367271">
              <w:rPr>
                <w:b/>
                <w:spacing w:val="3"/>
                <w:szCs w:val="24"/>
              </w:rPr>
              <w:t>a</w:t>
            </w:r>
            <w:r w:rsidRPr="00367271">
              <w:rPr>
                <w:b/>
                <w:spacing w:val="-4"/>
                <w:szCs w:val="24"/>
              </w:rPr>
              <w:t>m</w:t>
            </w:r>
            <w:r w:rsidRPr="00367271">
              <w:rPr>
                <w:b/>
                <w:szCs w:val="24"/>
              </w:rPr>
              <w:t>u</w:t>
            </w:r>
            <w:r w:rsidRPr="00367271">
              <w:rPr>
                <w:b/>
                <w:spacing w:val="-1"/>
                <w:szCs w:val="24"/>
              </w:rPr>
              <w:t xml:space="preserve"> </w:t>
            </w:r>
            <w:r w:rsidRPr="00367271">
              <w:rPr>
                <w:b/>
                <w:spacing w:val="1"/>
                <w:szCs w:val="24"/>
              </w:rPr>
              <w:t>(</w:t>
            </w:r>
            <w:r w:rsidRPr="00367271">
              <w:rPr>
                <w:b/>
                <w:spacing w:val="2"/>
                <w:szCs w:val="24"/>
              </w:rPr>
              <w:t>C</w:t>
            </w:r>
            <w:r w:rsidRPr="00367271">
              <w:rPr>
                <w:b/>
                <w:spacing w:val="-1"/>
                <w:szCs w:val="24"/>
              </w:rPr>
              <w:t>C</w:t>
            </w:r>
            <w:r w:rsidRPr="00367271">
              <w:rPr>
                <w:b/>
                <w:spacing w:val="1"/>
                <w:szCs w:val="24"/>
              </w:rPr>
              <w:t>I</w:t>
            </w:r>
            <w:r w:rsidRPr="00367271">
              <w:rPr>
                <w:b/>
                <w:szCs w:val="24"/>
              </w:rPr>
              <w:t>):</w:t>
            </w:r>
            <w:r w:rsidRPr="00367271">
              <w:rPr>
                <w:szCs w:val="24"/>
              </w:rPr>
              <w:t xml:space="preserve"> 2007PL161PO019</w:t>
            </w:r>
          </w:p>
        </w:tc>
      </w:tr>
      <w:tr w:rsidR="0005728F" w:rsidRPr="00E97B31" w14:paraId="785061D7" w14:textId="77777777" w:rsidTr="00157A26">
        <w:trPr>
          <w:cnfStyle w:val="000000100000" w:firstRow="0" w:lastRow="0" w:firstColumn="0" w:lastColumn="0" w:oddVBand="0" w:evenVBand="0" w:oddHBand="1" w:evenHBand="0" w:firstRowFirstColumn="0" w:firstRowLastColumn="0" w:lastRowFirstColumn="0" w:lastRowLastColumn="0"/>
          <w:trHeight w:hRule="exact" w:val="888"/>
          <w:jc w:val="center"/>
        </w:trPr>
        <w:tc>
          <w:tcPr>
            <w:cnfStyle w:val="000010000000" w:firstRow="0" w:lastRow="0" w:firstColumn="0" w:lastColumn="0" w:oddVBand="1" w:evenVBand="0" w:oddHBand="0" w:evenHBand="0" w:firstRowFirstColumn="0" w:firstRowLastColumn="0" w:lastRowFirstColumn="0" w:lastRowLastColumn="0"/>
            <w:tcW w:w="1838" w:type="dxa"/>
            <w:vMerge/>
            <w:tcBorders>
              <w:right w:val="none" w:sz="0" w:space="0" w:color="auto"/>
            </w:tcBorders>
            <w:shd w:val="clear" w:color="auto" w:fill="92D050"/>
            <w:vAlign w:val="center"/>
          </w:tcPr>
          <w:p w14:paraId="59FD4CEA" w14:textId="7599D9AE" w:rsidR="0005728F" w:rsidRPr="00367271" w:rsidRDefault="0005728F" w:rsidP="00046D74">
            <w:pPr>
              <w:widowControl w:val="0"/>
              <w:autoSpaceDE w:val="0"/>
              <w:autoSpaceDN w:val="0"/>
              <w:adjustRightInd w:val="0"/>
              <w:spacing w:after="0"/>
              <w:ind w:left="102" w:right="-20"/>
              <w:jc w:val="both"/>
              <w:rPr>
                <w:rFonts w:cs="Times New Roman"/>
                <w:szCs w:val="24"/>
              </w:rPr>
            </w:pPr>
          </w:p>
        </w:tc>
        <w:tc>
          <w:tcPr>
            <w:tcW w:w="8080" w:type="dxa"/>
            <w:tcBorders>
              <w:left w:val="none" w:sz="0" w:space="0" w:color="auto"/>
            </w:tcBorders>
            <w:shd w:val="clear" w:color="auto" w:fill="FFFFFF" w:themeFill="background1"/>
            <w:vAlign w:val="center"/>
          </w:tcPr>
          <w:p w14:paraId="657C9AED" w14:textId="74A1F100" w:rsidR="0005728F" w:rsidRPr="00367271" w:rsidRDefault="0005728F" w:rsidP="00534A43">
            <w:pPr>
              <w:widowControl w:val="0"/>
              <w:autoSpaceDE w:val="0"/>
              <w:autoSpaceDN w:val="0"/>
              <w:adjustRightInd w:val="0"/>
              <w:spacing w:after="0"/>
              <w:ind w:right="-20"/>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367271">
              <w:rPr>
                <w:b/>
                <w:szCs w:val="24"/>
              </w:rPr>
              <w:t>Na</w:t>
            </w:r>
            <w:r w:rsidRPr="00367271">
              <w:rPr>
                <w:b/>
                <w:spacing w:val="3"/>
                <w:szCs w:val="24"/>
              </w:rPr>
              <w:t>z</w:t>
            </w:r>
            <w:r w:rsidRPr="00367271">
              <w:rPr>
                <w:b/>
                <w:spacing w:val="-5"/>
                <w:szCs w:val="24"/>
              </w:rPr>
              <w:t>w</w:t>
            </w:r>
            <w:r w:rsidRPr="00367271">
              <w:rPr>
                <w:b/>
                <w:szCs w:val="24"/>
              </w:rPr>
              <w:t>a</w:t>
            </w:r>
            <w:r w:rsidRPr="00367271">
              <w:rPr>
                <w:b/>
                <w:spacing w:val="1"/>
                <w:szCs w:val="24"/>
              </w:rPr>
              <w:t xml:space="preserve"> pro</w:t>
            </w:r>
            <w:r w:rsidRPr="00367271">
              <w:rPr>
                <w:b/>
                <w:spacing w:val="-1"/>
                <w:szCs w:val="24"/>
              </w:rPr>
              <w:t>g</w:t>
            </w:r>
            <w:r w:rsidRPr="00367271">
              <w:rPr>
                <w:b/>
                <w:spacing w:val="1"/>
                <w:szCs w:val="24"/>
              </w:rPr>
              <w:t>r</w:t>
            </w:r>
            <w:r w:rsidRPr="00367271">
              <w:rPr>
                <w:b/>
                <w:spacing w:val="3"/>
                <w:szCs w:val="24"/>
              </w:rPr>
              <w:t>a</w:t>
            </w:r>
            <w:r w:rsidRPr="00367271">
              <w:rPr>
                <w:b/>
                <w:spacing w:val="-1"/>
                <w:szCs w:val="24"/>
              </w:rPr>
              <w:t>m</w:t>
            </w:r>
            <w:r w:rsidRPr="00367271">
              <w:rPr>
                <w:b/>
                <w:szCs w:val="24"/>
              </w:rPr>
              <w:t>u</w:t>
            </w:r>
            <w:r w:rsidRPr="00367271">
              <w:rPr>
                <w:szCs w:val="24"/>
              </w:rPr>
              <w:t>: Regionalny Program Operacyjny Województwa Śląskiego 2007 - 2013</w:t>
            </w:r>
          </w:p>
        </w:tc>
      </w:tr>
      <w:tr w:rsidR="006C22EA" w:rsidRPr="00E97B31" w14:paraId="631B02EF" w14:textId="77777777" w:rsidTr="00157A26">
        <w:trPr>
          <w:trHeight w:hRule="exact" w:val="879"/>
          <w:jc w:val="center"/>
        </w:trPr>
        <w:tc>
          <w:tcPr>
            <w:cnfStyle w:val="000010000000" w:firstRow="0" w:lastRow="0" w:firstColumn="0" w:lastColumn="0" w:oddVBand="1" w:evenVBand="0" w:oddHBand="0" w:evenHBand="0" w:firstRowFirstColumn="0" w:firstRowLastColumn="0" w:lastRowFirstColumn="0" w:lastRowLastColumn="0"/>
            <w:tcW w:w="1838" w:type="dxa"/>
            <w:vMerge/>
            <w:shd w:val="clear" w:color="auto" w:fill="92D050"/>
            <w:vAlign w:val="center"/>
          </w:tcPr>
          <w:p w14:paraId="7EB75A70" w14:textId="77777777" w:rsidR="006C22EA" w:rsidRPr="00367271" w:rsidRDefault="006C22EA" w:rsidP="00046D74">
            <w:pPr>
              <w:widowControl w:val="0"/>
              <w:autoSpaceDE w:val="0"/>
              <w:autoSpaceDN w:val="0"/>
              <w:adjustRightInd w:val="0"/>
              <w:spacing w:after="0"/>
              <w:ind w:left="102" w:right="-20"/>
              <w:jc w:val="both"/>
              <w:rPr>
                <w:szCs w:val="24"/>
              </w:rPr>
            </w:pPr>
          </w:p>
        </w:tc>
        <w:tc>
          <w:tcPr>
            <w:tcW w:w="8080" w:type="dxa"/>
            <w:shd w:val="clear" w:color="auto" w:fill="FFFFFF" w:themeFill="background1"/>
            <w:vAlign w:val="center"/>
          </w:tcPr>
          <w:p w14:paraId="5B1581A2" w14:textId="1E4C77EC" w:rsidR="006C22EA" w:rsidRPr="00367271" w:rsidRDefault="006C22EA" w:rsidP="0005728F">
            <w:pPr>
              <w:widowControl w:val="0"/>
              <w:autoSpaceDE w:val="0"/>
              <w:autoSpaceDN w:val="0"/>
              <w:adjustRightInd w:val="0"/>
              <w:spacing w:after="0"/>
              <w:ind w:right="-20"/>
              <w:jc w:val="both"/>
              <w:cnfStyle w:val="000000000000" w:firstRow="0" w:lastRow="0" w:firstColumn="0" w:lastColumn="0" w:oddVBand="0" w:evenVBand="0" w:oddHBand="0" w:evenHBand="0" w:firstRowFirstColumn="0" w:firstRowLastColumn="0" w:lastRowFirstColumn="0" w:lastRowLastColumn="0"/>
              <w:rPr>
                <w:b/>
                <w:szCs w:val="24"/>
              </w:rPr>
            </w:pPr>
            <w:r w:rsidRPr="00367271">
              <w:rPr>
                <w:b/>
                <w:szCs w:val="24"/>
              </w:rPr>
              <w:t xml:space="preserve">Okres sprawozdawczy: </w:t>
            </w:r>
            <w:r w:rsidRPr="00367271">
              <w:rPr>
                <w:szCs w:val="24"/>
              </w:rPr>
              <w:t>od 2007 roku do 2016 roku</w:t>
            </w:r>
          </w:p>
        </w:tc>
      </w:tr>
      <w:tr w:rsidR="0005728F" w:rsidRPr="00E97B31" w14:paraId="453A7F9F" w14:textId="77777777" w:rsidTr="00157A26">
        <w:trPr>
          <w:cnfStyle w:val="000000100000" w:firstRow="0" w:lastRow="0" w:firstColumn="0" w:lastColumn="0" w:oddVBand="0" w:evenVBand="0" w:oddHBand="1" w:evenHBand="0" w:firstRowFirstColumn="0" w:firstRowLastColumn="0" w:lastRowFirstColumn="0" w:lastRowLastColumn="0"/>
          <w:trHeight w:hRule="exact" w:val="977"/>
          <w:jc w:val="center"/>
        </w:trPr>
        <w:tc>
          <w:tcPr>
            <w:cnfStyle w:val="000010000000" w:firstRow="0" w:lastRow="0" w:firstColumn="0" w:lastColumn="0" w:oddVBand="1" w:evenVBand="0" w:oddHBand="0" w:evenHBand="0" w:firstRowFirstColumn="0" w:firstRowLastColumn="0" w:lastRowFirstColumn="0" w:lastRowLastColumn="0"/>
            <w:tcW w:w="1838" w:type="dxa"/>
            <w:vMerge/>
            <w:tcBorders>
              <w:right w:val="none" w:sz="0" w:space="0" w:color="auto"/>
            </w:tcBorders>
            <w:shd w:val="clear" w:color="auto" w:fill="92D050"/>
            <w:vAlign w:val="center"/>
          </w:tcPr>
          <w:p w14:paraId="1A4EFD09" w14:textId="77777777" w:rsidR="0005728F" w:rsidRPr="00367271" w:rsidRDefault="0005728F" w:rsidP="00046D74">
            <w:pPr>
              <w:widowControl w:val="0"/>
              <w:autoSpaceDE w:val="0"/>
              <w:autoSpaceDN w:val="0"/>
              <w:adjustRightInd w:val="0"/>
              <w:spacing w:after="0"/>
              <w:ind w:left="102" w:right="-20"/>
              <w:jc w:val="both"/>
              <w:rPr>
                <w:rFonts w:cs="Times New Roman"/>
                <w:szCs w:val="24"/>
              </w:rPr>
            </w:pPr>
          </w:p>
        </w:tc>
        <w:tc>
          <w:tcPr>
            <w:tcW w:w="8080" w:type="dxa"/>
            <w:tcBorders>
              <w:left w:val="none" w:sz="0" w:space="0" w:color="auto"/>
            </w:tcBorders>
            <w:shd w:val="clear" w:color="auto" w:fill="FFFFFF" w:themeFill="background1"/>
            <w:vAlign w:val="center"/>
          </w:tcPr>
          <w:p w14:paraId="634E12F7" w14:textId="3A9ED2E7" w:rsidR="0005728F" w:rsidRPr="00367271" w:rsidRDefault="0005728F" w:rsidP="006C22EA">
            <w:pPr>
              <w:widowControl w:val="0"/>
              <w:autoSpaceDE w:val="0"/>
              <w:autoSpaceDN w:val="0"/>
              <w:adjustRightInd w:val="0"/>
              <w:spacing w:after="0"/>
              <w:ind w:right="-20"/>
              <w:jc w:val="both"/>
              <w:cnfStyle w:val="000000100000" w:firstRow="0" w:lastRow="0" w:firstColumn="0" w:lastColumn="0" w:oddVBand="0" w:evenVBand="0" w:oddHBand="1" w:evenHBand="0" w:firstRowFirstColumn="0" w:firstRowLastColumn="0" w:lastRowFirstColumn="0" w:lastRowLastColumn="0"/>
              <w:rPr>
                <w:rFonts w:cs="Times New Roman"/>
                <w:b/>
                <w:szCs w:val="24"/>
              </w:rPr>
            </w:pPr>
            <w:r w:rsidRPr="00367271">
              <w:rPr>
                <w:b/>
                <w:szCs w:val="24"/>
              </w:rPr>
              <w:t>Data</w:t>
            </w:r>
            <w:r w:rsidRPr="00367271">
              <w:rPr>
                <w:b/>
                <w:spacing w:val="1"/>
                <w:szCs w:val="24"/>
              </w:rPr>
              <w:t xml:space="preserve"> </w:t>
            </w:r>
            <w:r w:rsidRPr="00367271">
              <w:rPr>
                <w:b/>
                <w:szCs w:val="24"/>
              </w:rPr>
              <w:t>zaa</w:t>
            </w:r>
            <w:r w:rsidRPr="00367271">
              <w:rPr>
                <w:b/>
                <w:spacing w:val="-1"/>
                <w:szCs w:val="24"/>
              </w:rPr>
              <w:t>k</w:t>
            </w:r>
            <w:r w:rsidRPr="00367271">
              <w:rPr>
                <w:b/>
                <w:szCs w:val="24"/>
              </w:rPr>
              <w:t>ce</w:t>
            </w:r>
            <w:r w:rsidRPr="00367271">
              <w:rPr>
                <w:b/>
                <w:spacing w:val="1"/>
                <w:szCs w:val="24"/>
              </w:rPr>
              <w:t>p</w:t>
            </w:r>
            <w:r w:rsidRPr="00367271">
              <w:rPr>
                <w:b/>
                <w:szCs w:val="24"/>
              </w:rPr>
              <w:t>t</w:t>
            </w:r>
            <w:r w:rsidRPr="00367271">
              <w:rPr>
                <w:b/>
                <w:spacing w:val="4"/>
                <w:szCs w:val="24"/>
              </w:rPr>
              <w:t>o</w:t>
            </w:r>
            <w:r w:rsidRPr="00367271">
              <w:rPr>
                <w:b/>
                <w:spacing w:val="-5"/>
                <w:szCs w:val="24"/>
              </w:rPr>
              <w:t>w</w:t>
            </w:r>
            <w:r w:rsidRPr="00367271">
              <w:rPr>
                <w:b/>
                <w:spacing w:val="3"/>
                <w:szCs w:val="24"/>
              </w:rPr>
              <w:t>a</w:t>
            </w:r>
            <w:r w:rsidRPr="00367271">
              <w:rPr>
                <w:b/>
                <w:spacing w:val="-1"/>
                <w:szCs w:val="24"/>
              </w:rPr>
              <w:t>n</w:t>
            </w:r>
            <w:r w:rsidRPr="00367271">
              <w:rPr>
                <w:b/>
                <w:szCs w:val="24"/>
              </w:rPr>
              <w:t>ia</w:t>
            </w:r>
            <w:r w:rsidRPr="00367271">
              <w:rPr>
                <w:b/>
                <w:spacing w:val="3"/>
                <w:szCs w:val="24"/>
              </w:rPr>
              <w:t xml:space="preserve"> </w:t>
            </w:r>
            <w:r w:rsidRPr="00367271">
              <w:rPr>
                <w:b/>
                <w:spacing w:val="-1"/>
                <w:szCs w:val="24"/>
              </w:rPr>
              <w:t>s</w:t>
            </w:r>
            <w:r w:rsidRPr="00367271">
              <w:rPr>
                <w:b/>
                <w:spacing w:val="1"/>
                <w:szCs w:val="24"/>
              </w:rPr>
              <w:t>pr</w:t>
            </w:r>
            <w:r w:rsidRPr="00367271">
              <w:rPr>
                <w:b/>
                <w:spacing w:val="3"/>
                <w:szCs w:val="24"/>
              </w:rPr>
              <w:t>a</w:t>
            </w:r>
            <w:r w:rsidRPr="00367271">
              <w:rPr>
                <w:b/>
                <w:spacing w:val="-5"/>
                <w:szCs w:val="24"/>
              </w:rPr>
              <w:t>w</w:t>
            </w:r>
            <w:r w:rsidRPr="00367271">
              <w:rPr>
                <w:b/>
                <w:spacing w:val="1"/>
                <w:szCs w:val="24"/>
              </w:rPr>
              <w:t>o</w:t>
            </w:r>
            <w:r w:rsidRPr="00367271">
              <w:rPr>
                <w:b/>
                <w:spacing w:val="3"/>
                <w:szCs w:val="24"/>
              </w:rPr>
              <w:t>z</w:t>
            </w:r>
            <w:r w:rsidRPr="00367271">
              <w:rPr>
                <w:b/>
                <w:spacing w:val="1"/>
                <w:szCs w:val="24"/>
              </w:rPr>
              <w:t>d</w:t>
            </w:r>
            <w:r w:rsidRPr="00367271">
              <w:rPr>
                <w:b/>
                <w:szCs w:val="24"/>
              </w:rPr>
              <w:t>a</w:t>
            </w:r>
            <w:r w:rsidRPr="00367271">
              <w:rPr>
                <w:b/>
                <w:spacing w:val="-1"/>
                <w:szCs w:val="24"/>
              </w:rPr>
              <w:t>n</w:t>
            </w:r>
            <w:r w:rsidRPr="00367271">
              <w:rPr>
                <w:b/>
                <w:szCs w:val="24"/>
              </w:rPr>
              <w:t>ia</w:t>
            </w:r>
            <w:r w:rsidR="006C22EA" w:rsidRPr="00367271">
              <w:rPr>
                <w:b/>
                <w:szCs w:val="24"/>
              </w:rPr>
              <w:t xml:space="preserve"> końcowego</w:t>
            </w:r>
            <w:r w:rsidRPr="00367271">
              <w:rPr>
                <w:b/>
                <w:spacing w:val="1"/>
                <w:szCs w:val="24"/>
              </w:rPr>
              <w:t xml:space="preserve"> pr</w:t>
            </w:r>
            <w:r w:rsidRPr="00367271">
              <w:rPr>
                <w:b/>
                <w:szCs w:val="24"/>
              </w:rPr>
              <w:t>zez</w:t>
            </w:r>
            <w:r w:rsidRPr="00367271">
              <w:rPr>
                <w:b/>
                <w:spacing w:val="1"/>
                <w:szCs w:val="24"/>
              </w:rPr>
              <w:t xml:space="preserve"> </w:t>
            </w:r>
            <w:r w:rsidR="006C22EA" w:rsidRPr="00367271">
              <w:rPr>
                <w:b/>
                <w:spacing w:val="-1"/>
                <w:szCs w:val="24"/>
              </w:rPr>
              <w:t>KM</w:t>
            </w:r>
            <w:r w:rsidRPr="00367271">
              <w:rPr>
                <w:b/>
                <w:szCs w:val="24"/>
              </w:rPr>
              <w:t xml:space="preserve">: </w:t>
            </w:r>
            <w:r w:rsidR="000C056A" w:rsidRPr="000C056A">
              <w:rPr>
                <w:szCs w:val="24"/>
              </w:rPr>
              <w:t>23 marca 2017 r</w:t>
            </w:r>
            <w:r w:rsidR="000C056A">
              <w:rPr>
                <w:szCs w:val="24"/>
              </w:rPr>
              <w:t>.</w:t>
            </w:r>
          </w:p>
        </w:tc>
      </w:tr>
    </w:tbl>
    <w:p w14:paraId="27221383" w14:textId="77777777" w:rsidR="0005728F" w:rsidRPr="00231EBB" w:rsidRDefault="0005728F" w:rsidP="00231EBB">
      <w:pPr>
        <w:jc w:val="both"/>
        <w:rPr>
          <w:szCs w:val="24"/>
          <w:highlight w:val="green"/>
        </w:rPr>
      </w:pPr>
    </w:p>
    <w:p w14:paraId="32FAB6D3" w14:textId="77777777" w:rsidR="00231EBB" w:rsidRDefault="00231EBB" w:rsidP="0094320D">
      <w:pPr>
        <w:widowControl w:val="0"/>
        <w:autoSpaceDE w:val="0"/>
        <w:autoSpaceDN w:val="0"/>
        <w:adjustRightInd w:val="0"/>
        <w:spacing w:before="13" w:after="0"/>
        <w:jc w:val="both"/>
        <w:rPr>
          <w:sz w:val="23"/>
          <w:szCs w:val="23"/>
        </w:rPr>
      </w:pPr>
    </w:p>
    <w:p w14:paraId="5524060D" w14:textId="77777777" w:rsidR="00AF77BA" w:rsidRDefault="00AF77BA" w:rsidP="0094320D">
      <w:pPr>
        <w:pStyle w:val="Nagwek1"/>
        <w:numPr>
          <w:ilvl w:val="0"/>
          <w:numId w:val="0"/>
        </w:numPr>
        <w:spacing w:before="120" w:after="120"/>
        <w:ind w:left="432" w:hanging="432"/>
        <w:jc w:val="both"/>
      </w:pPr>
      <w:bookmarkStart w:id="4" w:name="_Toc391466322"/>
      <w:bookmarkStart w:id="5" w:name="_Toc423351743"/>
      <w:r>
        <w:rPr>
          <w:szCs w:val="24"/>
        </w:rPr>
        <w:t> </w:t>
      </w:r>
    </w:p>
    <w:p w14:paraId="0C6D4467" w14:textId="77777777" w:rsidR="00AF77BA" w:rsidRDefault="00AF77BA" w:rsidP="005D0B96">
      <w:pPr>
        <w:spacing w:after="0" w:line="240" w:lineRule="auto"/>
        <w:rPr>
          <w:b/>
          <w:bCs/>
          <w:szCs w:val="28"/>
        </w:rPr>
      </w:pPr>
      <w:r>
        <w:br w:type="page"/>
      </w:r>
    </w:p>
    <w:p w14:paraId="2CB84F66" w14:textId="77777777" w:rsidR="00271FE6" w:rsidRDefault="00271FE6" w:rsidP="008F3ED9">
      <w:pPr>
        <w:pStyle w:val="Nagwek1"/>
        <w:numPr>
          <w:ilvl w:val="0"/>
          <w:numId w:val="0"/>
        </w:numPr>
        <w:spacing w:before="120" w:after="120"/>
        <w:ind w:left="432" w:hanging="432"/>
        <w:jc w:val="center"/>
        <w:rPr>
          <w:sz w:val="20"/>
          <w:szCs w:val="20"/>
        </w:rPr>
      </w:pPr>
    </w:p>
    <w:p w14:paraId="0DD925F5" w14:textId="6208F35E" w:rsidR="000304D8" w:rsidRPr="00271FE6" w:rsidRDefault="006344A3" w:rsidP="00271FE6">
      <w:pPr>
        <w:pStyle w:val="Nagwek1"/>
        <w:numPr>
          <w:ilvl w:val="0"/>
          <w:numId w:val="0"/>
        </w:numPr>
        <w:spacing w:before="120" w:after="120"/>
        <w:ind w:left="432" w:hanging="432"/>
        <w:rPr>
          <w:sz w:val="20"/>
          <w:szCs w:val="20"/>
        </w:rPr>
      </w:pPr>
      <w:bookmarkStart w:id="6" w:name="_Toc477779733"/>
      <w:r w:rsidRPr="00271FE6">
        <w:rPr>
          <w:sz w:val="20"/>
          <w:szCs w:val="20"/>
        </w:rPr>
        <w:t>SPIS TREŚCI</w:t>
      </w:r>
      <w:bookmarkEnd w:id="4"/>
      <w:bookmarkEnd w:id="5"/>
      <w:bookmarkEnd w:id="6"/>
    </w:p>
    <w:sdt>
      <w:sdtPr>
        <w:rPr>
          <w:b w:val="0"/>
          <w:bCs w:val="0"/>
          <w:sz w:val="20"/>
          <w:szCs w:val="20"/>
          <w:lang w:eastAsia="pl-PL"/>
        </w:rPr>
        <w:id w:val="-1676723929"/>
        <w:docPartObj>
          <w:docPartGallery w:val="Table of Contents"/>
          <w:docPartUnique/>
        </w:docPartObj>
      </w:sdtPr>
      <w:sdtEndPr>
        <w:rPr>
          <w:sz w:val="24"/>
          <w:szCs w:val="22"/>
        </w:rPr>
      </w:sdtEndPr>
      <w:sdtContent>
        <w:p w14:paraId="1DFFF203" w14:textId="7DB31CC7" w:rsidR="00271FE6" w:rsidRPr="0018564D" w:rsidRDefault="00271FE6" w:rsidP="00271FE6">
          <w:pPr>
            <w:pStyle w:val="Nagwekspisutreci"/>
            <w:numPr>
              <w:ilvl w:val="0"/>
              <w:numId w:val="0"/>
            </w:numPr>
            <w:rPr>
              <w:b w:val="0"/>
              <w:sz w:val="20"/>
              <w:szCs w:val="20"/>
            </w:rPr>
          </w:pPr>
          <w:r w:rsidRPr="0018564D">
            <w:rPr>
              <w:b w:val="0"/>
              <w:sz w:val="20"/>
              <w:szCs w:val="20"/>
            </w:rPr>
            <w:t>Wstęp</w:t>
          </w:r>
        </w:p>
        <w:p w14:paraId="367A859A" w14:textId="77777777" w:rsidR="00520AF3" w:rsidRPr="00520AF3" w:rsidRDefault="00271FE6">
          <w:pPr>
            <w:pStyle w:val="Spistreci1"/>
            <w:tabs>
              <w:tab w:val="left" w:pos="480"/>
            </w:tabs>
            <w:rPr>
              <w:rFonts w:ascii="Times New Roman" w:eastAsiaTheme="minorEastAsia" w:hAnsi="Times New Roman"/>
              <w:b w:val="0"/>
              <w:bCs w:val="0"/>
              <w:i w:val="0"/>
              <w:iCs w:val="0"/>
              <w:noProof/>
              <w:sz w:val="20"/>
              <w:szCs w:val="20"/>
            </w:rPr>
          </w:pPr>
          <w:r w:rsidRPr="0018564D">
            <w:rPr>
              <w:rFonts w:ascii="Times New Roman" w:hAnsi="Times New Roman"/>
              <w:b w:val="0"/>
              <w:i w:val="0"/>
              <w:sz w:val="20"/>
              <w:szCs w:val="20"/>
            </w:rPr>
            <w:fldChar w:fldCharType="begin"/>
          </w:r>
          <w:r w:rsidRPr="0018564D">
            <w:rPr>
              <w:rFonts w:ascii="Times New Roman" w:hAnsi="Times New Roman"/>
              <w:b w:val="0"/>
              <w:i w:val="0"/>
              <w:sz w:val="20"/>
              <w:szCs w:val="20"/>
            </w:rPr>
            <w:instrText xml:space="preserve"> TOC \o "1-3" \h \z \u </w:instrText>
          </w:r>
          <w:r w:rsidRPr="0018564D">
            <w:rPr>
              <w:rFonts w:ascii="Times New Roman" w:hAnsi="Times New Roman"/>
              <w:b w:val="0"/>
              <w:i w:val="0"/>
              <w:sz w:val="20"/>
              <w:szCs w:val="20"/>
            </w:rPr>
            <w:fldChar w:fldCharType="separate"/>
          </w:r>
          <w:hyperlink w:anchor="_Toc477779732" w:history="1">
            <w:r w:rsidR="00520AF3" w:rsidRPr="00520AF3">
              <w:rPr>
                <w:rStyle w:val="Hipercze"/>
                <w:rFonts w:ascii="Times New Roman" w:hAnsi="Times New Roman"/>
                <w:b w:val="0"/>
                <w:i w:val="0"/>
                <w:noProof/>
                <w:sz w:val="20"/>
                <w:szCs w:val="20"/>
              </w:rPr>
              <w:t>1.</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INFORMACJE WSTĘPNE</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_Toc477779732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sidR="004361E1">
              <w:rPr>
                <w:rFonts w:ascii="Times New Roman" w:hAnsi="Times New Roman"/>
                <w:b w:val="0"/>
                <w:i w:val="0"/>
                <w:noProof/>
                <w:webHidden/>
                <w:sz w:val="20"/>
                <w:szCs w:val="20"/>
              </w:rPr>
              <w:t>3</w:t>
            </w:r>
            <w:r w:rsidR="00520AF3" w:rsidRPr="00520AF3">
              <w:rPr>
                <w:rFonts w:ascii="Times New Roman" w:hAnsi="Times New Roman"/>
                <w:b w:val="0"/>
                <w:i w:val="0"/>
                <w:noProof/>
                <w:webHidden/>
                <w:sz w:val="20"/>
                <w:szCs w:val="20"/>
              </w:rPr>
              <w:fldChar w:fldCharType="end"/>
            </w:r>
          </w:hyperlink>
        </w:p>
        <w:p w14:paraId="15642F80" w14:textId="77777777" w:rsidR="00520AF3" w:rsidRPr="00520AF3" w:rsidRDefault="004361E1">
          <w:pPr>
            <w:pStyle w:val="Spistreci1"/>
            <w:rPr>
              <w:rFonts w:ascii="Times New Roman" w:eastAsiaTheme="minorEastAsia" w:hAnsi="Times New Roman"/>
              <w:b w:val="0"/>
              <w:bCs w:val="0"/>
              <w:i w:val="0"/>
              <w:iCs w:val="0"/>
              <w:noProof/>
              <w:sz w:val="20"/>
              <w:szCs w:val="20"/>
            </w:rPr>
          </w:pPr>
          <w:hyperlink w:anchor="_Toc477779733" w:history="1">
            <w:r w:rsidR="00520AF3" w:rsidRPr="00520AF3">
              <w:rPr>
                <w:rStyle w:val="Hipercze"/>
                <w:rFonts w:ascii="Times New Roman" w:hAnsi="Times New Roman"/>
                <w:b w:val="0"/>
                <w:i w:val="0"/>
                <w:noProof/>
                <w:sz w:val="20"/>
                <w:szCs w:val="20"/>
              </w:rPr>
              <w:t>SPIS TREŚCI</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_Toc477779733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4</w:t>
            </w:r>
            <w:r w:rsidR="00520AF3" w:rsidRPr="00520AF3">
              <w:rPr>
                <w:rFonts w:ascii="Times New Roman" w:hAnsi="Times New Roman"/>
                <w:b w:val="0"/>
                <w:i w:val="0"/>
                <w:noProof/>
                <w:webHidden/>
                <w:sz w:val="20"/>
                <w:szCs w:val="20"/>
              </w:rPr>
              <w:fldChar w:fldCharType="end"/>
            </w:r>
          </w:hyperlink>
        </w:p>
        <w:p w14:paraId="3F7F1113" w14:textId="77777777" w:rsidR="00520AF3" w:rsidRPr="00520AF3" w:rsidRDefault="004361E1">
          <w:pPr>
            <w:pStyle w:val="Spistreci1"/>
            <w:rPr>
              <w:rFonts w:ascii="Times New Roman" w:eastAsiaTheme="minorEastAsia" w:hAnsi="Times New Roman"/>
              <w:b w:val="0"/>
              <w:bCs w:val="0"/>
              <w:i w:val="0"/>
              <w:iCs w:val="0"/>
              <w:noProof/>
              <w:sz w:val="20"/>
              <w:szCs w:val="20"/>
            </w:rPr>
          </w:pPr>
          <w:hyperlink w:anchor="_Toc477779734" w:history="1">
            <w:r w:rsidR="00520AF3" w:rsidRPr="00520AF3">
              <w:rPr>
                <w:rStyle w:val="Hipercze"/>
                <w:rFonts w:ascii="Times New Roman" w:hAnsi="Times New Roman"/>
                <w:b w:val="0"/>
                <w:i w:val="0"/>
                <w:noProof/>
                <w:sz w:val="20"/>
                <w:szCs w:val="20"/>
                <w:lang w:val="en-GB"/>
              </w:rPr>
              <w:t>STRESZCZENIE W JĘZYKU ANGIELSKIM</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_Toc477779734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5</w:t>
            </w:r>
            <w:r w:rsidR="00520AF3" w:rsidRPr="00520AF3">
              <w:rPr>
                <w:rFonts w:ascii="Times New Roman" w:hAnsi="Times New Roman"/>
                <w:b w:val="0"/>
                <w:i w:val="0"/>
                <w:noProof/>
                <w:webHidden/>
                <w:sz w:val="20"/>
                <w:szCs w:val="20"/>
              </w:rPr>
              <w:fldChar w:fldCharType="end"/>
            </w:r>
          </w:hyperlink>
        </w:p>
        <w:p w14:paraId="08BEDC00" w14:textId="77777777" w:rsidR="00520AF3" w:rsidRPr="00520AF3" w:rsidRDefault="004361E1">
          <w:pPr>
            <w:pStyle w:val="Spistreci1"/>
            <w:tabs>
              <w:tab w:val="left" w:pos="480"/>
            </w:tabs>
            <w:rPr>
              <w:rFonts w:ascii="Times New Roman" w:eastAsiaTheme="minorEastAsia" w:hAnsi="Times New Roman"/>
              <w:b w:val="0"/>
              <w:bCs w:val="0"/>
              <w:i w:val="0"/>
              <w:iCs w:val="0"/>
              <w:noProof/>
              <w:sz w:val="20"/>
              <w:szCs w:val="20"/>
            </w:rPr>
          </w:pPr>
          <w:hyperlink w:anchor="_Toc477779735" w:history="1">
            <w:r w:rsidR="00520AF3" w:rsidRPr="00520AF3">
              <w:rPr>
                <w:rStyle w:val="Hipercze"/>
                <w:rFonts w:ascii="Times New Roman" w:hAnsi="Times New Roman"/>
                <w:b w:val="0"/>
                <w:i w:val="0"/>
                <w:noProof/>
                <w:sz w:val="20"/>
                <w:szCs w:val="20"/>
              </w:rPr>
              <w:t>2.</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PRZEGLĄD REALIZACJI RPO WSL</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_Toc477779735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w:t>
            </w:r>
            <w:r w:rsidR="00520AF3" w:rsidRPr="00520AF3">
              <w:rPr>
                <w:rFonts w:ascii="Times New Roman" w:hAnsi="Times New Roman"/>
                <w:b w:val="0"/>
                <w:i w:val="0"/>
                <w:noProof/>
                <w:webHidden/>
                <w:sz w:val="20"/>
                <w:szCs w:val="20"/>
              </w:rPr>
              <w:fldChar w:fldCharType="end"/>
            </w:r>
          </w:hyperlink>
        </w:p>
        <w:p w14:paraId="1D0A942A"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36" w:history="1">
            <w:r w:rsidR="00520AF3" w:rsidRPr="00520AF3">
              <w:rPr>
                <w:rStyle w:val="Hipercze"/>
                <w:rFonts w:ascii="Times New Roman" w:hAnsi="Times New Roman"/>
                <w:b w:val="0"/>
                <w:i w:val="0"/>
                <w:noProof/>
                <w:sz w:val="20"/>
                <w:szCs w:val="20"/>
              </w:rPr>
              <w:t>2.1.</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REALIZACJA I ANALIZA POSTĘPÓW</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_Toc477779736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21</w:t>
            </w:r>
            <w:r w:rsidR="00520AF3" w:rsidRPr="00520AF3">
              <w:rPr>
                <w:rFonts w:ascii="Times New Roman" w:hAnsi="Times New Roman"/>
                <w:b w:val="0"/>
                <w:i w:val="0"/>
                <w:noProof/>
                <w:webHidden/>
                <w:sz w:val="20"/>
                <w:szCs w:val="20"/>
              </w:rPr>
              <w:fldChar w:fldCharType="end"/>
            </w:r>
          </w:hyperlink>
        </w:p>
        <w:p w14:paraId="39E2D085"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37" w:history="1">
            <w:r w:rsidR="00520AF3" w:rsidRPr="00520AF3">
              <w:rPr>
                <w:rStyle w:val="Hipercze"/>
                <w:rFonts w:ascii="Times New Roman" w:hAnsi="Times New Roman"/>
                <w:b w:val="0"/>
                <w:i w:val="0"/>
                <w:noProof/>
                <w:sz w:val="20"/>
                <w:szCs w:val="20"/>
              </w:rPr>
              <w:t>2.1.1</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Informacje na temat postępów rzeczowych RPO WSL</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_Toc477779737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21</w:t>
            </w:r>
            <w:r w:rsidR="00520AF3" w:rsidRPr="00520AF3">
              <w:rPr>
                <w:rFonts w:ascii="Times New Roman" w:hAnsi="Times New Roman"/>
                <w:b w:val="0"/>
                <w:i w:val="0"/>
                <w:noProof/>
                <w:webHidden/>
                <w:sz w:val="20"/>
                <w:szCs w:val="20"/>
              </w:rPr>
              <w:fldChar w:fldCharType="end"/>
            </w:r>
          </w:hyperlink>
        </w:p>
        <w:p w14:paraId="4D66602C"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38" w:history="1">
            <w:r w:rsidR="00520AF3" w:rsidRPr="00520AF3">
              <w:rPr>
                <w:rStyle w:val="Hipercze"/>
                <w:rFonts w:ascii="Times New Roman" w:hAnsi="Times New Roman"/>
                <w:b w:val="0"/>
                <w:i w:val="0"/>
                <w:noProof/>
                <w:sz w:val="20"/>
                <w:szCs w:val="20"/>
              </w:rPr>
              <w:t>2.1.2</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Informacje finansowe</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_Toc477779738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21</w:t>
            </w:r>
            <w:r w:rsidR="00520AF3" w:rsidRPr="00520AF3">
              <w:rPr>
                <w:rFonts w:ascii="Times New Roman" w:hAnsi="Times New Roman"/>
                <w:b w:val="0"/>
                <w:i w:val="0"/>
                <w:noProof/>
                <w:webHidden/>
                <w:sz w:val="20"/>
                <w:szCs w:val="20"/>
              </w:rPr>
              <w:fldChar w:fldCharType="end"/>
            </w:r>
          </w:hyperlink>
        </w:p>
        <w:p w14:paraId="6B845A5D"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39" w:history="1">
            <w:r w:rsidR="00520AF3" w:rsidRPr="00520AF3">
              <w:rPr>
                <w:rStyle w:val="Hipercze"/>
                <w:rFonts w:ascii="Times New Roman" w:hAnsi="Times New Roman"/>
                <w:b w:val="0"/>
                <w:i w:val="0"/>
                <w:noProof/>
                <w:sz w:val="20"/>
                <w:szCs w:val="20"/>
              </w:rPr>
              <w:t>2.1.3</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Informacje nt. podziału wykorzystania funduszy wg kategorii interwencji</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_Toc477779739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21</w:t>
            </w:r>
            <w:r w:rsidR="00520AF3" w:rsidRPr="00520AF3">
              <w:rPr>
                <w:rFonts w:ascii="Times New Roman" w:hAnsi="Times New Roman"/>
                <w:b w:val="0"/>
                <w:i w:val="0"/>
                <w:noProof/>
                <w:webHidden/>
                <w:sz w:val="20"/>
                <w:szCs w:val="20"/>
              </w:rPr>
              <w:fldChar w:fldCharType="end"/>
            </w:r>
          </w:hyperlink>
        </w:p>
        <w:p w14:paraId="4F8B8E95"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40" w:history="1">
            <w:r w:rsidR="00520AF3" w:rsidRPr="00520AF3">
              <w:rPr>
                <w:rStyle w:val="Hipercze"/>
                <w:rFonts w:ascii="Times New Roman" w:hAnsi="Times New Roman"/>
                <w:b w:val="0"/>
                <w:i w:val="0"/>
                <w:noProof/>
                <w:sz w:val="20"/>
                <w:szCs w:val="20"/>
              </w:rPr>
              <w:t>2.1.4</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Pomoc w podziale na grupy docelowe</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_Toc477779740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21</w:t>
            </w:r>
            <w:r w:rsidR="00520AF3" w:rsidRPr="00520AF3">
              <w:rPr>
                <w:rFonts w:ascii="Times New Roman" w:hAnsi="Times New Roman"/>
                <w:b w:val="0"/>
                <w:i w:val="0"/>
                <w:noProof/>
                <w:webHidden/>
                <w:sz w:val="20"/>
                <w:szCs w:val="20"/>
              </w:rPr>
              <w:fldChar w:fldCharType="end"/>
            </w:r>
          </w:hyperlink>
        </w:p>
        <w:p w14:paraId="37E9BA14"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41" w:history="1">
            <w:r w:rsidR="00520AF3" w:rsidRPr="00520AF3">
              <w:rPr>
                <w:rStyle w:val="Hipercze"/>
                <w:rFonts w:ascii="Times New Roman" w:hAnsi="Times New Roman"/>
                <w:b w:val="0"/>
                <w:i w:val="0"/>
                <w:noProof/>
                <w:spacing w:val="-3"/>
                <w:sz w:val="20"/>
                <w:szCs w:val="20"/>
              </w:rPr>
              <w:t>2.1.5</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Pomoc ponownie wykorzystana</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_Toc477779741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21</w:t>
            </w:r>
            <w:r w:rsidR="00520AF3" w:rsidRPr="00520AF3">
              <w:rPr>
                <w:rFonts w:ascii="Times New Roman" w:hAnsi="Times New Roman"/>
                <w:b w:val="0"/>
                <w:i w:val="0"/>
                <w:noProof/>
                <w:webHidden/>
                <w:sz w:val="20"/>
                <w:szCs w:val="20"/>
              </w:rPr>
              <w:fldChar w:fldCharType="end"/>
            </w:r>
          </w:hyperlink>
        </w:p>
        <w:p w14:paraId="1C9463D7"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42" w:history="1">
            <w:r w:rsidR="00520AF3" w:rsidRPr="00520AF3">
              <w:rPr>
                <w:rStyle w:val="Hipercze"/>
                <w:rFonts w:ascii="Times New Roman" w:hAnsi="Times New Roman"/>
                <w:b w:val="0"/>
                <w:i w:val="0"/>
                <w:noProof/>
                <w:sz w:val="20"/>
                <w:szCs w:val="20"/>
              </w:rPr>
              <w:t>2.1.6</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Analiza jakościowa RPO WSL</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_Toc477779742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22</w:t>
            </w:r>
            <w:r w:rsidR="00520AF3" w:rsidRPr="00520AF3">
              <w:rPr>
                <w:rFonts w:ascii="Times New Roman" w:hAnsi="Times New Roman"/>
                <w:b w:val="0"/>
                <w:i w:val="0"/>
                <w:noProof/>
                <w:webHidden/>
                <w:sz w:val="20"/>
                <w:szCs w:val="20"/>
              </w:rPr>
              <w:fldChar w:fldCharType="end"/>
            </w:r>
          </w:hyperlink>
        </w:p>
        <w:p w14:paraId="2E0D9A24"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57" w:history="1">
            <w:r w:rsidR="00520AF3" w:rsidRPr="00520AF3">
              <w:rPr>
                <w:rStyle w:val="Hipercze"/>
                <w:rFonts w:ascii="Times New Roman" w:hAnsi="Times New Roman"/>
                <w:b w:val="0"/>
                <w:i w:val="0"/>
                <w:noProof/>
                <w:sz w:val="20"/>
                <w:szCs w:val="20"/>
              </w:rPr>
              <w:t>2.2</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INFORMACJA NA TEMAT ZGODNOŚCI Z PRZEPISAMI WSPÓLNOTOWYMI</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_Toc477779757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54</w:t>
            </w:r>
            <w:r w:rsidR="00520AF3" w:rsidRPr="00520AF3">
              <w:rPr>
                <w:rFonts w:ascii="Times New Roman" w:hAnsi="Times New Roman"/>
                <w:b w:val="0"/>
                <w:i w:val="0"/>
                <w:noProof/>
                <w:webHidden/>
                <w:sz w:val="20"/>
                <w:szCs w:val="20"/>
              </w:rPr>
              <w:fldChar w:fldCharType="end"/>
            </w:r>
          </w:hyperlink>
        </w:p>
        <w:p w14:paraId="2C29D87A"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60" w:history="1">
            <w:r w:rsidR="00520AF3" w:rsidRPr="00520AF3">
              <w:rPr>
                <w:rStyle w:val="Hipercze"/>
                <w:rFonts w:ascii="Times New Roman" w:hAnsi="Times New Roman"/>
                <w:b w:val="0"/>
                <w:i w:val="0"/>
                <w:noProof/>
                <w:spacing w:val="1"/>
                <w:sz w:val="20"/>
                <w:szCs w:val="20"/>
              </w:rPr>
              <w:t>2.3</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1"/>
                <w:sz w:val="20"/>
                <w:szCs w:val="20"/>
              </w:rPr>
              <w:t>NAPOTKANE ZNACZĄCE PROBLEMY ORAZ PODJĘTE ŚRODKI ZARADCZE</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_Toc477779760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57</w:t>
            </w:r>
            <w:r w:rsidR="00520AF3" w:rsidRPr="00520AF3">
              <w:rPr>
                <w:rFonts w:ascii="Times New Roman" w:hAnsi="Times New Roman"/>
                <w:b w:val="0"/>
                <w:i w:val="0"/>
                <w:noProof/>
                <w:webHidden/>
                <w:sz w:val="20"/>
                <w:szCs w:val="20"/>
              </w:rPr>
              <w:fldChar w:fldCharType="end"/>
            </w:r>
          </w:hyperlink>
        </w:p>
        <w:p w14:paraId="5C62992F"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61" w:history="1">
            <w:r w:rsidR="00520AF3" w:rsidRPr="00520AF3">
              <w:rPr>
                <w:rStyle w:val="Hipercze"/>
                <w:rFonts w:ascii="Times New Roman" w:hAnsi="Times New Roman"/>
                <w:b w:val="0"/>
                <w:i w:val="0"/>
                <w:noProof/>
                <w:spacing w:val="1"/>
                <w:sz w:val="20"/>
                <w:szCs w:val="20"/>
              </w:rPr>
              <w:t>2.4</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1"/>
                <w:sz w:val="20"/>
                <w:szCs w:val="20"/>
              </w:rPr>
              <w:t>ZMIANY W KONTEKŚCIE REALIZACJI RPO WSL (W STOSOWNYCH WYPADKACH)</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_Toc477779761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59</w:t>
            </w:r>
            <w:r w:rsidR="00520AF3" w:rsidRPr="00520AF3">
              <w:rPr>
                <w:rFonts w:ascii="Times New Roman" w:hAnsi="Times New Roman"/>
                <w:b w:val="0"/>
                <w:i w:val="0"/>
                <w:noProof/>
                <w:webHidden/>
                <w:sz w:val="20"/>
                <w:szCs w:val="20"/>
              </w:rPr>
              <w:fldChar w:fldCharType="end"/>
            </w:r>
          </w:hyperlink>
        </w:p>
        <w:p w14:paraId="4D9B8A3F"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62" w:history="1">
            <w:r w:rsidR="00520AF3" w:rsidRPr="00520AF3">
              <w:rPr>
                <w:rStyle w:val="Hipercze"/>
                <w:rFonts w:ascii="Times New Roman" w:hAnsi="Times New Roman"/>
                <w:b w:val="0"/>
                <w:i w:val="0"/>
                <w:noProof/>
                <w:spacing w:val="1"/>
                <w:sz w:val="20"/>
                <w:szCs w:val="20"/>
              </w:rPr>
              <w:t>2.5</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1"/>
                <w:sz w:val="20"/>
                <w:szCs w:val="20"/>
              </w:rPr>
              <w:t>ZASADNICZE MODYFIKACJE W ROZUMIENIU ART. 57 ROZPORZĄDZENIA NR 1083/2006</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_Toc477779762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76</w:t>
            </w:r>
            <w:r w:rsidR="00520AF3" w:rsidRPr="00520AF3">
              <w:rPr>
                <w:rFonts w:ascii="Times New Roman" w:hAnsi="Times New Roman"/>
                <w:b w:val="0"/>
                <w:i w:val="0"/>
                <w:noProof/>
                <w:webHidden/>
                <w:sz w:val="20"/>
                <w:szCs w:val="20"/>
              </w:rPr>
              <w:fldChar w:fldCharType="end"/>
            </w:r>
          </w:hyperlink>
        </w:p>
        <w:p w14:paraId="63137B7C"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63" w:history="1">
            <w:r w:rsidR="00520AF3" w:rsidRPr="00520AF3">
              <w:rPr>
                <w:rStyle w:val="Hipercze"/>
                <w:rFonts w:ascii="Times New Roman" w:hAnsi="Times New Roman"/>
                <w:b w:val="0"/>
                <w:i w:val="0"/>
                <w:noProof/>
                <w:spacing w:val="-2"/>
                <w:sz w:val="20"/>
                <w:szCs w:val="20"/>
              </w:rPr>
              <w:t>2.6</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2"/>
                <w:sz w:val="20"/>
                <w:szCs w:val="20"/>
              </w:rPr>
              <w:t>KOMPLEMENTARNOŚĆ POMOCY Z INNYMI INSTRUMENTAMI WSPARCIA</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_Toc477779763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80</w:t>
            </w:r>
            <w:r w:rsidR="00520AF3" w:rsidRPr="00520AF3">
              <w:rPr>
                <w:rFonts w:ascii="Times New Roman" w:hAnsi="Times New Roman"/>
                <w:b w:val="0"/>
                <w:i w:val="0"/>
                <w:noProof/>
                <w:webHidden/>
                <w:sz w:val="20"/>
                <w:szCs w:val="20"/>
              </w:rPr>
              <w:fldChar w:fldCharType="end"/>
            </w:r>
          </w:hyperlink>
        </w:p>
        <w:p w14:paraId="70673F40" w14:textId="77777777" w:rsidR="00520AF3" w:rsidRPr="00520AF3" w:rsidRDefault="004361E1">
          <w:pPr>
            <w:pStyle w:val="Spistreci1"/>
            <w:tabs>
              <w:tab w:val="left" w:pos="720"/>
            </w:tabs>
            <w:rPr>
              <w:rFonts w:ascii="Times New Roman" w:eastAsiaTheme="minorEastAsia" w:hAnsi="Times New Roman"/>
              <w:b w:val="0"/>
              <w:bCs w:val="0"/>
              <w:i w:val="0"/>
              <w:iCs w:val="0"/>
              <w:noProof/>
              <w:sz w:val="20"/>
              <w:szCs w:val="20"/>
            </w:rPr>
          </w:pPr>
          <w:hyperlink w:anchor="_Toc477779770" w:history="1">
            <w:r w:rsidR="00520AF3" w:rsidRPr="00520AF3">
              <w:rPr>
                <w:rStyle w:val="Hipercze"/>
                <w:rFonts w:ascii="Times New Roman" w:hAnsi="Times New Roman"/>
                <w:b w:val="0"/>
                <w:i w:val="0"/>
                <w:noProof/>
                <w:sz w:val="20"/>
                <w:szCs w:val="20"/>
              </w:rPr>
              <w:t>2.7</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MONITORO</w:t>
            </w:r>
            <w:bookmarkStart w:id="7" w:name="_GoBack"/>
            <w:bookmarkEnd w:id="7"/>
            <w:r w:rsidR="00520AF3" w:rsidRPr="00520AF3">
              <w:rPr>
                <w:rStyle w:val="Hipercze"/>
                <w:rFonts w:ascii="Times New Roman" w:hAnsi="Times New Roman"/>
                <w:b w:val="0"/>
                <w:i w:val="0"/>
                <w:noProof/>
                <w:sz w:val="20"/>
                <w:szCs w:val="20"/>
              </w:rPr>
              <w:t>WANIE I OCENA</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_Toc477779770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93</w:t>
            </w:r>
            <w:r w:rsidR="00520AF3" w:rsidRPr="00520AF3">
              <w:rPr>
                <w:rFonts w:ascii="Times New Roman" w:hAnsi="Times New Roman"/>
                <w:b w:val="0"/>
                <w:i w:val="0"/>
                <w:noProof/>
                <w:webHidden/>
                <w:sz w:val="20"/>
                <w:szCs w:val="20"/>
              </w:rPr>
              <w:fldChar w:fldCharType="end"/>
            </w:r>
          </w:hyperlink>
        </w:p>
        <w:p w14:paraId="43F27163" w14:textId="77777777" w:rsidR="00520AF3" w:rsidRPr="00520AF3" w:rsidRDefault="004361E1">
          <w:pPr>
            <w:pStyle w:val="Spistreci1"/>
            <w:tabs>
              <w:tab w:val="left" w:pos="480"/>
            </w:tabs>
            <w:rPr>
              <w:rFonts w:ascii="Times New Roman" w:eastAsiaTheme="minorEastAsia" w:hAnsi="Times New Roman"/>
              <w:b w:val="0"/>
              <w:bCs w:val="0"/>
              <w:i w:val="0"/>
              <w:iCs w:val="0"/>
              <w:noProof/>
              <w:sz w:val="20"/>
              <w:szCs w:val="20"/>
            </w:rPr>
          </w:pPr>
          <w:hyperlink w:anchor="_Toc477779771" w:history="1">
            <w:r w:rsidR="00520AF3" w:rsidRPr="00520AF3">
              <w:rPr>
                <w:rStyle w:val="Hipercze"/>
                <w:rFonts w:ascii="Times New Roman" w:hAnsi="Times New Roman"/>
                <w:b w:val="0"/>
                <w:i w:val="0"/>
                <w:noProof/>
                <w:sz w:val="20"/>
                <w:szCs w:val="20"/>
              </w:rPr>
              <w:t>3</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z w:val="20"/>
                <w:szCs w:val="20"/>
              </w:rPr>
              <w:t>REALIZACJA W PODZIALE NA PRIORYTETY, POSTĘP WDRAŻANIA PROGRAMU WG PRIORYTETÓW/OSI</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_Toc477779771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104</w:t>
            </w:r>
            <w:r w:rsidR="00520AF3" w:rsidRPr="00520AF3">
              <w:rPr>
                <w:rFonts w:ascii="Times New Roman" w:hAnsi="Times New Roman"/>
                <w:b w:val="0"/>
                <w:i w:val="0"/>
                <w:noProof/>
                <w:webHidden/>
                <w:sz w:val="20"/>
                <w:szCs w:val="20"/>
              </w:rPr>
              <w:fldChar w:fldCharType="end"/>
            </w:r>
          </w:hyperlink>
        </w:p>
        <w:p w14:paraId="5A20799F" w14:textId="77777777" w:rsidR="00520AF3" w:rsidRPr="00520AF3" w:rsidRDefault="004361E1">
          <w:pPr>
            <w:pStyle w:val="Spistreci1"/>
            <w:tabs>
              <w:tab w:val="left" w:pos="480"/>
            </w:tabs>
            <w:rPr>
              <w:rFonts w:ascii="Times New Roman" w:eastAsiaTheme="minorEastAsia" w:hAnsi="Times New Roman"/>
              <w:b w:val="0"/>
              <w:bCs w:val="0"/>
              <w:i w:val="0"/>
              <w:iCs w:val="0"/>
              <w:noProof/>
              <w:sz w:val="20"/>
              <w:szCs w:val="20"/>
            </w:rPr>
          </w:pPr>
          <w:hyperlink w:anchor="_Toc477779788" w:history="1">
            <w:r w:rsidR="00520AF3" w:rsidRPr="00520AF3">
              <w:rPr>
                <w:rStyle w:val="Hipercze"/>
                <w:rFonts w:ascii="Times New Roman" w:hAnsi="Times New Roman"/>
                <w:b w:val="0"/>
                <w:i w:val="0"/>
                <w:noProof/>
                <w:sz w:val="20"/>
                <w:szCs w:val="20"/>
              </w:rPr>
              <w:t>4.</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 xml:space="preserve">PROGRAMY WSPÓŁFINANSOWANE Z </w:t>
            </w:r>
            <w:r w:rsidR="00520AF3" w:rsidRPr="00520AF3">
              <w:rPr>
                <w:rStyle w:val="Hipercze"/>
                <w:rFonts w:ascii="Times New Roman" w:hAnsi="Times New Roman"/>
                <w:b w:val="0"/>
                <w:i w:val="0"/>
                <w:noProof/>
                <w:spacing w:val="1"/>
                <w:sz w:val="20"/>
                <w:szCs w:val="20"/>
              </w:rPr>
              <w:t>E</w:t>
            </w:r>
            <w:r w:rsidR="00520AF3" w:rsidRPr="00520AF3">
              <w:rPr>
                <w:rStyle w:val="Hipercze"/>
                <w:rFonts w:ascii="Times New Roman" w:hAnsi="Times New Roman"/>
                <w:b w:val="0"/>
                <w:i w:val="0"/>
                <w:noProof/>
                <w:spacing w:val="-3"/>
                <w:sz w:val="20"/>
                <w:szCs w:val="20"/>
              </w:rPr>
              <w:t>F</w:t>
            </w:r>
            <w:r w:rsidR="00520AF3" w:rsidRPr="00520AF3">
              <w:rPr>
                <w:rStyle w:val="Hipercze"/>
                <w:rFonts w:ascii="Times New Roman" w:hAnsi="Times New Roman"/>
                <w:b w:val="0"/>
                <w:i w:val="0"/>
                <w:noProof/>
                <w:sz w:val="20"/>
                <w:szCs w:val="20"/>
              </w:rPr>
              <w:t>S</w:t>
            </w:r>
            <w:r w:rsidR="00520AF3" w:rsidRPr="00520AF3">
              <w:rPr>
                <w:rStyle w:val="Hipercze"/>
                <w:rFonts w:ascii="Times New Roman" w:hAnsi="Times New Roman"/>
                <w:b w:val="0"/>
                <w:i w:val="0"/>
                <w:noProof/>
                <w:spacing w:val="1"/>
                <w:sz w:val="20"/>
                <w:szCs w:val="20"/>
              </w:rPr>
              <w:t xml:space="preserve"> </w:t>
            </w:r>
            <w:r w:rsidR="00520AF3" w:rsidRPr="00520AF3">
              <w:rPr>
                <w:rStyle w:val="Hipercze"/>
                <w:rFonts w:ascii="Times New Roman" w:hAnsi="Times New Roman"/>
                <w:b w:val="0"/>
                <w:i w:val="0"/>
                <w:noProof/>
                <w:sz w:val="20"/>
                <w:szCs w:val="20"/>
              </w:rPr>
              <w:t>– SPÓJNOŚĆ I KONCENTRACJA WSPARCIA</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_Toc477779788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193</w:t>
            </w:r>
            <w:r w:rsidR="00520AF3" w:rsidRPr="00520AF3">
              <w:rPr>
                <w:rFonts w:ascii="Times New Roman" w:hAnsi="Times New Roman"/>
                <w:b w:val="0"/>
                <w:i w:val="0"/>
                <w:noProof/>
                <w:webHidden/>
                <w:sz w:val="20"/>
                <w:szCs w:val="20"/>
              </w:rPr>
              <w:fldChar w:fldCharType="end"/>
            </w:r>
          </w:hyperlink>
        </w:p>
        <w:p w14:paraId="2AE6BE7A" w14:textId="77777777" w:rsidR="00520AF3" w:rsidRPr="00520AF3" w:rsidRDefault="004361E1">
          <w:pPr>
            <w:pStyle w:val="Spistreci1"/>
            <w:tabs>
              <w:tab w:val="left" w:pos="480"/>
            </w:tabs>
            <w:rPr>
              <w:rFonts w:ascii="Times New Roman" w:eastAsiaTheme="minorEastAsia" w:hAnsi="Times New Roman"/>
              <w:b w:val="0"/>
              <w:bCs w:val="0"/>
              <w:i w:val="0"/>
              <w:iCs w:val="0"/>
              <w:noProof/>
              <w:sz w:val="20"/>
              <w:szCs w:val="20"/>
            </w:rPr>
          </w:pPr>
          <w:hyperlink w:anchor="_Toc477779789" w:history="1">
            <w:r w:rsidR="00520AF3" w:rsidRPr="00520AF3">
              <w:rPr>
                <w:rStyle w:val="Hipercze"/>
                <w:rFonts w:ascii="Times New Roman" w:hAnsi="Times New Roman"/>
                <w:b w:val="0"/>
                <w:i w:val="0"/>
                <w:noProof/>
                <w:sz w:val="20"/>
                <w:szCs w:val="20"/>
              </w:rPr>
              <w:t>5.</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EFRR</w:t>
            </w:r>
            <w:r w:rsidR="00520AF3" w:rsidRPr="00520AF3">
              <w:rPr>
                <w:rStyle w:val="Hipercze"/>
                <w:rFonts w:ascii="Times New Roman" w:hAnsi="Times New Roman"/>
                <w:b w:val="0"/>
                <w:i w:val="0"/>
                <w:noProof/>
                <w:spacing w:val="3"/>
                <w:sz w:val="20"/>
                <w:szCs w:val="20"/>
              </w:rPr>
              <w:t>/</w:t>
            </w:r>
            <w:r w:rsidR="00520AF3" w:rsidRPr="00520AF3">
              <w:rPr>
                <w:rStyle w:val="Hipercze"/>
                <w:rFonts w:ascii="Times New Roman" w:hAnsi="Times New Roman"/>
                <w:b w:val="0"/>
                <w:i w:val="0"/>
                <w:noProof/>
                <w:spacing w:val="-3"/>
                <w:sz w:val="20"/>
                <w:szCs w:val="20"/>
              </w:rPr>
              <w:t>F</w:t>
            </w:r>
            <w:r w:rsidR="00520AF3" w:rsidRPr="00520AF3">
              <w:rPr>
                <w:rStyle w:val="Hipercze"/>
                <w:rFonts w:ascii="Times New Roman" w:hAnsi="Times New Roman"/>
                <w:b w:val="0"/>
                <w:i w:val="0"/>
                <w:noProof/>
                <w:sz w:val="20"/>
                <w:szCs w:val="20"/>
              </w:rPr>
              <w:t>S – DUŻE PROJEKTY</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_Toc477779789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193</w:t>
            </w:r>
            <w:r w:rsidR="00520AF3" w:rsidRPr="00520AF3">
              <w:rPr>
                <w:rFonts w:ascii="Times New Roman" w:hAnsi="Times New Roman"/>
                <w:b w:val="0"/>
                <w:i w:val="0"/>
                <w:noProof/>
                <w:webHidden/>
                <w:sz w:val="20"/>
                <w:szCs w:val="20"/>
              </w:rPr>
              <w:fldChar w:fldCharType="end"/>
            </w:r>
          </w:hyperlink>
        </w:p>
        <w:p w14:paraId="390F4450" w14:textId="77777777" w:rsidR="00520AF3" w:rsidRPr="00520AF3" w:rsidRDefault="004361E1">
          <w:pPr>
            <w:pStyle w:val="Spistreci1"/>
            <w:tabs>
              <w:tab w:val="left" w:pos="480"/>
            </w:tabs>
            <w:rPr>
              <w:rFonts w:ascii="Times New Roman" w:eastAsiaTheme="minorEastAsia" w:hAnsi="Times New Roman"/>
              <w:b w:val="0"/>
              <w:bCs w:val="0"/>
              <w:i w:val="0"/>
              <w:iCs w:val="0"/>
              <w:noProof/>
              <w:sz w:val="20"/>
              <w:szCs w:val="20"/>
            </w:rPr>
          </w:pPr>
          <w:hyperlink w:anchor="_Toc477779805" w:history="1">
            <w:r w:rsidR="00520AF3" w:rsidRPr="00520AF3">
              <w:rPr>
                <w:rStyle w:val="Hipercze"/>
                <w:rFonts w:ascii="Times New Roman" w:hAnsi="Times New Roman"/>
                <w:b w:val="0"/>
                <w:i w:val="0"/>
                <w:noProof/>
                <w:spacing w:val="-3"/>
                <w:sz w:val="20"/>
                <w:szCs w:val="20"/>
              </w:rPr>
              <w:t>6.</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POMOC TECHNICZNA</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_Toc477779805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201</w:t>
            </w:r>
            <w:r w:rsidR="00520AF3" w:rsidRPr="00520AF3">
              <w:rPr>
                <w:rFonts w:ascii="Times New Roman" w:hAnsi="Times New Roman"/>
                <w:b w:val="0"/>
                <w:i w:val="0"/>
                <w:noProof/>
                <w:webHidden/>
                <w:sz w:val="20"/>
                <w:szCs w:val="20"/>
              </w:rPr>
              <w:fldChar w:fldCharType="end"/>
            </w:r>
          </w:hyperlink>
        </w:p>
        <w:p w14:paraId="19BC7DDE" w14:textId="77777777" w:rsidR="00520AF3" w:rsidRPr="00520AF3" w:rsidRDefault="004361E1">
          <w:pPr>
            <w:pStyle w:val="Spistreci1"/>
            <w:tabs>
              <w:tab w:val="left" w:pos="480"/>
            </w:tabs>
            <w:rPr>
              <w:rFonts w:ascii="Times New Roman" w:eastAsiaTheme="minorEastAsia" w:hAnsi="Times New Roman"/>
              <w:b w:val="0"/>
              <w:bCs w:val="0"/>
              <w:i w:val="0"/>
              <w:iCs w:val="0"/>
              <w:noProof/>
              <w:sz w:val="20"/>
              <w:szCs w:val="20"/>
            </w:rPr>
          </w:pPr>
          <w:hyperlink w:anchor="_Toc477779806" w:history="1">
            <w:r w:rsidR="00520AF3" w:rsidRPr="00520AF3">
              <w:rPr>
                <w:rStyle w:val="Hipercze"/>
                <w:rFonts w:ascii="Times New Roman" w:hAnsi="Times New Roman"/>
                <w:b w:val="0"/>
                <w:i w:val="0"/>
                <w:noProof/>
                <w:sz w:val="20"/>
                <w:szCs w:val="20"/>
              </w:rPr>
              <w:t>7.</w:t>
            </w:r>
            <w:r w:rsidR="00520AF3" w:rsidRPr="00520AF3">
              <w:rPr>
                <w:rFonts w:ascii="Times New Roman" w:eastAsiaTheme="minorEastAsia" w:hAnsi="Times New Roman"/>
                <w:b w:val="0"/>
                <w:bCs w:val="0"/>
                <w:i w:val="0"/>
                <w:iCs w:val="0"/>
                <w:noProof/>
                <w:sz w:val="20"/>
                <w:szCs w:val="20"/>
              </w:rPr>
              <w:tab/>
            </w:r>
            <w:r w:rsidR="00520AF3" w:rsidRPr="00520AF3">
              <w:rPr>
                <w:rStyle w:val="Hipercze"/>
                <w:rFonts w:ascii="Times New Roman" w:hAnsi="Times New Roman"/>
                <w:b w:val="0"/>
                <w:i w:val="0"/>
                <w:noProof/>
                <w:spacing w:val="-3"/>
                <w:sz w:val="20"/>
                <w:szCs w:val="20"/>
              </w:rPr>
              <w:t>PROMOCJA I INFORMACJA</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_Toc477779806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202</w:t>
            </w:r>
            <w:r w:rsidR="00520AF3" w:rsidRPr="00520AF3">
              <w:rPr>
                <w:rFonts w:ascii="Times New Roman" w:hAnsi="Times New Roman"/>
                <w:b w:val="0"/>
                <w:i w:val="0"/>
                <w:noProof/>
                <w:webHidden/>
                <w:sz w:val="20"/>
                <w:szCs w:val="20"/>
              </w:rPr>
              <w:fldChar w:fldCharType="end"/>
            </w:r>
          </w:hyperlink>
        </w:p>
        <w:p w14:paraId="6F356817" w14:textId="77777777" w:rsidR="00520AF3" w:rsidRPr="00520AF3" w:rsidRDefault="004361E1">
          <w:pPr>
            <w:pStyle w:val="Spistreci1"/>
            <w:rPr>
              <w:rFonts w:ascii="Times New Roman" w:eastAsiaTheme="minorEastAsia" w:hAnsi="Times New Roman"/>
              <w:b w:val="0"/>
              <w:bCs w:val="0"/>
              <w:i w:val="0"/>
              <w:iCs w:val="0"/>
              <w:noProof/>
              <w:sz w:val="20"/>
              <w:szCs w:val="20"/>
            </w:rPr>
          </w:pPr>
          <w:hyperlink w:anchor="_Toc477779807" w:history="1">
            <w:r w:rsidR="00520AF3" w:rsidRPr="00520AF3">
              <w:rPr>
                <w:rStyle w:val="Hipercze"/>
                <w:rFonts w:ascii="Times New Roman" w:hAnsi="Times New Roman"/>
                <w:b w:val="0"/>
                <w:i w:val="0"/>
                <w:noProof/>
                <w:sz w:val="20"/>
                <w:szCs w:val="20"/>
              </w:rPr>
              <w:t>ZAŁĄCZNIKI DO SPRAWZODANIA KOŃCOWEGO</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_Toc477779807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203</w:t>
            </w:r>
            <w:r w:rsidR="00520AF3" w:rsidRPr="00520AF3">
              <w:rPr>
                <w:rFonts w:ascii="Times New Roman" w:hAnsi="Times New Roman"/>
                <w:b w:val="0"/>
                <w:i w:val="0"/>
                <w:noProof/>
                <w:webHidden/>
                <w:sz w:val="20"/>
                <w:szCs w:val="20"/>
              </w:rPr>
              <w:fldChar w:fldCharType="end"/>
            </w:r>
          </w:hyperlink>
        </w:p>
        <w:p w14:paraId="6EE72E44" w14:textId="77777777" w:rsidR="00520AF3" w:rsidRPr="00520AF3" w:rsidRDefault="004361E1">
          <w:pPr>
            <w:pStyle w:val="Spistreci1"/>
            <w:rPr>
              <w:rFonts w:ascii="Times New Roman" w:eastAsiaTheme="minorEastAsia" w:hAnsi="Times New Roman"/>
              <w:b w:val="0"/>
              <w:bCs w:val="0"/>
              <w:i w:val="0"/>
              <w:iCs w:val="0"/>
              <w:noProof/>
              <w:sz w:val="20"/>
              <w:szCs w:val="20"/>
            </w:rPr>
          </w:pPr>
          <w:hyperlink w:anchor="_Toc477779808" w:history="1">
            <w:r w:rsidR="00520AF3" w:rsidRPr="00520AF3">
              <w:rPr>
                <w:rStyle w:val="Hipercze"/>
                <w:rFonts w:ascii="Times New Roman" w:hAnsi="Times New Roman"/>
                <w:b w:val="0"/>
                <w:i w:val="0"/>
                <w:noProof/>
                <w:sz w:val="20"/>
                <w:szCs w:val="20"/>
              </w:rPr>
              <w:t>SPIS RYSUNKÓW</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_Toc477779808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203</w:t>
            </w:r>
            <w:r w:rsidR="00520AF3" w:rsidRPr="00520AF3">
              <w:rPr>
                <w:rFonts w:ascii="Times New Roman" w:hAnsi="Times New Roman"/>
                <w:b w:val="0"/>
                <w:i w:val="0"/>
                <w:noProof/>
                <w:webHidden/>
                <w:sz w:val="20"/>
                <w:szCs w:val="20"/>
              </w:rPr>
              <w:fldChar w:fldCharType="end"/>
            </w:r>
          </w:hyperlink>
        </w:p>
        <w:p w14:paraId="35E6E6E8" w14:textId="77777777" w:rsidR="00520AF3" w:rsidRPr="00520AF3" w:rsidRDefault="004361E1">
          <w:pPr>
            <w:pStyle w:val="Spistreci1"/>
            <w:rPr>
              <w:rFonts w:ascii="Times New Roman" w:eastAsiaTheme="minorEastAsia" w:hAnsi="Times New Roman"/>
              <w:b w:val="0"/>
              <w:bCs w:val="0"/>
              <w:i w:val="0"/>
              <w:iCs w:val="0"/>
              <w:noProof/>
              <w:sz w:val="20"/>
              <w:szCs w:val="20"/>
            </w:rPr>
          </w:pPr>
          <w:hyperlink w:anchor="_Toc477779809" w:history="1">
            <w:r w:rsidR="00520AF3" w:rsidRPr="00520AF3">
              <w:rPr>
                <w:rStyle w:val="Hipercze"/>
                <w:rFonts w:ascii="Times New Roman" w:hAnsi="Times New Roman"/>
                <w:b w:val="0"/>
                <w:i w:val="0"/>
                <w:noProof/>
                <w:sz w:val="20"/>
                <w:szCs w:val="20"/>
              </w:rPr>
              <w:t>SPIS TABEL</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_Toc477779809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204</w:t>
            </w:r>
            <w:r w:rsidR="00520AF3" w:rsidRPr="00520AF3">
              <w:rPr>
                <w:rFonts w:ascii="Times New Roman" w:hAnsi="Times New Roman"/>
                <w:b w:val="0"/>
                <w:i w:val="0"/>
                <w:noProof/>
                <w:webHidden/>
                <w:sz w:val="20"/>
                <w:szCs w:val="20"/>
              </w:rPr>
              <w:fldChar w:fldCharType="end"/>
            </w:r>
          </w:hyperlink>
        </w:p>
        <w:p w14:paraId="76352406" w14:textId="77777777" w:rsidR="00520AF3" w:rsidRPr="00520AF3" w:rsidRDefault="004361E1">
          <w:pPr>
            <w:pStyle w:val="Spistreci1"/>
            <w:rPr>
              <w:rFonts w:ascii="Times New Roman" w:eastAsiaTheme="minorEastAsia" w:hAnsi="Times New Roman"/>
              <w:b w:val="0"/>
              <w:bCs w:val="0"/>
              <w:i w:val="0"/>
              <w:iCs w:val="0"/>
              <w:noProof/>
              <w:sz w:val="20"/>
              <w:szCs w:val="20"/>
            </w:rPr>
          </w:pPr>
          <w:hyperlink w:anchor="_Toc477779810" w:history="1">
            <w:r w:rsidR="00520AF3" w:rsidRPr="00520AF3">
              <w:rPr>
                <w:rStyle w:val="Hipercze"/>
                <w:rFonts w:ascii="Times New Roman" w:hAnsi="Times New Roman"/>
                <w:b w:val="0"/>
                <w:i w:val="0"/>
                <w:noProof/>
                <w:sz w:val="20"/>
                <w:szCs w:val="20"/>
              </w:rPr>
              <w:t>WYKAZ SKRÓTÓW</w:t>
            </w:r>
            <w:r w:rsidR="00520AF3" w:rsidRPr="00520AF3">
              <w:rPr>
                <w:rFonts w:ascii="Times New Roman" w:hAnsi="Times New Roman"/>
                <w:b w:val="0"/>
                <w:i w:val="0"/>
                <w:noProof/>
                <w:webHidden/>
                <w:sz w:val="20"/>
                <w:szCs w:val="20"/>
              </w:rPr>
              <w:tab/>
            </w:r>
            <w:r w:rsidR="00520AF3" w:rsidRPr="00520AF3">
              <w:rPr>
                <w:rFonts w:ascii="Times New Roman" w:hAnsi="Times New Roman"/>
                <w:b w:val="0"/>
                <w:i w:val="0"/>
                <w:noProof/>
                <w:webHidden/>
                <w:sz w:val="20"/>
                <w:szCs w:val="20"/>
              </w:rPr>
              <w:fldChar w:fldCharType="begin"/>
            </w:r>
            <w:r w:rsidR="00520AF3" w:rsidRPr="00520AF3">
              <w:rPr>
                <w:rFonts w:ascii="Times New Roman" w:hAnsi="Times New Roman"/>
                <w:b w:val="0"/>
                <w:i w:val="0"/>
                <w:noProof/>
                <w:webHidden/>
                <w:sz w:val="20"/>
                <w:szCs w:val="20"/>
              </w:rPr>
              <w:instrText xml:space="preserve"> PAGEREF _Toc477779810 \h </w:instrText>
            </w:r>
            <w:r w:rsidR="00520AF3" w:rsidRPr="00520AF3">
              <w:rPr>
                <w:rFonts w:ascii="Times New Roman" w:hAnsi="Times New Roman"/>
                <w:b w:val="0"/>
                <w:i w:val="0"/>
                <w:noProof/>
                <w:webHidden/>
                <w:sz w:val="20"/>
                <w:szCs w:val="20"/>
              </w:rPr>
            </w:r>
            <w:r w:rsidR="00520AF3" w:rsidRPr="00520AF3">
              <w:rPr>
                <w:rFonts w:ascii="Times New Roman" w:hAnsi="Times New Roman"/>
                <w:b w:val="0"/>
                <w:i w:val="0"/>
                <w:noProof/>
                <w:webHidden/>
                <w:sz w:val="20"/>
                <w:szCs w:val="20"/>
              </w:rPr>
              <w:fldChar w:fldCharType="separate"/>
            </w:r>
            <w:r>
              <w:rPr>
                <w:rFonts w:ascii="Times New Roman" w:hAnsi="Times New Roman"/>
                <w:b w:val="0"/>
                <w:i w:val="0"/>
                <w:noProof/>
                <w:webHidden/>
                <w:sz w:val="20"/>
                <w:szCs w:val="20"/>
              </w:rPr>
              <w:t>205</w:t>
            </w:r>
            <w:r w:rsidR="00520AF3" w:rsidRPr="00520AF3">
              <w:rPr>
                <w:rFonts w:ascii="Times New Roman" w:hAnsi="Times New Roman"/>
                <w:b w:val="0"/>
                <w:i w:val="0"/>
                <w:noProof/>
                <w:webHidden/>
                <w:sz w:val="20"/>
                <w:szCs w:val="20"/>
              </w:rPr>
              <w:fldChar w:fldCharType="end"/>
            </w:r>
          </w:hyperlink>
        </w:p>
        <w:p w14:paraId="7EF42026" w14:textId="5786EE5B" w:rsidR="00271FE6" w:rsidRDefault="00271FE6">
          <w:r w:rsidRPr="0018564D">
            <w:rPr>
              <w:bCs/>
              <w:sz w:val="20"/>
              <w:szCs w:val="20"/>
            </w:rPr>
            <w:fldChar w:fldCharType="end"/>
          </w:r>
        </w:p>
      </w:sdtContent>
    </w:sdt>
    <w:p w14:paraId="651905FE" w14:textId="77777777" w:rsidR="00271FE6" w:rsidRPr="00271FE6" w:rsidRDefault="00271FE6" w:rsidP="00271FE6"/>
    <w:p w14:paraId="64A4A746" w14:textId="6BF3F115" w:rsidR="00BB169B" w:rsidRPr="0094320D" w:rsidRDefault="00BB169B" w:rsidP="0094320D">
      <w:pPr>
        <w:spacing w:before="120" w:after="120"/>
        <w:jc w:val="both"/>
        <w:rPr>
          <w:i/>
          <w:szCs w:val="24"/>
        </w:rPr>
      </w:pPr>
    </w:p>
    <w:p w14:paraId="39001AB1" w14:textId="405D5E81" w:rsidR="00DA3399" w:rsidRDefault="00B3038A" w:rsidP="00951D3C">
      <w:pPr>
        <w:pStyle w:val="Nagwek1"/>
        <w:numPr>
          <w:ilvl w:val="0"/>
          <w:numId w:val="0"/>
        </w:numPr>
        <w:spacing w:after="240"/>
        <w:ind w:left="431" w:hanging="431"/>
        <w:jc w:val="both"/>
        <w:rPr>
          <w:szCs w:val="24"/>
          <w:lang w:val="en-GB"/>
        </w:rPr>
      </w:pPr>
      <w:bookmarkStart w:id="8" w:name="_Toc423351745"/>
      <w:bookmarkStart w:id="9" w:name="_Toc477779734"/>
      <w:bookmarkStart w:id="10" w:name="_Toc292789227"/>
      <w:bookmarkStart w:id="11" w:name="_Toc292793517"/>
      <w:r>
        <w:rPr>
          <w:szCs w:val="24"/>
          <w:lang w:val="en-GB"/>
        </w:rPr>
        <w:lastRenderedPageBreak/>
        <w:t>S</w:t>
      </w:r>
      <w:r w:rsidR="0094233E" w:rsidRPr="0094320D">
        <w:rPr>
          <w:szCs w:val="24"/>
          <w:lang w:val="en-GB"/>
        </w:rPr>
        <w:t>TRESZCZENIE W JĘZYKU ANGIELSKIM</w:t>
      </w:r>
      <w:bookmarkEnd w:id="8"/>
      <w:bookmarkEnd w:id="9"/>
    </w:p>
    <w:p w14:paraId="79FDE908" w14:textId="77777777" w:rsidR="000C056A" w:rsidRPr="000C056A" w:rsidRDefault="000C056A" w:rsidP="000C056A">
      <w:pPr>
        <w:spacing w:after="0"/>
        <w:jc w:val="both"/>
        <w:rPr>
          <w:b/>
          <w:szCs w:val="24"/>
          <w:lang w:val="en-US"/>
        </w:rPr>
      </w:pPr>
    </w:p>
    <w:p w14:paraId="1CE1CF32" w14:textId="77777777" w:rsidR="000C056A" w:rsidRPr="000C056A" w:rsidRDefault="000C056A" w:rsidP="000C056A">
      <w:pPr>
        <w:spacing w:after="0"/>
        <w:jc w:val="both"/>
        <w:rPr>
          <w:b/>
          <w:szCs w:val="24"/>
          <w:lang w:val="en-US"/>
        </w:rPr>
      </w:pPr>
      <w:r w:rsidRPr="000C056A">
        <w:rPr>
          <w:b/>
          <w:bCs/>
          <w:szCs w:val="24"/>
          <w:lang w:val="en-GB"/>
        </w:rPr>
        <w:t>GENERAL INFORMATION</w:t>
      </w:r>
    </w:p>
    <w:p w14:paraId="1DD66B3C" w14:textId="77777777" w:rsidR="000C056A" w:rsidRPr="000C056A" w:rsidRDefault="000C056A" w:rsidP="000C056A">
      <w:pPr>
        <w:spacing w:after="0"/>
        <w:jc w:val="both"/>
        <w:rPr>
          <w:szCs w:val="24"/>
          <w:lang w:val="en-US"/>
        </w:rPr>
      </w:pPr>
    </w:p>
    <w:p w14:paraId="45DCADDF" w14:textId="77777777" w:rsidR="000C056A" w:rsidRPr="000C056A" w:rsidRDefault="000C056A" w:rsidP="000C056A">
      <w:pPr>
        <w:spacing w:after="0"/>
        <w:jc w:val="both"/>
        <w:rPr>
          <w:szCs w:val="24"/>
          <w:lang w:val="en-US"/>
        </w:rPr>
      </w:pPr>
      <w:r w:rsidRPr="000C056A">
        <w:rPr>
          <w:i/>
          <w:iCs/>
          <w:szCs w:val="24"/>
          <w:lang w:val="en-GB"/>
        </w:rPr>
        <w:t>Regional  Operational Programme of the Silesian Voivodeship  2007-2013</w:t>
      </w:r>
      <w:r w:rsidRPr="000C056A">
        <w:rPr>
          <w:szCs w:val="24"/>
          <w:lang w:val="en-GB"/>
        </w:rPr>
        <w:t xml:space="preserve"> (ROP SV) is the second largest regional programme in Poland in terms of the level of funds. As the Managing Authority (MA), Management Board of the Silesian Voivodeship was responsible for implementation of the Programme, and the tasks were performed by:</w:t>
      </w:r>
    </w:p>
    <w:p w14:paraId="3E070C05" w14:textId="77777777" w:rsidR="000C056A" w:rsidRPr="000C056A" w:rsidRDefault="000C056A" w:rsidP="000C056A">
      <w:pPr>
        <w:numPr>
          <w:ilvl w:val="0"/>
          <w:numId w:val="30"/>
        </w:numPr>
        <w:spacing w:after="0"/>
        <w:contextualSpacing/>
        <w:jc w:val="both"/>
        <w:rPr>
          <w:szCs w:val="24"/>
          <w:lang w:val="en-US"/>
        </w:rPr>
      </w:pPr>
      <w:r w:rsidRPr="000C056A">
        <w:rPr>
          <w:szCs w:val="24"/>
          <w:lang w:val="en-GB"/>
        </w:rPr>
        <w:t xml:space="preserve">The Department of Regional Development and the Department of European Regional Development Fund in the Marshall’s Office - implementation of priorities addressed mostly at local authorities, </w:t>
      </w:r>
    </w:p>
    <w:p w14:paraId="2F64E4A6" w14:textId="77777777" w:rsidR="000C056A" w:rsidRPr="000C056A" w:rsidRDefault="000C056A" w:rsidP="000C056A">
      <w:pPr>
        <w:numPr>
          <w:ilvl w:val="0"/>
          <w:numId w:val="30"/>
        </w:numPr>
        <w:spacing w:after="120"/>
        <w:ind w:left="714" w:hanging="357"/>
        <w:contextualSpacing/>
        <w:jc w:val="both"/>
        <w:rPr>
          <w:szCs w:val="24"/>
          <w:lang w:val="en-US"/>
        </w:rPr>
      </w:pPr>
      <w:r w:rsidRPr="000C056A">
        <w:rPr>
          <w:szCs w:val="24"/>
          <w:lang w:val="en-GB"/>
        </w:rPr>
        <w:t xml:space="preserve">Silesian Centre of Entrepreneurship (SCE) - implementation of actions d at entrepreneurs. </w:t>
      </w:r>
    </w:p>
    <w:p w14:paraId="4CA47D0F" w14:textId="77777777" w:rsidR="000C056A" w:rsidRPr="000C056A" w:rsidRDefault="000C056A" w:rsidP="000C056A">
      <w:pPr>
        <w:autoSpaceDE w:val="0"/>
        <w:autoSpaceDN w:val="0"/>
        <w:adjustRightInd w:val="0"/>
        <w:spacing w:after="120"/>
        <w:jc w:val="both"/>
        <w:rPr>
          <w:szCs w:val="24"/>
          <w:lang w:val="en-US"/>
        </w:rPr>
      </w:pPr>
      <w:r w:rsidRPr="000C056A">
        <w:rPr>
          <w:szCs w:val="24"/>
          <w:lang w:val="en-GB"/>
        </w:rPr>
        <w:t xml:space="preserve">The main objective of ROP SV was to stimulate dynamic development, at the same time strengthening social, economic and spatial coherence of the region. According to the main objective, priorities were selected, corresponding to areas which are of key importance for dynamic regional development. </w:t>
      </w:r>
    </w:p>
    <w:p w14:paraId="5D5E9099" w14:textId="77777777" w:rsidR="000C056A" w:rsidRPr="000C056A" w:rsidRDefault="000C056A" w:rsidP="000C056A">
      <w:pPr>
        <w:autoSpaceDE w:val="0"/>
        <w:autoSpaceDN w:val="0"/>
        <w:adjustRightInd w:val="0"/>
        <w:spacing w:after="120"/>
        <w:jc w:val="both"/>
        <w:rPr>
          <w:szCs w:val="24"/>
          <w:lang w:val="en-US"/>
        </w:rPr>
      </w:pPr>
      <w:r w:rsidRPr="000C056A">
        <w:rPr>
          <w:szCs w:val="24"/>
          <w:lang w:val="en-GB"/>
        </w:rPr>
        <w:t xml:space="preserve">While implementing ROP SV, 1,747,104,507 EUR was involved from the Community funds. </w:t>
      </w:r>
    </w:p>
    <w:p w14:paraId="0FDE29DB" w14:textId="77777777" w:rsidR="000C056A" w:rsidRPr="000C056A" w:rsidRDefault="000C056A" w:rsidP="000C056A">
      <w:pPr>
        <w:autoSpaceDE w:val="0"/>
        <w:autoSpaceDN w:val="0"/>
        <w:adjustRightInd w:val="0"/>
        <w:spacing w:after="120"/>
        <w:jc w:val="both"/>
        <w:rPr>
          <w:i/>
          <w:szCs w:val="24"/>
          <w:lang w:val="en-US"/>
        </w:rPr>
      </w:pPr>
      <w:r w:rsidRPr="000C056A">
        <w:rPr>
          <w:szCs w:val="24"/>
          <w:lang w:val="en-GB"/>
        </w:rPr>
        <w:t>The chart below presents allocation to specific priorities along with percentage allocation of the Programme (in EUR).</w:t>
      </w:r>
    </w:p>
    <w:p w14:paraId="58F87C17" w14:textId="77777777" w:rsidR="000C056A" w:rsidRPr="000C056A" w:rsidRDefault="000C056A" w:rsidP="00157A26">
      <w:pPr>
        <w:autoSpaceDE w:val="0"/>
        <w:autoSpaceDN w:val="0"/>
        <w:adjustRightInd w:val="0"/>
        <w:spacing w:after="0"/>
        <w:ind w:right="708"/>
        <w:jc w:val="center"/>
      </w:pPr>
      <w:r w:rsidRPr="000C056A">
        <w:rPr>
          <w:noProof/>
        </w:rPr>
        <w:drawing>
          <wp:inline distT="0" distB="0" distL="0" distR="0" wp14:anchorId="1A5F7BDE" wp14:editId="5C1FAD0B">
            <wp:extent cx="6200775" cy="4038600"/>
            <wp:effectExtent l="0" t="0" r="0" b="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FBD6DC6" w14:textId="77777777" w:rsidR="000C056A" w:rsidRPr="000C056A" w:rsidRDefault="000C056A" w:rsidP="000C056A">
      <w:pPr>
        <w:spacing w:before="120" w:after="240" w:line="240" w:lineRule="auto"/>
        <w:rPr>
          <w:bCs/>
          <w:i/>
          <w:sz w:val="20"/>
          <w:szCs w:val="20"/>
          <w:lang w:val="en-US"/>
        </w:rPr>
      </w:pPr>
      <w:r w:rsidRPr="000C056A">
        <w:rPr>
          <w:b/>
          <w:bCs/>
          <w:sz w:val="18"/>
          <w:szCs w:val="18"/>
          <w:lang w:val="en-GB"/>
        </w:rPr>
        <w:t xml:space="preserve">Chart </w:t>
      </w:r>
      <w:r w:rsidRPr="000C056A">
        <w:rPr>
          <w:b/>
          <w:bCs/>
          <w:sz w:val="18"/>
          <w:szCs w:val="18"/>
          <w:lang w:val="en-GB"/>
        </w:rPr>
        <w:fldChar w:fldCharType="begin"/>
      </w:r>
      <w:r w:rsidRPr="000C056A">
        <w:rPr>
          <w:b/>
          <w:bCs/>
          <w:sz w:val="18"/>
          <w:szCs w:val="18"/>
          <w:lang w:val="en-GB"/>
        </w:rPr>
        <w:instrText xml:space="preserve"> SEQ Wykres \* ARABIC </w:instrText>
      </w:r>
      <w:r w:rsidRPr="000C056A">
        <w:rPr>
          <w:b/>
          <w:bCs/>
          <w:sz w:val="18"/>
          <w:szCs w:val="18"/>
          <w:lang w:val="en-GB"/>
        </w:rPr>
        <w:fldChar w:fldCharType="separate"/>
      </w:r>
      <w:r w:rsidRPr="000C056A">
        <w:rPr>
          <w:b/>
          <w:bCs/>
          <w:noProof/>
          <w:sz w:val="18"/>
          <w:szCs w:val="18"/>
          <w:lang w:val="en-GB"/>
        </w:rPr>
        <w:t>1</w:t>
      </w:r>
      <w:r w:rsidRPr="000C056A">
        <w:rPr>
          <w:b/>
          <w:bCs/>
          <w:sz w:val="18"/>
          <w:szCs w:val="18"/>
          <w:lang w:val="en-GB"/>
        </w:rPr>
        <w:fldChar w:fldCharType="end"/>
      </w:r>
      <w:r w:rsidRPr="000C056A">
        <w:rPr>
          <w:b/>
          <w:bCs/>
          <w:sz w:val="18"/>
          <w:szCs w:val="18"/>
          <w:lang w:val="en-GB"/>
        </w:rPr>
        <w:t xml:space="preserve"> </w:t>
      </w:r>
      <w:r w:rsidRPr="000C056A">
        <w:rPr>
          <w:sz w:val="20"/>
          <w:szCs w:val="20"/>
          <w:lang w:val="en-GB"/>
        </w:rPr>
        <w:t xml:space="preserve"> Allocation of specific priorities in EUR along with percentage allocation of the Programme.</w:t>
      </w:r>
    </w:p>
    <w:p w14:paraId="31292297" w14:textId="77777777" w:rsidR="000C056A" w:rsidRPr="000C056A" w:rsidRDefault="000C056A" w:rsidP="000C056A">
      <w:pPr>
        <w:spacing w:line="240" w:lineRule="auto"/>
        <w:rPr>
          <w:b/>
          <w:bCs/>
          <w:szCs w:val="24"/>
          <w:lang w:val="en-US"/>
        </w:rPr>
      </w:pPr>
      <w:r w:rsidRPr="000C056A">
        <w:rPr>
          <w:b/>
          <w:bCs/>
          <w:szCs w:val="24"/>
          <w:lang w:val="en-GB"/>
        </w:rPr>
        <w:lastRenderedPageBreak/>
        <w:t>ANALYSIS OF THE FINANCIAL PROGRESS</w:t>
      </w:r>
    </w:p>
    <w:p w14:paraId="1220D6A5" w14:textId="77777777" w:rsidR="000C056A" w:rsidRPr="000C056A" w:rsidRDefault="000C056A" w:rsidP="000C056A">
      <w:pPr>
        <w:autoSpaceDE w:val="0"/>
        <w:autoSpaceDN w:val="0"/>
        <w:adjustRightInd w:val="0"/>
        <w:spacing w:after="120"/>
        <w:jc w:val="both"/>
        <w:rPr>
          <w:szCs w:val="24"/>
          <w:lang w:val="en-US"/>
        </w:rPr>
      </w:pPr>
      <w:r w:rsidRPr="000C056A">
        <w:rPr>
          <w:szCs w:val="24"/>
          <w:lang w:val="en-GB"/>
        </w:rPr>
        <w:t xml:space="preserve">Below, financial progress of the Regional Operational Programme of Silesian Voivodeship 2007-2013 is presented. </w:t>
      </w:r>
    </w:p>
    <w:p w14:paraId="10D73EFA" w14:textId="77777777" w:rsidR="000C056A" w:rsidRPr="000C056A" w:rsidRDefault="000C056A" w:rsidP="000C056A">
      <w:pPr>
        <w:autoSpaceDE w:val="0"/>
        <w:autoSpaceDN w:val="0"/>
        <w:adjustRightInd w:val="0"/>
        <w:spacing w:after="120"/>
        <w:jc w:val="both"/>
        <w:rPr>
          <w:szCs w:val="24"/>
          <w:lang w:val="en-US"/>
        </w:rPr>
      </w:pPr>
      <w:r w:rsidRPr="000C056A">
        <w:rPr>
          <w:szCs w:val="24"/>
          <w:lang w:val="en-GB"/>
        </w:rPr>
        <w:t xml:space="preserve">Under ROP SV, 9,324 formally correct grant applications were submitted, for the requested amount of funding of 3,069.71 million EUR, which was 176% of allocation for the Programme. Ultimately 5,809 selected projects received grants, whose approved value was 2,103.63 million EUR.  </w:t>
      </w:r>
    </w:p>
    <w:p w14:paraId="2C97B7CA" w14:textId="73CCB8D9" w:rsidR="000C056A" w:rsidRPr="000C056A" w:rsidRDefault="00197878" w:rsidP="000C056A">
      <w:pPr>
        <w:autoSpaceDE w:val="0"/>
        <w:autoSpaceDN w:val="0"/>
        <w:adjustRightInd w:val="0"/>
        <w:spacing w:after="120"/>
        <w:jc w:val="both"/>
        <w:rPr>
          <w:szCs w:val="24"/>
          <w:lang w:val="en-US"/>
        </w:rPr>
      </w:pPr>
      <w:r>
        <w:rPr>
          <w:szCs w:val="24"/>
          <w:lang w:val="en-GB"/>
        </w:rPr>
        <w:t>5,211</w:t>
      </w:r>
      <w:r w:rsidR="000C056A" w:rsidRPr="000C056A">
        <w:rPr>
          <w:szCs w:val="24"/>
          <w:lang w:val="en-GB"/>
        </w:rPr>
        <w:t xml:space="preserve"> grant agreements were signed, of the</w:t>
      </w:r>
      <w:r>
        <w:rPr>
          <w:szCs w:val="24"/>
          <w:lang w:val="en-GB"/>
        </w:rPr>
        <w:t xml:space="preserve"> total value of funding of 1,681.96</w:t>
      </w:r>
      <w:r w:rsidR="000C056A" w:rsidRPr="000C056A">
        <w:rPr>
          <w:szCs w:val="24"/>
          <w:lang w:val="en-GB"/>
        </w:rPr>
        <w:t xml:space="preserve"> million EUR, which was 96% of the available allocation. </w:t>
      </w:r>
    </w:p>
    <w:p w14:paraId="53729859" w14:textId="77777777" w:rsidR="000C056A" w:rsidRPr="000C056A" w:rsidRDefault="000C056A" w:rsidP="000C056A">
      <w:pPr>
        <w:spacing w:after="120"/>
        <w:jc w:val="both"/>
        <w:rPr>
          <w:szCs w:val="24"/>
          <w:lang w:val="en-US"/>
        </w:rPr>
      </w:pPr>
      <w:r w:rsidRPr="000C056A">
        <w:rPr>
          <w:szCs w:val="24"/>
          <w:lang w:val="en-GB"/>
        </w:rPr>
        <w:t>Under ROP SV,  expenditures of 1,739.15 million EUR were certified, which is 100% of the available allocation.</w:t>
      </w:r>
      <w:r w:rsidRPr="000C056A">
        <w:rPr>
          <w:color w:val="000000" w:themeColor="text1"/>
          <w:szCs w:val="24"/>
          <w:lang w:val="en-GB"/>
        </w:rPr>
        <w:t xml:space="preserve"> </w:t>
      </w:r>
    </w:p>
    <w:p w14:paraId="6E4B719C" w14:textId="77777777" w:rsidR="000C056A" w:rsidRPr="000C056A" w:rsidRDefault="000C056A" w:rsidP="000C056A">
      <w:pPr>
        <w:spacing w:after="0"/>
        <w:jc w:val="both"/>
        <w:rPr>
          <w:szCs w:val="24"/>
          <w:lang w:val="en-US"/>
        </w:rPr>
      </w:pPr>
      <w:r w:rsidRPr="000C056A">
        <w:rPr>
          <w:szCs w:val="24"/>
          <w:lang w:val="en-GB"/>
        </w:rPr>
        <w:t xml:space="preserve">The chart below presents general information on progress of the Programme implementation and the use of allocation. </w:t>
      </w:r>
    </w:p>
    <w:p w14:paraId="5F52615C" w14:textId="77777777" w:rsidR="000C056A" w:rsidRPr="000C056A" w:rsidRDefault="000C056A" w:rsidP="000C056A">
      <w:pPr>
        <w:spacing w:after="0"/>
        <w:jc w:val="both"/>
        <w:rPr>
          <w:szCs w:val="24"/>
          <w:lang w:val="en-US"/>
        </w:rPr>
      </w:pPr>
    </w:p>
    <w:p w14:paraId="766DF1A4" w14:textId="77777777" w:rsidR="000C056A" w:rsidRPr="000C056A" w:rsidRDefault="000C056A" w:rsidP="000C056A">
      <w:pPr>
        <w:jc w:val="both"/>
        <w:rPr>
          <w:b/>
          <w:szCs w:val="24"/>
        </w:rPr>
      </w:pPr>
      <w:r w:rsidRPr="000C056A">
        <w:rPr>
          <w:noProof/>
        </w:rPr>
        <w:drawing>
          <wp:inline distT="0" distB="0" distL="0" distR="0" wp14:anchorId="463E5E14" wp14:editId="7EE890EB">
            <wp:extent cx="5760720" cy="4067175"/>
            <wp:effectExtent l="0" t="0" r="0" b="0"/>
            <wp:docPr id="34"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2DC1E01" w14:textId="77777777" w:rsidR="000C056A" w:rsidRPr="000C056A" w:rsidRDefault="000C056A" w:rsidP="000C056A">
      <w:pPr>
        <w:spacing w:line="240" w:lineRule="auto"/>
        <w:rPr>
          <w:bCs/>
          <w:sz w:val="20"/>
          <w:szCs w:val="20"/>
          <w:lang w:val="en-US"/>
        </w:rPr>
      </w:pPr>
      <w:bookmarkStart w:id="12" w:name="_Toc473203967"/>
      <w:r w:rsidRPr="000C056A">
        <w:rPr>
          <w:b/>
          <w:bCs/>
          <w:sz w:val="20"/>
          <w:szCs w:val="20"/>
          <w:lang w:val="en-GB"/>
        </w:rPr>
        <w:t xml:space="preserve">Chart </w:t>
      </w:r>
      <w:r w:rsidRPr="000C056A">
        <w:rPr>
          <w:b/>
          <w:bCs/>
          <w:sz w:val="20"/>
          <w:szCs w:val="20"/>
          <w:lang w:val="en-GB"/>
        </w:rPr>
        <w:fldChar w:fldCharType="begin"/>
      </w:r>
      <w:r w:rsidRPr="000C056A">
        <w:rPr>
          <w:b/>
          <w:bCs/>
          <w:sz w:val="20"/>
          <w:szCs w:val="20"/>
          <w:lang w:val="en-GB"/>
        </w:rPr>
        <w:instrText xml:space="preserve"> SEQ Wykres \* ARABIC </w:instrText>
      </w:r>
      <w:r w:rsidRPr="000C056A">
        <w:rPr>
          <w:b/>
          <w:bCs/>
          <w:sz w:val="20"/>
          <w:szCs w:val="20"/>
          <w:lang w:val="en-GB"/>
        </w:rPr>
        <w:fldChar w:fldCharType="separate"/>
      </w:r>
      <w:r w:rsidRPr="000C056A">
        <w:rPr>
          <w:b/>
          <w:bCs/>
          <w:noProof/>
          <w:sz w:val="20"/>
          <w:szCs w:val="20"/>
          <w:lang w:val="en-GB"/>
        </w:rPr>
        <w:t>2</w:t>
      </w:r>
      <w:r w:rsidRPr="000C056A">
        <w:rPr>
          <w:b/>
          <w:bCs/>
          <w:sz w:val="20"/>
          <w:szCs w:val="20"/>
          <w:lang w:val="en-GB"/>
        </w:rPr>
        <w:fldChar w:fldCharType="end"/>
      </w:r>
      <w:r w:rsidRPr="000C056A">
        <w:rPr>
          <w:b/>
          <w:bCs/>
          <w:sz w:val="20"/>
          <w:szCs w:val="20"/>
          <w:lang w:val="en-GB"/>
        </w:rPr>
        <w:t xml:space="preserve"> </w:t>
      </w:r>
      <w:r w:rsidRPr="000C056A">
        <w:rPr>
          <w:i/>
          <w:iCs/>
          <w:sz w:val="20"/>
          <w:szCs w:val="20"/>
          <w:lang w:val="en-GB"/>
        </w:rPr>
        <w:t>Financial progress of ROP SV 2007-2013</w:t>
      </w:r>
      <w:bookmarkEnd w:id="12"/>
    </w:p>
    <w:p w14:paraId="01780F44" w14:textId="77777777" w:rsidR="000C056A" w:rsidRPr="000C056A" w:rsidRDefault="000C056A" w:rsidP="000C056A">
      <w:pPr>
        <w:spacing w:after="160" w:line="259" w:lineRule="auto"/>
        <w:rPr>
          <w:b/>
          <w:szCs w:val="24"/>
          <w:lang w:val="en-US"/>
        </w:rPr>
      </w:pPr>
      <w:r w:rsidRPr="000C056A">
        <w:rPr>
          <w:b/>
          <w:bCs/>
          <w:szCs w:val="24"/>
          <w:lang w:val="en-GB"/>
        </w:rPr>
        <w:br w:type="page"/>
      </w:r>
    </w:p>
    <w:p w14:paraId="75EE63C4" w14:textId="77777777" w:rsidR="000C056A" w:rsidRPr="000C056A" w:rsidRDefault="000C056A" w:rsidP="000C056A">
      <w:pPr>
        <w:spacing w:before="120" w:after="120"/>
        <w:contextualSpacing/>
        <w:jc w:val="both"/>
        <w:rPr>
          <w:b/>
          <w:szCs w:val="24"/>
          <w:lang w:val="en-US"/>
        </w:rPr>
      </w:pPr>
      <w:r w:rsidRPr="000C056A">
        <w:rPr>
          <w:b/>
          <w:bCs/>
          <w:szCs w:val="24"/>
          <w:lang w:val="en-GB"/>
        </w:rPr>
        <w:lastRenderedPageBreak/>
        <w:t>DISTRIBUTION OF PROJECTS</w:t>
      </w:r>
    </w:p>
    <w:p w14:paraId="55763BA8" w14:textId="77777777" w:rsidR="000C056A" w:rsidRPr="000C056A" w:rsidRDefault="000C056A" w:rsidP="000C056A">
      <w:pPr>
        <w:spacing w:before="120" w:after="240"/>
        <w:contextualSpacing/>
        <w:jc w:val="both"/>
        <w:rPr>
          <w:szCs w:val="24"/>
          <w:lang w:val="en-US"/>
        </w:rPr>
      </w:pPr>
      <w:r w:rsidRPr="000C056A">
        <w:rPr>
          <w:szCs w:val="24"/>
          <w:lang w:val="en-GB"/>
        </w:rPr>
        <w:t xml:space="preserve">Below, distribution of projects is presented (value in million EUR and the number) split into different thematic fields.  The progress of ROP SV was based on data from the National Information System (SIMIK 07-13) on contracting, in the absence of data in the National System, the data is from Local Information System. </w:t>
      </w:r>
    </w:p>
    <w:p w14:paraId="33DB7F2A" w14:textId="77777777" w:rsidR="000C056A" w:rsidRPr="000C056A" w:rsidRDefault="000C056A" w:rsidP="000C056A">
      <w:pPr>
        <w:spacing w:before="120" w:after="240"/>
        <w:contextualSpacing/>
        <w:jc w:val="both"/>
        <w:rPr>
          <w:szCs w:val="24"/>
          <w:lang w:val="en-US"/>
        </w:rPr>
      </w:pPr>
    </w:p>
    <w:p w14:paraId="06AA2DA7" w14:textId="77777777" w:rsidR="000C056A" w:rsidRPr="000C056A" w:rsidRDefault="000C056A" w:rsidP="000C056A">
      <w:pPr>
        <w:numPr>
          <w:ilvl w:val="0"/>
          <w:numId w:val="128"/>
        </w:numPr>
        <w:spacing w:after="120"/>
        <w:ind w:left="714" w:hanging="357"/>
        <w:contextualSpacing/>
        <w:jc w:val="both"/>
        <w:rPr>
          <w:b/>
          <w:szCs w:val="24"/>
          <w:lang w:val="en-US"/>
        </w:rPr>
      </w:pPr>
      <w:r w:rsidRPr="000C056A">
        <w:rPr>
          <w:b/>
          <w:bCs/>
          <w:szCs w:val="24"/>
          <w:lang w:val="en-GB"/>
        </w:rPr>
        <w:t>projects split into sectors of economy</w:t>
      </w:r>
    </w:p>
    <w:p w14:paraId="49A60668" w14:textId="77777777" w:rsidR="000C056A" w:rsidRPr="000C056A" w:rsidRDefault="000C056A" w:rsidP="000C056A">
      <w:pPr>
        <w:spacing w:after="0"/>
        <w:jc w:val="both"/>
        <w:rPr>
          <w:i/>
          <w:szCs w:val="24"/>
          <w:lang w:val="en-US"/>
        </w:rPr>
      </w:pPr>
      <w:r w:rsidRPr="000C056A">
        <w:rPr>
          <w:szCs w:val="24"/>
          <w:lang w:val="en-GB"/>
        </w:rPr>
        <w:t>Analysis of projects split into sectors of economy is presented below for priorities I and III.</w:t>
      </w:r>
    </w:p>
    <w:p w14:paraId="01509A1A" w14:textId="77777777" w:rsidR="000C056A" w:rsidRPr="000C056A" w:rsidRDefault="000C056A" w:rsidP="000C056A">
      <w:pPr>
        <w:spacing w:after="0"/>
        <w:jc w:val="both"/>
        <w:rPr>
          <w:i/>
          <w:szCs w:val="24"/>
          <w:lang w:val="en-US"/>
        </w:rPr>
      </w:pPr>
    </w:p>
    <w:p w14:paraId="0C349484" w14:textId="77777777" w:rsidR="000C056A" w:rsidRPr="000C056A" w:rsidRDefault="000C056A" w:rsidP="000C056A">
      <w:pPr>
        <w:spacing w:line="240" w:lineRule="auto"/>
        <w:rPr>
          <w:b/>
          <w:bCs/>
          <w:color w:val="4F81BD"/>
          <w:sz w:val="18"/>
          <w:szCs w:val="18"/>
          <w:lang w:val="en-US"/>
        </w:rPr>
      </w:pPr>
      <w:r w:rsidRPr="000C056A">
        <w:rPr>
          <w:b/>
          <w:bCs/>
          <w:color w:val="000000" w:themeColor="text1"/>
          <w:sz w:val="20"/>
          <w:szCs w:val="20"/>
          <w:lang w:val="en-GB"/>
        </w:rPr>
        <w:t xml:space="preserve">Table </w:t>
      </w:r>
      <w:r w:rsidRPr="000C056A">
        <w:rPr>
          <w:b/>
          <w:bCs/>
          <w:color w:val="000000" w:themeColor="text1"/>
          <w:sz w:val="20"/>
          <w:szCs w:val="20"/>
          <w:lang w:val="en-GB"/>
        </w:rPr>
        <w:fldChar w:fldCharType="begin"/>
      </w:r>
      <w:r w:rsidRPr="000C056A">
        <w:rPr>
          <w:b/>
          <w:bCs/>
          <w:color w:val="000000" w:themeColor="text1"/>
          <w:sz w:val="20"/>
          <w:szCs w:val="20"/>
          <w:lang w:val="en-GB"/>
        </w:rPr>
        <w:instrText xml:space="preserve"> SEQ Tabela \* ARABIC </w:instrText>
      </w:r>
      <w:r w:rsidRPr="000C056A">
        <w:rPr>
          <w:b/>
          <w:bCs/>
          <w:color w:val="000000" w:themeColor="text1"/>
          <w:sz w:val="20"/>
          <w:szCs w:val="20"/>
          <w:lang w:val="en-GB"/>
        </w:rPr>
        <w:fldChar w:fldCharType="separate"/>
      </w:r>
      <w:r w:rsidRPr="000C056A">
        <w:rPr>
          <w:b/>
          <w:bCs/>
          <w:noProof/>
          <w:color w:val="000000" w:themeColor="text1"/>
          <w:sz w:val="20"/>
          <w:szCs w:val="20"/>
          <w:lang w:val="en-GB"/>
        </w:rPr>
        <w:t>1</w:t>
      </w:r>
      <w:r w:rsidRPr="000C056A">
        <w:rPr>
          <w:b/>
          <w:bCs/>
          <w:color w:val="000000" w:themeColor="text1"/>
          <w:sz w:val="20"/>
          <w:szCs w:val="20"/>
          <w:lang w:val="en-GB"/>
        </w:rPr>
        <w:fldChar w:fldCharType="end"/>
      </w:r>
      <w:r w:rsidRPr="000C056A">
        <w:rPr>
          <w:b/>
          <w:bCs/>
          <w:color w:val="4F81BD"/>
          <w:sz w:val="18"/>
          <w:szCs w:val="18"/>
          <w:lang w:val="en-GB"/>
        </w:rPr>
        <w:t xml:space="preserve"> </w:t>
      </w:r>
      <w:r w:rsidRPr="000C056A">
        <w:rPr>
          <w:i/>
          <w:iCs/>
          <w:sz w:val="20"/>
          <w:szCs w:val="20"/>
          <w:lang w:val="en-GB"/>
        </w:rPr>
        <w:t>distribution of projects under priority I  divided into sectors of economy</w:t>
      </w:r>
    </w:p>
    <w:tbl>
      <w:tblPr>
        <w:tblStyle w:val="Tabelalisty3akcent62"/>
        <w:tblW w:w="9634" w:type="dxa"/>
        <w:tblLook w:val="04A0" w:firstRow="1" w:lastRow="0" w:firstColumn="1" w:lastColumn="0" w:noHBand="0" w:noVBand="1"/>
      </w:tblPr>
      <w:tblGrid>
        <w:gridCol w:w="6110"/>
        <w:gridCol w:w="1105"/>
        <w:gridCol w:w="2419"/>
      </w:tblGrid>
      <w:tr w:rsidR="000C056A" w:rsidRPr="000C056A" w14:paraId="1E444AC1" w14:textId="77777777" w:rsidTr="00197878">
        <w:trPr>
          <w:cnfStyle w:val="100000000000" w:firstRow="1" w:lastRow="0" w:firstColumn="0" w:lastColumn="0" w:oddVBand="0" w:evenVBand="0" w:oddHBand="0" w:evenHBand="0" w:firstRowFirstColumn="0" w:firstRowLastColumn="0" w:lastRowFirstColumn="0" w:lastRowLastColumn="0"/>
          <w:trHeight w:val="987"/>
        </w:trPr>
        <w:tc>
          <w:tcPr>
            <w:cnfStyle w:val="001000000100" w:firstRow="0" w:lastRow="0" w:firstColumn="1" w:lastColumn="0" w:oddVBand="0" w:evenVBand="0" w:oddHBand="0" w:evenHBand="0" w:firstRowFirstColumn="1" w:firstRowLastColumn="0" w:lastRowFirstColumn="0" w:lastRowLastColumn="0"/>
            <w:tcW w:w="6232" w:type="dxa"/>
            <w:vAlign w:val="center"/>
            <w:hideMark/>
          </w:tcPr>
          <w:p w14:paraId="583240DA" w14:textId="77777777" w:rsidR="000C056A" w:rsidRPr="000C056A" w:rsidRDefault="000C056A" w:rsidP="000C056A">
            <w:pPr>
              <w:spacing w:after="0" w:line="240" w:lineRule="auto"/>
              <w:jc w:val="center"/>
              <w:rPr>
                <w:color w:val="000000"/>
                <w:sz w:val="20"/>
                <w:lang w:eastAsia="pl-PL"/>
              </w:rPr>
            </w:pPr>
            <w:r w:rsidRPr="000C056A">
              <w:rPr>
                <w:color w:val="000000"/>
                <w:sz w:val="20"/>
                <w:lang w:eastAsia="pl-PL"/>
              </w:rPr>
              <w:t>SECTION</w:t>
            </w:r>
          </w:p>
        </w:tc>
        <w:tc>
          <w:tcPr>
            <w:tcW w:w="983" w:type="dxa"/>
            <w:noWrap/>
            <w:vAlign w:val="center"/>
            <w:hideMark/>
          </w:tcPr>
          <w:p w14:paraId="1AEED9AE" w14:textId="77777777" w:rsidR="000C056A" w:rsidRPr="000C056A" w:rsidRDefault="000C056A" w:rsidP="000C056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NUMBER</w:t>
            </w:r>
          </w:p>
        </w:tc>
        <w:tc>
          <w:tcPr>
            <w:tcW w:w="2419" w:type="dxa"/>
            <w:noWrap/>
            <w:vAlign w:val="center"/>
            <w:hideMark/>
          </w:tcPr>
          <w:p w14:paraId="5821A859" w14:textId="77777777" w:rsidR="000C056A" w:rsidRPr="000C056A" w:rsidRDefault="000C056A" w:rsidP="000C056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EU VALUE IN EUR</w:t>
            </w:r>
          </w:p>
        </w:tc>
      </w:tr>
      <w:tr w:rsidR="000C056A" w:rsidRPr="000C056A" w14:paraId="6FF08221" w14:textId="77777777" w:rsidTr="0019787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3CF4A195"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 xml:space="preserve">Section A farming, forestry, hunting and fishery </w:t>
            </w:r>
          </w:p>
        </w:tc>
        <w:tc>
          <w:tcPr>
            <w:tcW w:w="983" w:type="dxa"/>
            <w:noWrap/>
            <w:vAlign w:val="center"/>
            <w:hideMark/>
          </w:tcPr>
          <w:p w14:paraId="0FE7B84F"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8</w:t>
            </w:r>
          </w:p>
        </w:tc>
        <w:tc>
          <w:tcPr>
            <w:tcW w:w="2419" w:type="dxa"/>
            <w:noWrap/>
            <w:vAlign w:val="center"/>
            <w:hideMark/>
          </w:tcPr>
          <w:p w14:paraId="479666BF"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423,296.58</w:t>
            </w:r>
          </w:p>
        </w:tc>
      </w:tr>
      <w:tr w:rsidR="000C056A" w:rsidRPr="000C056A" w14:paraId="5831899C" w14:textId="77777777" w:rsidTr="00197878">
        <w:trPr>
          <w:trHeight w:val="52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8BD1688"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B Mining and extraction</w:t>
            </w:r>
          </w:p>
        </w:tc>
        <w:tc>
          <w:tcPr>
            <w:tcW w:w="983" w:type="dxa"/>
            <w:noWrap/>
            <w:vAlign w:val="center"/>
            <w:hideMark/>
          </w:tcPr>
          <w:p w14:paraId="09166B00"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10</w:t>
            </w:r>
          </w:p>
        </w:tc>
        <w:tc>
          <w:tcPr>
            <w:tcW w:w="2419" w:type="dxa"/>
            <w:noWrap/>
            <w:vAlign w:val="center"/>
            <w:hideMark/>
          </w:tcPr>
          <w:p w14:paraId="3C13A1C3"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1,144,620.56</w:t>
            </w:r>
          </w:p>
        </w:tc>
      </w:tr>
      <w:tr w:rsidR="000C056A" w:rsidRPr="000C056A" w14:paraId="157578DE" w14:textId="77777777" w:rsidTr="0019787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F79025B" w14:textId="77777777" w:rsidR="000C056A" w:rsidRPr="000C056A" w:rsidRDefault="000C056A" w:rsidP="000C056A">
            <w:pPr>
              <w:spacing w:after="0" w:line="240" w:lineRule="auto"/>
              <w:rPr>
                <w:color w:val="000000"/>
                <w:sz w:val="20"/>
                <w:lang w:eastAsia="pl-PL"/>
              </w:rPr>
            </w:pPr>
            <w:r w:rsidRPr="000C056A">
              <w:rPr>
                <w:color w:val="000000"/>
                <w:sz w:val="20"/>
                <w:lang w:eastAsia="pl-PL"/>
              </w:rPr>
              <w:t>Section C  Processing industry</w:t>
            </w:r>
          </w:p>
        </w:tc>
        <w:tc>
          <w:tcPr>
            <w:tcW w:w="983" w:type="dxa"/>
            <w:noWrap/>
            <w:vAlign w:val="center"/>
            <w:hideMark/>
          </w:tcPr>
          <w:p w14:paraId="605C5158"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1655</w:t>
            </w:r>
          </w:p>
        </w:tc>
        <w:tc>
          <w:tcPr>
            <w:tcW w:w="2419" w:type="dxa"/>
            <w:noWrap/>
            <w:vAlign w:val="center"/>
            <w:hideMark/>
          </w:tcPr>
          <w:p w14:paraId="50A99993"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104,700,018.16</w:t>
            </w:r>
          </w:p>
        </w:tc>
      </w:tr>
      <w:tr w:rsidR="000C056A" w:rsidRPr="000C056A" w14:paraId="068A3B3C" w14:textId="77777777" w:rsidTr="00197878">
        <w:trPr>
          <w:trHeight w:val="666"/>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56AA95AB"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D Generation and supply of electricity, gas, water vapour, hot water and air for air conditioning systems</w:t>
            </w:r>
          </w:p>
        </w:tc>
        <w:tc>
          <w:tcPr>
            <w:tcW w:w="983" w:type="dxa"/>
            <w:noWrap/>
            <w:vAlign w:val="center"/>
            <w:hideMark/>
          </w:tcPr>
          <w:p w14:paraId="693CA3B9"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7</w:t>
            </w:r>
          </w:p>
        </w:tc>
        <w:tc>
          <w:tcPr>
            <w:tcW w:w="2419" w:type="dxa"/>
            <w:noWrap/>
            <w:vAlign w:val="center"/>
            <w:hideMark/>
          </w:tcPr>
          <w:p w14:paraId="5661F1E8"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310,778.50</w:t>
            </w:r>
          </w:p>
        </w:tc>
      </w:tr>
      <w:tr w:rsidR="000C056A" w:rsidRPr="000C056A" w14:paraId="7AEFE9F9" w14:textId="77777777" w:rsidTr="00197878">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000F1A22"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E water supply: wastewater and waste management and activity related with remediation</w:t>
            </w:r>
          </w:p>
        </w:tc>
        <w:tc>
          <w:tcPr>
            <w:tcW w:w="983" w:type="dxa"/>
            <w:noWrap/>
            <w:vAlign w:val="center"/>
            <w:hideMark/>
          </w:tcPr>
          <w:p w14:paraId="5E6A39B4"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66</w:t>
            </w:r>
          </w:p>
        </w:tc>
        <w:tc>
          <w:tcPr>
            <w:tcW w:w="2419" w:type="dxa"/>
            <w:noWrap/>
            <w:vAlign w:val="center"/>
            <w:hideMark/>
          </w:tcPr>
          <w:p w14:paraId="2C34A6CE"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5,631,182.98</w:t>
            </w:r>
          </w:p>
        </w:tc>
      </w:tr>
      <w:tr w:rsidR="000C056A" w:rsidRPr="000C056A" w14:paraId="78BD90A6" w14:textId="77777777" w:rsidTr="00197878">
        <w:trPr>
          <w:trHeight w:val="43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60EFFE0D" w14:textId="77777777" w:rsidR="000C056A" w:rsidRPr="000C056A" w:rsidRDefault="000C056A" w:rsidP="000C056A">
            <w:pPr>
              <w:spacing w:after="0" w:line="240" w:lineRule="auto"/>
              <w:rPr>
                <w:color w:val="000000"/>
                <w:sz w:val="20"/>
                <w:lang w:eastAsia="pl-PL"/>
              </w:rPr>
            </w:pPr>
            <w:r w:rsidRPr="000C056A">
              <w:rPr>
                <w:color w:val="000000"/>
                <w:sz w:val="20"/>
                <w:lang w:eastAsia="pl-PL"/>
              </w:rPr>
              <w:t>Section F Construction</w:t>
            </w:r>
          </w:p>
        </w:tc>
        <w:tc>
          <w:tcPr>
            <w:tcW w:w="983" w:type="dxa"/>
            <w:noWrap/>
            <w:vAlign w:val="center"/>
            <w:hideMark/>
          </w:tcPr>
          <w:p w14:paraId="71F217A7"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142</w:t>
            </w:r>
          </w:p>
        </w:tc>
        <w:tc>
          <w:tcPr>
            <w:tcW w:w="2419" w:type="dxa"/>
            <w:noWrap/>
            <w:vAlign w:val="center"/>
            <w:hideMark/>
          </w:tcPr>
          <w:p w14:paraId="6F826730"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10,621,640.97</w:t>
            </w:r>
          </w:p>
        </w:tc>
      </w:tr>
      <w:tr w:rsidR="000C056A" w:rsidRPr="000C056A" w14:paraId="10B34BA5" w14:textId="77777777" w:rsidTr="00197878">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1B632605"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H Wholesale and retail trade; repair of motor vehicles, including motorcycles</w:t>
            </w:r>
          </w:p>
        </w:tc>
        <w:tc>
          <w:tcPr>
            <w:tcW w:w="983" w:type="dxa"/>
            <w:noWrap/>
            <w:vAlign w:val="center"/>
            <w:hideMark/>
          </w:tcPr>
          <w:p w14:paraId="45B64F14"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460</w:t>
            </w:r>
          </w:p>
        </w:tc>
        <w:tc>
          <w:tcPr>
            <w:tcW w:w="2419" w:type="dxa"/>
            <w:noWrap/>
            <w:vAlign w:val="center"/>
            <w:hideMark/>
          </w:tcPr>
          <w:p w14:paraId="7E04941E"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19,985,262.44</w:t>
            </w:r>
          </w:p>
        </w:tc>
      </w:tr>
      <w:tr w:rsidR="000C056A" w:rsidRPr="000C056A" w14:paraId="39D9C545" w14:textId="77777777" w:rsidTr="00197878">
        <w:trPr>
          <w:trHeight w:val="48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4969BF73"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H Transport and warehouse management</w:t>
            </w:r>
          </w:p>
        </w:tc>
        <w:tc>
          <w:tcPr>
            <w:tcW w:w="983" w:type="dxa"/>
            <w:noWrap/>
            <w:vAlign w:val="center"/>
            <w:hideMark/>
          </w:tcPr>
          <w:p w14:paraId="78E275B1"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2</w:t>
            </w:r>
          </w:p>
        </w:tc>
        <w:tc>
          <w:tcPr>
            <w:tcW w:w="2419" w:type="dxa"/>
            <w:noWrap/>
            <w:vAlign w:val="center"/>
            <w:hideMark/>
          </w:tcPr>
          <w:p w14:paraId="22C9FC1E"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81,893.98</w:t>
            </w:r>
          </w:p>
        </w:tc>
      </w:tr>
      <w:tr w:rsidR="000C056A" w:rsidRPr="000C056A" w14:paraId="5481A0E4" w14:textId="77777777" w:rsidTr="00197878">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271AEA5"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I  Activity related with accommodation and catering services</w:t>
            </w:r>
          </w:p>
        </w:tc>
        <w:tc>
          <w:tcPr>
            <w:tcW w:w="983" w:type="dxa"/>
            <w:noWrap/>
            <w:vAlign w:val="center"/>
            <w:hideMark/>
          </w:tcPr>
          <w:p w14:paraId="0E45F431"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11</w:t>
            </w:r>
          </w:p>
        </w:tc>
        <w:tc>
          <w:tcPr>
            <w:tcW w:w="2419" w:type="dxa"/>
            <w:noWrap/>
            <w:vAlign w:val="center"/>
            <w:hideMark/>
          </w:tcPr>
          <w:p w14:paraId="2CB5C635"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451,784.06</w:t>
            </w:r>
          </w:p>
        </w:tc>
      </w:tr>
      <w:tr w:rsidR="000C056A" w:rsidRPr="000C056A" w14:paraId="61C5571B" w14:textId="77777777" w:rsidTr="00197878">
        <w:trPr>
          <w:trHeight w:val="45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0C06292B"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J Information and communication</w:t>
            </w:r>
          </w:p>
        </w:tc>
        <w:tc>
          <w:tcPr>
            <w:tcW w:w="983" w:type="dxa"/>
            <w:noWrap/>
            <w:vAlign w:val="center"/>
            <w:hideMark/>
          </w:tcPr>
          <w:p w14:paraId="6365FE08"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132</w:t>
            </w:r>
          </w:p>
        </w:tc>
        <w:tc>
          <w:tcPr>
            <w:tcW w:w="2419" w:type="dxa"/>
            <w:noWrap/>
            <w:vAlign w:val="center"/>
            <w:hideMark/>
          </w:tcPr>
          <w:p w14:paraId="5ACF6793"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6,595,416.73</w:t>
            </w:r>
          </w:p>
        </w:tc>
      </w:tr>
      <w:tr w:rsidR="000C056A" w:rsidRPr="000C056A" w14:paraId="0BEE7BD3" w14:textId="77777777" w:rsidTr="00197878">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6AAB8571"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K Financial and insurance activity</w:t>
            </w:r>
          </w:p>
        </w:tc>
        <w:tc>
          <w:tcPr>
            <w:tcW w:w="983" w:type="dxa"/>
            <w:noWrap/>
            <w:vAlign w:val="center"/>
            <w:hideMark/>
          </w:tcPr>
          <w:p w14:paraId="512B29B3"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22</w:t>
            </w:r>
          </w:p>
        </w:tc>
        <w:tc>
          <w:tcPr>
            <w:tcW w:w="2419" w:type="dxa"/>
            <w:noWrap/>
            <w:vAlign w:val="center"/>
            <w:hideMark/>
          </w:tcPr>
          <w:p w14:paraId="7FEB9635"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635,042.65</w:t>
            </w:r>
          </w:p>
        </w:tc>
      </w:tr>
      <w:tr w:rsidR="000C056A" w:rsidRPr="000C056A" w14:paraId="33A0301A" w14:textId="77777777" w:rsidTr="00197878">
        <w:trPr>
          <w:trHeight w:val="42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5710F7D6"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L Activity related with real property market services</w:t>
            </w:r>
          </w:p>
        </w:tc>
        <w:tc>
          <w:tcPr>
            <w:tcW w:w="983" w:type="dxa"/>
            <w:noWrap/>
            <w:vAlign w:val="center"/>
            <w:hideMark/>
          </w:tcPr>
          <w:p w14:paraId="4100B0B2"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4</w:t>
            </w:r>
          </w:p>
        </w:tc>
        <w:tc>
          <w:tcPr>
            <w:tcW w:w="2419" w:type="dxa"/>
            <w:noWrap/>
            <w:vAlign w:val="center"/>
            <w:hideMark/>
          </w:tcPr>
          <w:p w14:paraId="52878257"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314,341.85</w:t>
            </w:r>
          </w:p>
        </w:tc>
      </w:tr>
      <w:tr w:rsidR="000C056A" w:rsidRPr="000C056A" w14:paraId="3B96B1A6" w14:textId="77777777" w:rsidTr="00197878">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23622FE3"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M Professional scientific and technical activity</w:t>
            </w:r>
          </w:p>
        </w:tc>
        <w:tc>
          <w:tcPr>
            <w:tcW w:w="983" w:type="dxa"/>
            <w:noWrap/>
            <w:vAlign w:val="center"/>
            <w:hideMark/>
          </w:tcPr>
          <w:p w14:paraId="08D3D429"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196</w:t>
            </w:r>
          </w:p>
        </w:tc>
        <w:tc>
          <w:tcPr>
            <w:tcW w:w="2419" w:type="dxa"/>
            <w:noWrap/>
            <w:vAlign w:val="center"/>
            <w:hideMark/>
          </w:tcPr>
          <w:p w14:paraId="417EE151"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7,633,272.81</w:t>
            </w:r>
          </w:p>
        </w:tc>
      </w:tr>
      <w:tr w:rsidR="000C056A" w:rsidRPr="000C056A" w14:paraId="3B92FCC8" w14:textId="77777777" w:rsidTr="00197878">
        <w:trPr>
          <w:trHeight w:val="42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1F2A0340" w14:textId="77777777" w:rsidR="000C056A" w:rsidRPr="000C056A" w:rsidRDefault="000C056A" w:rsidP="000C056A">
            <w:pPr>
              <w:spacing w:after="0" w:line="240" w:lineRule="auto"/>
              <w:rPr>
                <w:color w:val="000000"/>
                <w:sz w:val="20"/>
                <w:lang w:eastAsia="pl-PL"/>
              </w:rPr>
            </w:pPr>
            <w:r w:rsidRPr="000C056A">
              <w:rPr>
                <w:color w:val="000000"/>
                <w:sz w:val="20"/>
                <w:lang w:eastAsia="pl-PL"/>
              </w:rPr>
              <w:t xml:space="preserve">Section P Education </w:t>
            </w:r>
          </w:p>
        </w:tc>
        <w:tc>
          <w:tcPr>
            <w:tcW w:w="983" w:type="dxa"/>
            <w:noWrap/>
            <w:vAlign w:val="center"/>
            <w:hideMark/>
          </w:tcPr>
          <w:p w14:paraId="29CB6ED7"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21</w:t>
            </w:r>
          </w:p>
        </w:tc>
        <w:tc>
          <w:tcPr>
            <w:tcW w:w="2419" w:type="dxa"/>
            <w:noWrap/>
            <w:vAlign w:val="center"/>
            <w:hideMark/>
          </w:tcPr>
          <w:p w14:paraId="7C67F79B"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1,061,277.83</w:t>
            </w:r>
          </w:p>
        </w:tc>
      </w:tr>
      <w:tr w:rsidR="000C056A" w:rsidRPr="000C056A" w14:paraId="20E80E71" w14:textId="77777777" w:rsidTr="00197878">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10F847B8"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Q Healthcare and social assistance</w:t>
            </w:r>
          </w:p>
        </w:tc>
        <w:tc>
          <w:tcPr>
            <w:tcW w:w="983" w:type="dxa"/>
            <w:noWrap/>
            <w:vAlign w:val="center"/>
            <w:hideMark/>
          </w:tcPr>
          <w:p w14:paraId="1FE42720"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288</w:t>
            </w:r>
          </w:p>
        </w:tc>
        <w:tc>
          <w:tcPr>
            <w:tcW w:w="2419" w:type="dxa"/>
            <w:noWrap/>
            <w:vAlign w:val="center"/>
            <w:hideMark/>
          </w:tcPr>
          <w:p w14:paraId="0EBDC2D5"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13,405,520.82</w:t>
            </w:r>
          </w:p>
        </w:tc>
      </w:tr>
      <w:tr w:rsidR="000C056A" w:rsidRPr="000C056A" w14:paraId="575BD1D0" w14:textId="77777777" w:rsidTr="00197878">
        <w:trPr>
          <w:trHeight w:val="431"/>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017ECD36"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R Activity related with culture, entertainment and leisure</w:t>
            </w:r>
          </w:p>
        </w:tc>
        <w:tc>
          <w:tcPr>
            <w:tcW w:w="983" w:type="dxa"/>
            <w:noWrap/>
            <w:vAlign w:val="center"/>
            <w:hideMark/>
          </w:tcPr>
          <w:p w14:paraId="78934105"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12</w:t>
            </w:r>
          </w:p>
        </w:tc>
        <w:tc>
          <w:tcPr>
            <w:tcW w:w="2419" w:type="dxa"/>
            <w:noWrap/>
            <w:vAlign w:val="center"/>
            <w:hideMark/>
          </w:tcPr>
          <w:p w14:paraId="443243B2"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378,240.51</w:t>
            </w:r>
          </w:p>
        </w:tc>
      </w:tr>
      <w:tr w:rsidR="000C056A" w:rsidRPr="000C056A" w14:paraId="6712AE52" w14:textId="77777777" w:rsidTr="00197878">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88D03B5" w14:textId="77777777" w:rsidR="000C056A" w:rsidRPr="000C056A" w:rsidRDefault="000C056A" w:rsidP="000C056A">
            <w:pPr>
              <w:spacing w:after="0" w:line="240" w:lineRule="auto"/>
              <w:rPr>
                <w:color w:val="000000"/>
                <w:sz w:val="20"/>
                <w:lang w:eastAsia="pl-PL"/>
              </w:rPr>
            </w:pPr>
            <w:r w:rsidRPr="000C056A">
              <w:rPr>
                <w:color w:val="000000"/>
                <w:sz w:val="20"/>
                <w:lang w:eastAsia="pl-PL"/>
              </w:rPr>
              <w:t xml:space="preserve">Section S Other services </w:t>
            </w:r>
          </w:p>
        </w:tc>
        <w:tc>
          <w:tcPr>
            <w:tcW w:w="983" w:type="dxa"/>
            <w:noWrap/>
            <w:vAlign w:val="center"/>
            <w:hideMark/>
          </w:tcPr>
          <w:p w14:paraId="54D42D37"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60</w:t>
            </w:r>
          </w:p>
        </w:tc>
        <w:tc>
          <w:tcPr>
            <w:tcW w:w="2419" w:type="dxa"/>
            <w:noWrap/>
            <w:vAlign w:val="center"/>
            <w:hideMark/>
          </w:tcPr>
          <w:p w14:paraId="6AD77790"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2,494,226.25</w:t>
            </w:r>
          </w:p>
        </w:tc>
      </w:tr>
    </w:tbl>
    <w:p w14:paraId="52B665EA" w14:textId="77777777" w:rsidR="000C056A" w:rsidRPr="000C056A" w:rsidRDefault="000C056A" w:rsidP="000C056A">
      <w:pPr>
        <w:spacing w:after="0"/>
        <w:jc w:val="both"/>
        <w:rPr>
          <w:i/>
          <w:szCs w:val="24"/>
        </w:rPr>
      </w:pPr>
    </w:p>
    <w:p w14:paraId="6A182D42" w14:textId="77777777" w:rsidR="00197878" w:rsidRDefault="00197878" w:rsidP="000C056A">
      <w:pPr>
        <w:spacing w:line="240" w:lineRule="auto"/>
        <w:rPr>
          <w:b/>
          <w:bCs/>
          <w:color w:val="000000" w:themeColor="text1"/>
          <w:sz w:val="20"/>
          <w:szCs w:val="20"/>
          <w:lang w:val="en-GB"/>
        </w:rPr>
      </w:pPr>
    </w:p>
    <w:p w14:paraId="3A70B1F4" w14:textId="77777777" w:rsidR="000C056A" w:rsidRPr="000C056A" w:rsidRDefault="000C056A" w:rsidP="000C056A">
      <w:pPr>
        <w:spacing w:line="240" w:lineRule="auto"/>
        <w:rPr>
          <w:b/>
          <w:bCs/>
          <w:color w:val="4F81BD"/>
          <w:sz w:val="18"/>
          <w:szCs w:val="18"/>
          <w:lang w:val="en-US"/>
        </w:rPr>
      </w:pPr>
      <w:r w:rsidRPr="000C056A">
        <w:rPr>
          <w:b/>
          <w:bCs/>
          <w:color w:val="000000" w:themeColor="text1"/>
          <w:sz w:val="20"/>
          <w:szCs w:val="20"/>
          <w:lang w:val="en-GB"/>
        </w:rPr>
        <w:lastRenderedPageBreak/>
        <w:t xml:space="preserve">Table </w:t>
      </w:r>
      <w:r w:rsidRPr="000C056A">
        <w:rPr>
          <w:b/>
          <w:bCs/>
          <w:color w:val="000000" w:themeColor="text1"/>
          <w:sz w:val="20"/>
          <w:szCs w:val="20"/>
          <w:lang w:val="en-GB"/>
        </w:rPr>
        <w:fldChar w:fldCharType="begin"/>
      </w:r>
      <w:r w:rsidRPr="000C056A">
        <w:rPr>
          <w:b/>
          <w:bCs/>
          <w:color w:val="000000" w:themeColor="text1"/>
          <w:sz w:val="20"/>
          <w:szCs w:val="20"/>
          <w:lang w:val="en-GB"/>
        </w:rPr>
        <w:instrText xml:space="preserve"> SEQ Tabela \* ARABIC </w:instrText>
      </w:r>
      <w:r w:rsidRPr="000C056A">
        <w:rPr>
          <w:b/>
          <w:bCs/>
          <w:color w:val="000000" w:themeColor="text1"/>
          <w:sz w:val="20"/>
          <w:szCs w:val="20"/>
          <w:lang w:val="en-GB"/>
        </w:rPr>
        <w:fldChar w:fldCharType="separate"/>
      </w:r>
      <w:r w:rsidRPr="000C056A">
        <w:rPr>
          <w:b/>
          <w:bCs/>
          <w:noProof/>
          <w:color w:val="000000" w:themeColor="text1"/>
          <w:sz w:val="20"/>
          <w:szCs w:val="20"/>
          <w:lang w:val="en-GB"/>
        </w:rPr>
        <w:t>2</w:t>
      </w:r>
      <w:r w:rsidRPr="000C056A">
        <w:rPr>
          <w:b/>
          <w:bCs/>
          <w:color w:val="000000" w:themeColor="text1"/>
          <w:sz w:val="20"/>
          <w:szCs w:val="20"/>
          <w:lang w:val="en-GB"/>
        </w:rPr>
        <w:fldChar w:fldCharType="end"/>
      </w:r>
      <w:r w:rsidRPr="000C056A">
        <w:rPr>
          <w:b/>
          <w:bCs/>
          <w:color w:val="4F81BD"/>
          <w:sz w:val="18"/>
          <w:szCs w:val="18"/>
          <w:lang w:val="en-GB"/>
        </w:rPr>
        <w:t xml:space="preserve"> </w:t>
      </w:r>
      <w:r w:rsidRPr="000C056A">
        <w:rPr>
          <w:i/>
          <w:iCs/>
          <w:sz w:val="20"/>
          <w:szCs w:val="20"/>
          <w:lang w:val="en-GB"/>
        </w:rPr>
        <w:t>Distribution of projects under priority III  split into sectors of economy</w:t>
      </w:r>
    </w:p>
    <w:tbl>
      <w:tblPr>
        <w:tblStyle w:val="Tabelalisty3akcent62"/>
        <w:tblW w:w="10065" w:type="dxa"/>
        <w:tblLayout w:type="fixed"/>
        <w:tblLook w:val="04A0" w:firstRow="1" w:lastRow="0" w:firstColumn="1" w:lastColumn="0" w:noHBand="0" w:noVBand="1"/>
      </w:tblPr>
      <w:tblGrid>
        <w:gridCol w:w="6380"/>
        <w:gridCol w:w="992"/>
        <w:gridCol w:w="2693"/>
      </w:tblGrid>
      <w:tr w:rsidR="000C056A" w:rsidRPr="000C056A" w14:paraId="07F007CA" w14:textId="77777777" w:rsidTr="00197878">
        <w:trPr>
          <w:cnfStyle w:val="100000000000" w:firstRow="1" w:lastRow="0" w:firstColumn="0" w:lastColumn="0" w:oddVBand="0" w:evenVBand="0" w:oddHBand="0" w:evenHBand="0" w:firstRowFirstColumn="0" w:firstRowLastColumn="0" w:lastRowFirstColumn="0" w:lastRowLastColumn="0"/>
          <w:trHeight w:val="499"/>
        </w:trPr>
        <w:tc>
          <w:tcPr>
            <w:cnfStyle w:val="001000000100" w:firstRow="0" w:lastRow="0" w:firstColumn="1" w:lastColumn="0" w:oddVBand="0" w:evenVBand="0" w:oddHBand="0" w:evenHBand="0" w:firstRowFirstColumn="1" w:firstRowLastColumn="0" w:lastRowFirstColumn="0" w:lastRowLastColumn="0"/>
            <w:tcW w:w="6380" w:type="dxa"/>
            <w:vAlign w:val="center"/>
            <w:hideMark/>
          </w:tcPr>
          <w:p w14:paraId="10679F5B" w14:textId="77777777" w:rsidR="000C056A" w:rsidRPr="000C056A" w:rsidRDefault="000C056A" w:rsidP="000C056A">
            <w:pPr>
              <w:spacing w:after="0" w:line="240" w:lineRule="auto"/>
              <w:jc w:val="center"/>
              <w:rPr>
                <w:color w:val="000000"/>
                <w:sz w:val="20"/>
                <w:lang w:eastAsia="pl-PL"/>
              </w:rPr>
            </w:pPr>
            <w:r w:rsidRPr="000C056A">
              <w:rPr>
                <w:color w:val="000000"/>
                <w:sz w:val="20"/>
                <w:lang w:eastAsia="pl-PL"/>
              </w:rPr>
              <w:t>SECTION</w:t>
            </w:r>
          </w:p>
        </w:tc>
        <w:tc>
          <w:tcPr>
            <w:tcW w:w="992" w:type="dxa"/>
            <w:vAlign w:val="center"/>
            <w:hideMark/>
          </w:tcPr>
          <w:p w14:paraId="725924FF" w14:textId="77777777" w:rsidR="000C056A" w:rsidRPr="000C056A" w:rsidRDefault="000C056A" w:rsidP="000C056A">
            <w:pPr>
              <w:spacing w:after="0" w:line="240" w:lineRule="auto"/>
              <w:ind w:hanging="116"/>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NUMBER</w:t>
            </w:r>
          </w:p>
        </w:tc>
        <w:tc>
          <w:tcPr>
            <w:tcW w:w="2693" w:type="dxa"/>
            <w:vAlign w:val="center"/>
            <w:hideMark/>
          </w:tcPr>
          <w:p w14:paraId="60ED3AA7" w14:textId="77777777" w:rsidR="000C056A" w:rsidRPr="000C056A" w:rsidRDefault="000C056A" w:rsidP="000C056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EU VALUE IN EUR</w:t>
            </w:r>
          </w:p>
        </w:tc>
      </w:tr>
      <w:tr w:rsidR="000C056A" w:rsidRPr="000C056A" w14:paraId="417A85A0" w14:textId="77777777" w:rsidTr="00197878">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1E67922C"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I  Activity related with accommodation and catering services</w:t>
            </w:r>
          </w:p>
        </w:tc>
        <w:tc>
          <w:tcPr>
            <w:tcW w:w="992" w:type="dxa"/>
            <w:vAlign w:val="center"/>
            <w:hideMark/>
          </w:tcPr>
          <w:p w14:paraId="065F67E5"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255</w:t>
            </w:r>
          </w:p>
        </w:tc>
        <w:tc>
          <w:tcPr>
            <w:tcW w:w="2693" w:type="dxa"/>
            <w:noWrap/>
            <w:vAlign w:val="center"/>
            <w:hideMark/>
          </w:tcPr>
          <w:p w14:paraId="152181BA"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23,079,830.66</w:t>
            </w:r>
          </w:p>
        </w:tc>
      </w:tr>
      <w:tr w:rsidR="000C056A" w:rsidRPr="000C056A" w14:paraId="74D0E6C3" w14:textId="77777777" w:rsidTr="00197878">
        <w:trPr>
          <w:trHeight w:val="499"/>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146528CA"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L Activity related with real property market services</w:t>
            </w:r>
          </w:p>
        </w:tc>
        <w:tc>
          <w:tcPr>
            <w:tcW w:w="992" w:type="dxa"/>
            <w:vAlign w:val="center"/>
            <w:hideMark/>
          </w:tcPr>
          <w:p w14:paraId="07DA82CF"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w:t>
            </w:r>
          </w:p>
        </w:tc>
        <w:tc>
          <w:tcPr>
            <w:tcW w:w="2693" w:type="dxa"/>
            <w:noWrap/>
            <w:vAlign w:val="center"/>
            <w:hideMark/>
          </w:tcPr>
          <w:p w14:paraId="64D9063B"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144,401.25</w:t>
            </w:r>
          </w:p>
        </w:tc>
      </w:tr>
      <w:tr w:rsidR="000C056A" w:rsidRPr="000C056A" w14:paraId="17D0B588" w14:textId="77777777" w:rsidTr="00197878">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0D31C52C"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N Activity related to administration services and support activities</w:t>
            </w:r>
          </w:p>
        </w:tc>
        <w:tc>
          <w:tcPr>
            <w:tcW w:w="992" w:type="dxa"/>
            <w:vAlign w:val="center"/>
            <w:hideMark/>
          </w:tcPr>
          <w:p w14:paraId="4965E60D"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3</w:t>
            </w:r>
          </w:p>
        </w:tc>
        <w:tc>
          <w:tcPr>
            <w:tcW w:w="2693" w:type="dxa"/>
            <w:noWrap/>
            <w:vAlign w:val="center"/>
            <w:hideMark/>
          </w:tcPr>
          <w:p w14:paraId="65375BFC"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282,877.60</w:t>
            </w:r>
          </w:p>
        </w:tc>
      </w:tr>
      <w:tr w:rsidR="000C056A" w:rsidRPr="000C056A" w14:paraId="3593838A" w14:textId="77777777" w:rsidTr="00197878">
        <w:trPr>
          <w:trHeight w:val="499"/>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3CD0D3DC" w14:textId="77777777" w:rsidR="000C056A" w:rsidRPr="000C056A" w:rsidRDefault="000C056A" w:rsidP="000C056A">
            <w:pPr>
              <w:spacing w:after="0" w:line="240" w:lineRule="auto"/>
              <w:rPr>
                <w:color w:val="000000"/>
                <w:sz w:val="20"/>
                <w:lang w:eastAsia="pl-PL"/>
              </w:rPr>
            </w:pPr>
            <w:r w:rsidRPr="000C056A">
              <w:rPr>
                <w:color w:val="000000"/>
                <w:sz w:val="20"/>
                <w:lang w:eastAsia="pl-PL"/>
              </w:rPr>
              <w:t xml:space="preserve">Section P Education </w:t>
            </w:r>
          </w:p>
        </w:tc>
        <w:tc>
          <w:tcPr>
            <w:tcW w:w="992" w:type="dxa"/>
            <w:vAlign w:val="center"/>
            <w:hideMark/>
          </w:tcPr>
          <w:p w14:paraId="325C7444"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7</w:t>
            </w:r>
          </w:p>
        </w:tc>
        <w:tc>
          <w:tcPr>
            <w:tcW w:w="2693" w:type="dxa"/>
            <w:noWrap/>
            <w:vAlign w:val="center"/>
            <w:hideMark/>
          </w:tcPr>
          <w:p w14:paraId="1FE52A46"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558,392.89</w:t>
            </w:r>
          </w:p>
        </w:tc>
      </w:tr>
      <w:tr w:rsidR="000C056A" w:rsidRPr="000C056A" w14:paraId="016E19E5" w14:textId="77777777" w:rsidTr="00197878">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772A233D"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Q Healthcare and social assistance</w:t>
            </w:r>
          </w:p>
        </w:tc>
        <w:tc>
          <w:tcPr>
            <w:tcW w:w="992" w:type="dxa"/>
            <w:vAlign w:val="center"/>
            <w:hideMark/>
          </w:tcPr>
          <w:p w14:paraId="2696E0C2"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2</w:t>
            </w:r>
          </w:p>
        </w:tc>
        <w:tc>
          <w:tcPr>
            <w:tcW w:w="2693" w:type="dxa"/>
            <w:noWrap/>
            <w:vAlign w:val="center"/>
            <w:hideMark/>
          </w:tcPr>
          <w:p w14:paraId="05394739"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109,650.69</w:t>
            </w:r>
          </w:p>
        </w:tc>
      </w:tr>
      <w:tr w:rsidR="000C056A" w:rsidRPr="000C056A" w14:paraId="7E11FE6F" w14:textId="77777777" w:rsidTr="00197878">
        <w:trPr>
          <w:trHeight w:val="499"/>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77E424E7" w14:textId="77777777" w:rsidR="000C056A" w:rsidRPr="000C056A" w:rsidRDefault="000C056A" w:rsidP="000C056A">
            <w:pPr>
              <w:spacing w:after="0" w:line="240" w:lineRule="auto"/>
              <w:rPr>
                <w:color w:val="000000"/>
                <w:sz w:val="20"/>
                <w:lang w:val="en-US" w:eastAsia="pl-PL"/>
              </w:rPr>
            </w:pPr>
            <w:r w:rsidRPr="000C056A">
              <w:rPr>
                <w:color w:val="000000"/>
                <w:sz w:val="20"/>
                <w:lang w:val="en-US" w:eastAsia="pl-PL"/>
              </w:rPr>
              <w:t>Section R Activity related with culture, entertainment and leisure</w:t>
            </w:r>
          </w:p>
        </w:tc>
        <w:tc>
          <w:tcPr>
            <w:tcW w:w="992" w:type="dxa"/>
            <w:vAlign w:val="center"/>
            <w:hideMark/>
          </w:tcPr>
          <w:p w14:paraId="0668B366"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66</w:t>
            </w:r>
          </w:p>
        </w:tc>
        <w:tc>
          <w:tcPr>
            <w:tcW w:w="2693" w:type="dxa"/>
            <w:noWrap/>
            <w:vAlign w:val="center"/>
            <w:hideMark/>
          </w:tcPr>
          <w:p w14:paraId="79B70A45" w14:textId="77777777" w:rsidR="000C056A" w:rsidRPr="000C056A" w:rsidRDefault="000C056A" w:rsidP="000C056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5,785,817.27</w:t>
            </w:r>
          </w:p>
        </w:tc>
      </w:tr>
      <w:tr w:rsidR="000C056A" w:rsidRPr="000C056A" w14:paraId="430C0962" w14:textId="77777777" w:rsidTr="00197878">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6380" w:type="dxa"/>
            <w:vAlign w:val="center"/>
            <w:hideMark/>
          </w:tcPr>
          <w:p w14:paraId="135AF4D1" w14:textId="77777777" w:rsidR="000C056A" w:rsidRPr="000C056A" w:rsidRDefault="000C056A" w:rsidP="000C056A">
            <w:pPr>
              <w:spacing w:after="0" w:line="240" w:lineRule="auto"/>
              <w:rPr>
                <w:color w:val="000000"/>
                <w:sz w:val="20"/>
                <w:lang w:eastAsia="pl-PL"/>
              </w:rPr>
            </w:pPr>
            <w:r w:rsidRPr="000C056A">
              <w:rPr>
                <w:color w:val="000000"/>
                <w:sz w:val="20"/>
                <w:lang w:eastAsia="pl-PL"/>
              </w:rPr>
              <w:t xml:space="preserve">Section S Other services </w:t>
            </w:r>
          </w:p>
        </w:tc>
        <w:tc>
          <w:tcPr>
            <w:tcW w:w="992" w:type="dxa"/>
            <w:vAlign w:val="center"/>
            <w:hideMark/>
          </w:tcPr>
          <w:p w14:paraId="236EBF95"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7</w:t>
            </w:r>
          </w:p>
        </w:tc>
        <w:tc>
          <w:tcPr>
            <w:tcW w:w="2693" w:type="dxa"/>
            <w:noWrap/>
            <w:vAlign w:val="center"/>
            <w:hideMark/>
          </w:tcPr>
          <w:p w14:paraId="6AB87FCF" w14:textId="77777777" w:rsidR="000C056A" w:rsidRPr="000C056A" w:rsidRDefault="000C056A" w:rsidP="000C056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502,080.28</w:t>
            </w:r>
          </w:p>
        </w:tc>
      </w:tr>
    </w:tbl>
    <w:p w14:paraId="3FD0BEA2" w14:textId="77777777" w:rsidR="000C056A" w:rsidRPr="000C056A" w:rsidRDefault="000C056A" w:rsidP="000C056A">
      <w:pPr>
        <w:spacing w:after="0"/>
        <w:jc w:val="center"/>
        <w:rPr>
          <w:i/>
          <w:szCs w:val="24"/>
        </w:rPr>
      </w:pPr>
    </w:p>
    <w:p w14:paraId="462E1203" w14:textId="77777777" w:rsidR="000C056A" w:rsidRPr="000C056A" w:rsidRDefault="000C056A" w:rsidP="000C056A">
      <w:pPr>
        <w:spacing w:after="0"/>
        <w:jc w:val="both"/>
        <w:rPr>
          <w:szCs w:val="24"/>
        </w:rPr>
      </w:pPr>
    </w:p>
    <w:p w14:paraId="7075C9AA" w14:textId="77777777" w:rsidR="000C056A" w:rsidRPr="000C056A" w:rsidRDefault="000C056A" w:rsidP="000C056A">
      <w:pPr>
        <w:numPr>
          <w:ilvl w:val="0"/>
          <w:numId w:val="128"/>
        </w:numPr>
        <w:spacing w:after="120"/>
        <w:contextualSpacing/>
        <w:jc w:val="both"/>
        <w:rPr>
          <w:b/>
          <w:szCs w:val="24"/>
          <w:lang w:val="en-US"/>
        </w:rPr>
      </w:pPr>
      <w:r w:rsidRPr="000C056A">
        <w:rPr>
          <w:b/>
          <w:bCs/>
          <w:szCs w:val="24"/>
          <w:lang w:val="en-GB"/>
        </w:rPr>
        <w:t>projects split into legal status of the beneficiaries</w:t>
      </w:r>
    </w:p>
    <w:p w14:paraId="71C67105" w14:textId="5F92D56C" w:rsidR="000C056A" w:rsidRPr="000C056A" w:rsidRDefault="000C056A" w:rsidP="000C056A">
      <w:pPr>
        <w:jc w:val="both"/>
        <w:rPr>
          <w:szCs w:val="24"/>
          <w:lang w:val="en-US"/>
        </w:rPr>
      </w:pPr>
      <w:r w:rsidRPr="000C056A">
        <w:rPr>
          <w:szCs w:val="24"/>
          <w:lang w:val="en-GB"/>
        </w:rPr>
        <w:t xml:space="preserve">While analysing the division of projects in terms of legal status of the beneficiaries, it should be noted that projects of the highest value of EU funding were implemented by local authorities (1156.40 million EUR), which constitutes 68% of the value of funding in the entire discussed group of beneficiaries. Projects with the lowest value of funding were submitted by entrepreneurs. The reason for this situation was the determined level of maximum admissible funding for the entrepreneurs (maximum funding value is 178.81 million EUR).  However, in terms of activity and numbers, in the Silesian voivodeship a lot of interest in soliciting the EU funds was shown by entrepreneurs, which was reflected in the number of </w:t>
      </w:r>
      <w:r w:rsidRPr="000C056A">
        <w:rPr>
          <w:noProof/>
        </w:rPr>
        <mc:AlternateContent>
          <mc:Choice Requires="wps">
            <w:drawing>
              <wp:anchor distT="0" distB="0" distL="114300" distR="114300" simplePos="0" relativeHeight="251700224" behindDoc="0" locked="0" layoutInCell="1" allowOverlap="1" wp14:anchorId="3DEC9ED8" wp14:editId="119A17E1">
                <wp:simplePos x="0" y="0"/>
                <wp:positionH relativeFrom="column">
                  <wp:posOffset>0</wp:posOffset>
                </wp:positionH>
                <wp:positionV relativeFrom="paragraph">
                  <wp:posOffset>0</wp:posOffset>
                </wp:positionV>
                <wp:extent cx="390525" cy="822960"/>
                <wp:effectExtent l="0" t="0" r="0" b="0"/>
                <wp:wrapNone/>
                <wp:docPr id="52" name="Pole tekstowe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822960"/>
                        </a:xfrm>
                        <a:prstGeom prst="rect">
                          <a:avLst/>
                        </a:prstGeom>
                        <a:noFill/>
                        <a:ln>
                          <a:noFill/>
                        </a:ln>
                        <a:effectLst/>
                      </wps:spPr>
                      <wps:txbx>
                        <w:txbxContent>
                          <w:p w14:paraId="39968D99" w14:textId="77777777" w:rsidR="00197878" w:rsidRPr="006E6017" w:rsidRDefault="00197878" w:rsidP="000C056A">
                            <w:pPr>
                              <w:jc w:val="center"/>
                              <w:rPr>
                                <w:bCs/>
                                <w:color w:val="5B9BD5" w:themeColor="accent1"/>
                                <w:sz w:val="72"/>
                                <w:szCs w:val="72"/>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DEC9ED8" id="_x0000_t202" coordsize="21600,21600" o:spt="202" path="m,l,21600r21600,l21600,xe">
                <v:stroke joinstyle="miter"/>
                <v:path gradientshapeok="t" o:connecttype="rect"/>
              </v:shapetype>
              <v:shape id="Pole tekstowe 52" o:spid="_x0000_s1026" type="#_x0000_t202" style="position:absolute;left:0;text-align:left;margin-left:0;margin-top:0;width:30.75pt;height:64.8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" filled="f" stroked="f">
                <v:path arrowok="t"/>
                <v:textbox style="mso-fit-shape-to-text:t">
                  <w:txbxContent>
                    <w:p w14:paraId="39968D99" w14:textId="77777777" w:rsidR="00197878" w:rsidRPr="006E6017" w:rsidRDefault="00197878" w:rsidP="000C056A">
                      <w:pPr>
                        <w:jc w:val="center"/>
                        <w:rPr>
                          <w:bCs/>
                          <w:color w:val="5B9BD5" w:themeColor="accent1"/>
                          <w:sz w:val="72"/>
                          <w:szCs w:val="72"/>
                        </w:rPr>
                      </w:pPr>
                    </w:p>
                  </w:txbxContent>
                </v:textbox>
              </v:shape>
            </w:pict>
          </mc:Fallback>
        </mc:AlternateContent>
      </w:r>
      <w:r w:rsidRPr="000C056A">
        <w:rPr>
          <w:szCs w:val="24"/>
          <w:lang w:val="en-GB"/>
        </w:rPr>
        <w:t xml:space="preserve">completed projects (3422 projects), which is as much as 66% of all the signed agreements.  Furthermore, the most agreements were signed with the local authorities, among which a special role is played by sub-national authorities, as they are mostly responsible for regional/local development. </w:t>
      </w:r>
    </w:p>
    <w:p w14:paraId="64EACD2B" w14:textId="77777777" w:rsidR="000C056A" w:rsidRPr="000C056A" w:rsidRDefault="000C056A" w:rsidP="000C056A">
      <w:pPr>
        <w:spacing w:after="120"/>
        <w:jc w:val="both"/>
        <w:rPr>
          <w:b/>
          <w:szCs w:val="24"/>
        </w:rPr>
      </w:pPr>
      <w:r w:rsidRPr="000C056A">
        <w:rPr>
          <w:noProof/>
        </w:rPr>
        <w:lastRenderedPageBreak/>
        <w:drawing>
          <wp:inline distT="0" distB="0" distL="0" distR="0" wp14:anchorId="21493F3F" wp14:editId="107693CB">
            <wp:extent cx="5760720" cy="3319145"/>
            <wp:effectExtent l="0" t="0" r="0" b="0"/>
            <wp:docPr id="35" name="Wykres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ECDCA4F" w14:textId="77777777" w:rsidR="000C056A" w:rsidRPr="000C056A" w:rsidRDefault="000C056A" w:rsidP="000C056A">
      <w:pPr>
        <w:spacing w:line="240" w:lineRule="auto"/>
        <w:rPr>
          <w:b/>
          <w:bCs/>
          <w:color w:val="4F81BD"/>
          <w:sz w:val="18"/>
          <w:szCs w:val="18"/>
          <w:lang w:val="en-US"/>
        </w:rPr>
      </w:pPr>
      <w:bookmarkStart w:id="13" w:name="_Toc473203968"/>
      <w:r w:rsidRPr="000C056A">
        <w:rPr>
          <w:b/>
          <w:bCs/>
          <w:sz w:val="18"/>
          <w:szCs w:val="18"/>
          <w:lang w:val="en-GB"/>
        </w:rPr>
        <w:t xml:space="preserve">Chart </w:t>
      </w:r>
      <w:r w:rsidRPr="000C056A">
        <w:rPr>
          <w:b/>
          <w:bCs/>
          <w:sz w:val="18"/>
          <w:szCs w:val="18"/>
          <w:lang w:val="en-GB"/>
        </w:rPr>
        <w:fldChar w:fldCharType="begin"/>
      </w:r>
      <w:r w:rsidRPr="000C056A">
        <w:rPr>
          <w:b/>
          <w:bCs/>
          <w:sz w:val="18"/>
          <w:szCs w:val="18"/>
          <w:lang w:val="en-GB"/>
        </w:rPr>
        <w:instrText xml:space="preserve"> SEQ Wykres \* ARABIC </w:instrText>
      </w:r>
      <w:r w:rsidRPr="000C056A">
        <w:rPr>
          <w:b/>
          <w:bCs/>
          <w:sz w:val="18"/>
          <w:szCs w:val="18"/>
          <w:lang w:val="en-GB"/>
        </w:rPr>
        <w:fldChar w:fldCharType="separate"/>
      </w:r>
      <w:r w:rsidRPr="000C056A">
        <w:rPr>
          <w:b/>
          <w:bCs/>
          <w:noProof/>
          <w:sz w:val="18"/>
          <w:szCs w:val="18"/>
          <w:lang w:val="en-GB"/>
        </w:rPr>
        <w:t>3</w:t>
      </w:r>
      <w:r w:rsidRPr="000C056A">
        <w:rPr>
          <w:b/>
          <w:bCs/>
          <w:sz w:val="18"/>
          <w:szCs w:val="18"/>
          <w:lang w:val="en-GB"/>
        </w:rPr>
        <w:fldChar w:fldCharType="end"/>
      </w:r>
      <w:r w:rsidRPr="000C056A">
        <w:rPr>
          <w:b/>
          <w:bCs/>
          <w:color w:val="4F81BD"/>
          <w:sz w:val="18"/>
          <w:szCs w:val="18"/>
          <w:lang w:val="en-GB"/>
        </w:rPr>
        <w:t xml:space="preserve"> </w:t>
      </w:r>
      <w:r w:rsidRPr="000C056A">
        <w:rPr>
          <w:i/>
          <w:iCs/>
          <w:sz w:val="20"/>
          <w:szCs w:val="20"/>
          <w:lang w:val="en-GB"/>
        </w:rPr>
        <w:t>Distribution of projects under priority ROP SV  split into beneficiaries</w:t>
      </w:r>
      <w:bookmarkEnd w:id="13"/>
    </w:p>
    <w:p w14:paraId="57D6EA73" w14:textId="77777777" w:rsidR="000C056A" w:rsidRPr="000C056A" w:rsidRDefault="000C056A" w:rsidP="000C056A">
      <w:pPr>
        <w:numPr>
          <w:ilvl w:val="0"/>
          <w:numId w:val="128"/>
        </w:numPr>
        <w:spacing w:after="120"/>
        <w:ind w:left="714" w:hanging="357"/>
        <w:contextualSpacing/>
        <w:jc w:val="both"/>
        <w:rPr>
          <w:b/>
          <w:szCs w:val="24"/>
        </w:rPr>
      </w:pPr>
      <w:r w:rsidRPr="000C056A">
        <w:rPr>
          <w:b/>
          <w:bCs/>
          <w:szCs w:val="24"/>
          <w:lang w:val="en-GB"/>
        </w:rPr>
        <w:t>projects divided into territorial distribution</w:t>
      </w:r>
    </w:p>
    <w:p w14:paraId="6AED2EFE" w14:textId="5A1F86A2" w:rsidR="000C056A" w:rsidRPr="000C056A" w:rsidRDefault="000C056A" w:rsidP="000C056A">
      <w:pPr>
        <w:spacing w:after="0"/>
        <w:jc w:val="both"/>
        <w:rPr>
          <w:szCs w:val="24"/>
          <w:lang w:val="en-US"/>
        </w:rPr>
      </w:pPr>
      <w:r w:rsidRPr="000C056A">
        <w:rPr>
          <w:szCs w:val="24"/>
          <w:lang w:val="en-GB"/>
        </w:rPr>
        <w:t>The Silesian voivodship is the most urbanised region in Poland - 78% of population of the region inhabit cities (in Poland, it is 60.9%). In the Silesian voivodeship, there are 71 cities, and nearly half (46%) of the population inhabit 12 largest cities (with the population of over 100 k) The biggest of them are Katowice (306.8 k), Częstochowa (238.0 k) and Sosnowiec (217.3 k). Therefore, the condition of the biggest cities as driving forces of growth for the region, is of key importance. This is reflected in a separate priority of ROP SV, addressed mainly at sustainable development of cities. At the programming stage, the issue of rural areas was treated horizontally in ROP SV; the assistance is supplementary to the Programme of Development of Rural Areas implemented in the region.  An analysis of projects divided into areas shows that most of the projects were implemented in urban areas, which should not be surprising regardin</w:t>
      </w:r>
      <w:r w:rsidR="00CF0A37">
        <w:rPr>
          <w:szCs w:val="24"/>
          <w:lang w:val="en-GB"/>
        </w:rPr>
        <w:t>g the nature of the voivodeship.</w:t>
      </w:r>
    </w:p>
    <w:p w14:paraId="2830B1B9" w14:textId="77777777" w:rsidR="000C056A" w:rsidRDefault="000C056A" w:rsidP="000C056A">
      <w:pPr>
        <w:spacing w:before="120" w:after="240"/>
        <w:contextualSpacing/>
        <w:jc w:val="both"/>
        <w:rPr>
          <w:szCs w:val="24"/>
          <w:lang w:val="en-GB"/>
        </w:rPr>
      </w:pPr>
      <w:r w:rsidRPr="000C056A">
        <w:rPr>
          <w:szCs w:val="24"/>
          <w:lang w:val="en-GB"/>
        </w:rPr>
        <w:t>The table below presents division of projects split into areas.</w:t>
      </w:r>
      <w:bookmarkStart w:id="14" w:name="_Toc473204028"/>
    </w:p>
    <w:p w14:paraId="4AE6DBB6" w14:textId="77777777" w:rsidR="00197878" w:rsidRPr="000C056A" w:rsidRDefault="00197878" w:rsidP="000C056A">
      <w:pPr>
        <w:spacing w:before="120" w:after="240"/>
        <w:contextualSpacing/>
        <w:jc w:val="both"/>
        <w:rPr>
          <w:szCs w:val="24"/>
          <w:lang w:val="en-US"/>
        </w:rPr>
      </w:pPr>
    </w:p>
    <w:p w14:paraId="6F1ECBF6" w14:textId="56A36C16" w:rsidR="000C056A" w:rsidRPr="000C056A" w:rsidRDefault="00197878" w:rsidP="000C056A">
      <w:pPr>
        <w:spacing w:line="240" w:lineRule="auto"/>
        <w:rPr>
          <w:bCs/>
          <w:szCs w:val="24"/>
          <w:lang w:val="en-US"/>
        </w:rPr>
      </w:pPr>
      <w:r w:rsidRPr="000C056A">
        <w:rPr>
          <w:b/>
          <w:bCs/>
          <w:color w:val="000000" w:themeColor="text1"/>
          <w:sz w:val="20"/>
          <w:szCs w:val="20"/>
          <w:lang w:val="en-GB"/>
        </w:rPr>
        <w:t xml:space="preserve">Table </w:t>
      </w:r>
      <w:r w:rsidR="00157A26">
        <w:rPr>
          <w:b/>
          <w:bCs/>
          <w:color w:val="000000" w:themeColor="text1"/>
          <w:sz w:val="20"/>
          <w:szCs w:val="20"/>
          <w:lang w:val="en-GB"/>
        </w:rPr>
        <w:t>3</w:t>
      </w:r>
      <w:r w:rsidR="000C056A" w:rsidRPr="000C056A">
        <w:rPr>
          <w:b/>
          <w:bCs/>
          <w:color w:val="4F81BD"/>
          <w:sz w:val="18"/>
          <w:szCs w:val="18"/>
          <w:lang w:val="en-GB"/>
        </w:rPr>
        <w:t xml:space="preserve"> </w:t>
      </w:r>
      <w:r w:rsidR="000C056A" w:rsidRPr="000C056A">
        <w:rPr>
          <w:i/>
          <w:iCs/>
          <w:sz w:val="20"/>
          <w:szCs w:val="20"/>
          <w:lang w:val="en-GB"/>
        </w:rPr>
        <w:t>Distribution of projects under ROP SV  split into areas</w:t>
      </w:r>
      <w:r w:rsidR="000C056A" w:rsidRPr="000C056A">
        <w:rPr>
          <w:rFonts w:eastAsiaTheme="majorEastAsia"/>
          <w:sz w:val="18"/>
          <w:szCs w:val="18"/>
          <w:vertAlign w:val="superscript"/>
          <w:lang w:val="en-GB"/>
        </w:rPr>
        <w:footnoteReference w:id="1"/>
      </w:r>
      <w:bookmarkEnd w:id="14"/>
    </w:p>
    <w:tbl>
      <w:tblPr>
        <w:tblStyle w:val="Tabelalisty3akcent62"/>
        <w:tblW w:w="5275" w:type="dxa"/>
        <w:jc w:val="center"/>
        <w:tblLook w:val="04A0" w:firstRow="1" w:lastRow="0" w:firstColumn="1" w:lastColumn="0" w:noHBand="0" w:noVBand="1"/>
      </w:tblPr>
      <w:tblGrid>
        <w:gridCol w:w="1645"/>
        <w:gridCol w:w="1105"/>
        <w:gridCol w:w="2525"/>
      </w:tblGrid>
      <w:tr w:rsidR="000C056A" w:rsidRPr="000C056A" w14:paraId="58596962" w14:textId="77777777" w:rsidTr="00197878">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100" w:firstRow="0" w:lastRow="0" w:firstColumn="1" w:lastColumn="0" w:oddVBand="0" w:evenVBand="0" w:oddHBand="0" w:evenHBand="0" w:firstRowFirstColumn="1" w:firstRowLastColumn="0" w:lastRowFirstColumn="0" w:lastRowLastColumn="0"/>
            <w:tcW w:w="1668" w:type="dxa"/>
            <w:vAlign w:val="center"/>
            <w:hideMark/>
          </w:tcPr>
          <w:p w14:paraId="0B83A0B2" w14:textId="77777777" w:rsidR="000C056A" w:rsidRPr="000C056A" w:rsidRDefault="000C056A" w:rsidP="000C056A">
            <w:pPr>
              <w:spacing w:before="120" w:after="120" w:line="240" w:lineRule="auto"/>
              <w:jc w:val="center"/>
              <w:rPr>
                <w:color w:val="000000"/>
                <w:sz w:val="20"/>
                <w:lang w:eastAsia="pl-PL"/>
              </w:rPr>
            </w:pPr>
            <w:r w:rsidRPr="000C056A">
              <w:rPr>
                <w:color w:val="000000"/>
                <w:sz w:val="20"/>
                <w:lang w:eastAsia="pl-PL"/>
              </w:rPr>
              <w:t xml:space="preserve">AREA </w:t>
            </w:r>
          </w:p>
        </w:tc>
        <w:tc>
          <w:tcPr>
            <w:tcW w:w="992" w:type="dxa"/>
            <w:vAlign w:val="center"/>
            <w:hideMark/>
          </w:tcPr>
          <w:p w14:paraId="53B877BF" w14:textId="77777777" w:rsidR="000C056A" w:rsidRPr="000C056A" w:rsidRDefault="000C056A" w:rsidP="000C056A">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NUMBER</w:t>
            </w:r>
          </w:p>
        </w:tc>
        <w:tc>
          <w:tcPr>
            <w:tcW w:w="2615" w:type="dxa"/>
            <w:vAlign w:val="center"/>
            <w:hideMark/>
          </w:tcPr>
          <w:p w14:paraId="66D6C53B" w14:textId="77777777" w:rsidR="000C056A" w:rsidRPr="000C056A" w:rsidRDefault="000C056A" w:rsidP="000C056A">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EU FINANCING</w:t>
            </w:r>
          </w:p>
        </w:tc>
      </w:tr>
      <w:tr w:rsidR="000C056A" w:rsidRPr="000C056A" w14:paraId="2A979A56" w14:textId="77777777" w:rsidTr="00197878">
        <w:trPr>
          <w:cnfStyle w:val="000000100000" w:firstRow="0" w:lastRow="0" w:firstColumn="0" w:lastColumn="0" w:oddVBand="0" w:evenVBand="0" w:oddHBand="1" w:evenHBand="0" w:firstRowFirstColumn="0" w:firstRowLastColumn="0" w:lastRowFirstColumn="0" w:lastRowLastColumn="0"/>
          <w:trHeight w:val="466"/>
          <w:jc w:val="center"/>
        </w:trPr>
        <w:tc>
          <w:tcPr>
            <w:cnfStyle w:val="001000000000" w:firstRow="0" w:lastRow="0" w:firstColumn="1" w:lastColumn="0" w:oddVBand="0" w:evenVBand="0" w:oddHBand="0" w:evenHBand="0" w:firstRowFirstColumn="0" w:firstRowLastColumn="0" w:lastRowFirstColumn="0" w:lastRowLastColumn="0"/>
            <w:tcW w:w="1668" w:type="dxa"/>
            <w:vAlign w:val="center"/>
            <w:hideMark/>
          </w:tcPr>
          <w:p w14:paraId="792CC597" w14:textId="77777777" w:rsidR="000C056A" w:rsidRPr="000C056A" w:rsidRDefault="000C056A" w:rsidP="000C056A">
            <w:pPr>
              <w:spacing w:before="120" w:after="120" w:line="240" w:lineRule="auto"/>
              <w:jc w:val="center"/>
              <w:rPr>
                <w:color w:val="000000"/>
                <w:sz w:val="20"/>
                <w:lang w:eastAsia="pl-PL"/>
              </w:rPr>
            </w:pPr>
            <w:r w:rsidRPr="000C056A">
              <w:rPr>
                <w:color w:val="000000"/>
                <w:sz w:val="20"/>
                <w:lang w:eastAsia="pl-PL"/>
              </w:rPr>
              <w:t>Urban</w:t>
            </w:r>
          </w:p>
        </w:tc>
        <w:tc>
          <w:tcPr>
            <w:tcW w:w="992" w:type="dxa"/>
            <w:vAlign w:val="center"/>
            <w:hideMark/>
          </w:tcPr>
          <w:p w14:paraId="45A52EC3" w14:textId="5A13B2CA" w:rsidR="000C056A" w:rsidRPr="000C056A" w:rsidRDefault="000754BA" w:rsidP="000C056A">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bCs/>
                <w:color w:val="000000"/>
                <w:sz w:val="20"/>
                <w:lang w:eastAsia="pl-PL"/>
              </w:rPr>
            </w:pPr>
            <w:r>
              <w:rPr>
                <w:color w:val="000000"/>
                <w:sz w:val="20"/>
                <w:lang w:eastAsia="pl-PL"/>
              </w:rPr>
              <w:t>4187</w:t>
            </w:r>
          </w:p>
        </w:tc>
        <w:tc>
          <w:tcPr>
            <w:tcW w:w="2615" w:type="dxa"/>
            <w:vAlign w:val="center"/>
          </w:tcPr>
          <w:p w14:paraId="6CFFC0E2" w14:textId="71882965" w:rsidR="000C056A" w:rsidRPr="000C056A" w:rsidRDefault="000754BA" w:rsidP="000C056A">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Pr>
                <w:color w:val="000000"/>
                <w:sz w:val="20"/>
                <w:lang w:eastAsia="pl-PL"/>
              </w:rPr>
              <w:t>1,321,48</w:t>
            </w:r>
          </w:p>
        </w:tc>
      </w:tr>
      <w:tr w:rsidR="000C056A" w:rsidRPr="000C056A" w14:paraId="4ED9F83A" w14:textId="77777777" w:rsidTr="00197878">
        <w:trPr>
          <w:trHeight w:val="415"/>
          <w:jc w:val="center"/>
        </w:trPr>
        <w:tc>
          <w:tcPr>
            <w:cnfStyle w:val="001000000000" w:firstRow="0" w:lastRow="0" w:firstColumn="1" w:lastColumn="0" w:oddVBand="0" w:evenVBand="0" w:oddHBand="0" w:evenHBand="0" w:firstRowFirstColumn="0" w:firstRowLastColumn="0" w:lastRowFirstColumn="0" w:lastRowLastColumn="0"/>
            <w:tcW w:w="1668" w:type="dxa"/>
            <w:vAlign w:val="center"/>
            <w:hideMark/>
          </w:tcPr>
          <w:p w14:paraId="15088F04" w14:textId="77777777" w:rsidR="000C056A" w:rsidRPr="000C056A" w:rsidRDefault="000C056A" w:rsidP="000C056A">
            <w:pPr>
              <w:spacing w:before="120" w:after="120" w:line="240" w:lineRule="auto"/>
              <w:jc w:val="center"/>
              <w:rPr>
                <w:color w:val="000000"/>
                <w:sz w:val="20"/>
                <w:lang w:eastAsia="pl-PL"/>
              </w:rPr>
            </w:pPr>
            <w:r w:rsidRPr="000C056A">
              <w:rPr>
                <w:color w:val="000000"/>
                <w:sz w:val="20"/>
                <w:lang w:eastAsia="pl-PL"/>
              </w:rPr>
              <w:t xml:space="preserve">Rural </w:t>
            </w:r>
          </w:p>
        </w:tc>
        <w:tc>
          <w:tcPr>
            <w:tcW w:w="992" w:type="dxa"/>
            <w:vAlign w:val="center"/>
            <w:hideMark/>
          </w:tcPr>
          <w:p w14:paraId="046341A8" w14:textId="77777777" w:rsidR="000C056A" w:rsidRPr="000C056A" w:rsidRDefault="000C056A" w:rsidP="000C056A">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bCs/>
                <w:color w:val="000000"/>
                <w:sz w:val="20"/>
                <w:lang w:eastAsia="pl-PL"/>
              </w:rPr>
            </w:pPr>
            <w:r w:rsidRPr="000C056A">
              <w:rPr>
                <w:color w:val="000000"/>
                <w:sz w:val="20"/>
                <w:lang w:eastAsia="pl-PL"/>
              </w:rPr>
              <w:t>915</w:t>
            </w:r>
          </w:p>
        </w:tc>
        <w:tc>
          <w:tcPr>
            <w:tcW w:w="2615" w:type="dxa"/>
            <w:vAlign w:val="center"/>
          </w:tcPr>
          <w:p w14:paraId="6EDA7C28" w14:textId="77777777" w:rsidR="000C056A" w:rsidRPr="000C056A" w:rsidRDefault="000C056A" w:rsidP="000C056A">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lang w:eastAsia="pl-PL"/>
              </w:rPr>
            </w:pPr>
            <w:r w:rsidRPr="000C056A">
              <w:rPr>
                <w:color w:val="000000"/>
                <w:sz w:val="20"/>
                <w:lang w:eastAsia="pl-PL"/>
              </w:rPr>
              <w:t>300.75</w:t>
            </w:r>
          </w:p>
        </w:tc>
      </w:tr>
      <w:tr w:rsidR="000C056A" w:rsidRPr="000C056A" w14:paraId="2AF8EA0B" w14:textId="77777777" w:rsidTr="00197878">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1668" w:type="dxa"/>
            <w:vAlign w:val="center"/>
            <w:hideMark/>
          </w:tcPr>
          <w:p w14:paraId="1B149FEA" w14:textId="77777777" w:rsidR="000C056A" w:rsidRPr="000C056A" w:rsidRDefault="000C056A" w:rsidP="000C056A">
            <w:pPr>
              <w:spacing w:before="120" w:after="120" w:line="240" w:lineRule="auto"/>
              <w:jc w:val="center"/>
              <w:rPr>
                <w:color w:val="000000"/>
                <w:sz w:val="20"/>
                <w:lang w:eastAsia="pl-PL"/>
              </w:rPr>
            </w:pPr>
            <w:r w:rsidRPr="000C056A">
              <w:rPr>
                <w:color w:val="000000"/>
                <w:sz w:val="20"/>
                <w:lang w:eastAsia="pl-PL"/>
              </w:rPr>
              <w:t>Mountainous</w:t>
            </w:r>
          </w:p>
        </w:tc>
        <w:tc>
          <w:tcPr>
            <w:tcW w:w="992" w:type="dxa"/>
            <w:vAlign w:val="center"/>
            <w:hideMark/>
          </w:tcPr>
          <w:p w14:paraId="01479B7E" w14:textId="77777777" w:rsidR="000C056A" w:rsidRPr="000C056A" w:rsidRDefault="000C056A" w:rsidP="000C056A">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bCs/>
                <w:color w:val="000000"/>
                <w:sz w:val="20"/>
                <w:lang w:eastAsia="pl-PL"/>
              </w:rPr>
            </w:pPr>
            <w:r w:rsidRPr="000C056A">
              <w:rPr>
                <w:color w:val="000000"/>
                <w:sz w:val="20"/>
                <w:lang w:eastAsia="pl-PL"/>
              </w:rPr>
              <w:t>72</w:t>
            </w:r>
          </w:p>
        </w:tc>
        <w:tc>
          <w:tcPr>
            <w:tcW w:w="2615" w:type="dxa"/>
            <w:vAlign w:val="center"/>
          </w:tcPr>
          <w:p w14:paraId="3324EF31" w14:textId="77777777" w:rsidR="000C056A" w:rsidRPr="000C056A" w:rsidRDefault="000C056A" w:rsidP="000C056A">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lang w:eastAsia="pl-PL"/>
              </w:rPr>
            </w:pPr>
            <w:r w:rsidRPr="000C056A">
              <w:rPr>
                <w:color w:val="000000"/>
                <w:sz w:val="20"/>
                <w:lang w:eastAsia="pl-PL"/>
              </w:rPr>
              <w:t>19.02</w:t>
            </w:r>
          </w:p>
        </w:tc>
      </w:tr>
    </w:tbl>
    <w:p w14:paraId="2A3772AA" w14:textId="77777777" w:rsidR="000C056A" w:rsidRPr="000C056A" w:rsidRDefault="000C056A" w:rsidP="000C056A">
      <w:pPr>
        <w:spacing w:before="120" w:after="0"/>
        <w:jc w:val="both"/>
        <w:rPr>
          <w:szCs w:val="24"/>
          <w:lang w:val="en-US"/>
        </w:rPr>
      </w:pPr>
      <w:r w:rsidRPr="000C056A">
        <w:rPr>
          <w:szCs w:val="24"/>
          <w:lang w:val="en-GB"/>
        </w:rPr>
        <w:t xml:space="preserve">While analysing the contracting process at the level of specific poviats, it may be concluded that from launching the Programme to the end of 2016, the most funds were solicited by cities </w:t>
      </w:r>
      <w:r w:rsidRPr="000C056A">
        <w:rPr>
          <w:szCs w:val="24"/>
          <w:lang w:val="en-GB"/>
        </w:rPr>
        <w:lastRenderedPageBreak/>
        <w:t xml:space="preserve">with poviat rights, e.g.: Katowice 414 projects with the funding of 191.78 million EUR and Bielsko - Biała 312 projects with the funding of 94.75 million EUR.  Among land poviats, Cieszyński was the most effective poviat in soliciting funds, both in terms of the number of implemented projects and the value of received funding. In the area of the aforesaid poviat, 350 projects were implemented, with the funding of 60.37 million EUR. </w:t>
      </w:r>
    </w:p>
    <w:p w14:paraId="2C36AA9B" w14:textId="77777777" w:rsidR="000C056A" w:rsidRPr="000C056A" w:rsidRDefault="000C056A" w:rsidP="000C056A">
      <w:pPr>
        <w:spacing w:after="0"/>
        <w:jc w:val="both"/>
        <w:rPr>
          <w:szCs w:val="24"/>
          <w:lang w:val="en-US"/>
        </w:rPr>
      </w:pPr>
    </w:p>
    <w:p w14:paraId="483BB90A" w14:textId="77777777" w:rsidR="000C056A" w:rsidRPr="000C056A" w:rsidRDefault="000C056A" w:rsidP="000C056A">
      <w:pPr>
        <w:spacing w:after="120"/>
        <w:jc w:val="both"/>
        <w:rPr>
          <w:szCs w:val="24"/>
          <w:lang w:val="en-US"/>
        </w:rPr>
      </w:pPr>
      <w:r w:rsidRPr="000C056A">
        <w:rPr>
          <w:szCs w:val="24"/>
          <w:lang w:val="en-GB"/>
        </w:rPr>
        <w:t xml:space="preserve">Distribution of contracted ERDF funds is presented below, split into poviats. </w:t>
      </w:r>
    </w:p>
    <w:p w14:paraId="363683B8" w14:textId="77777777" w:rsidR="000C056A" w:rsidRPr="000C056A" w:rsidRDefault="000C056A" w:rsidP="000C056A">
      <w:pPr>
        <w:tabs>
          <w:tab w:val="left" w:pos="2070"/>
        </w:tabs>
        <w:spacing w:after="120"/>
        <w:jc w:val="both"/>
        <w:rPr>
          <w:b/>
          <w:szCs w:val="24"/>
        </w:rPr>
      </w:pPr>
      <w:r w:rsidRPr="000C056A">
        <w:rPr>
          <w:b/>
          <w:noProof/>
          <w:szCs w:val="24"/>
        </w:rPr>
        <w:lastRenderedPageBreak/>
        <mc:AlternateContent>
          <mc:Choice Requires="wps">
            <w:drawing>
              <wp:anchor distT="45720" distB="45720" distL="114300" distR="114300" simplePos="0" relativeHeight="251702272" behindDoc="0" locked="0" layoutInCell="1" allowOverlap="1" wp14:anchorId="74B3D33C" wp14:editId="31BBA693">
                <wp:simplePos x="0" y="0"/>
                <wp:positionH relativeFrom="margin">
                  <wp:align>left</wp:align>
                </wp:positionH>
                <wp:positionV relativeFrom="paragraph">
                  <wp:posOffset>6790690</wp:posOffset>
                </wp:positionV>
                <wp:extent cx="1866900" cy="333375"/>
                <wp:effectExtent l="0" t="0" r="19050" b="28575"/>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33375"/>
                        </a:xfrm>
                        <a:prstGeom prst="rect">
                          <a:avLst/>
                        </a:prstGeom>
                        <a:solidFill>
                          <a:srgbClr val="FFFFFF"/>
                        </a:solidFill>
                        <a:ln w="9525">
                          <a:solidFill>
                            <a:srgbClr val="000000"/>
                          </a:solidFill>
                          <a:miter lim="800000"/>
                          <a:headEnd/>
                          <a:tailEnd/>
                        </a:ln>
                      </wps:spPr>
                      <wps:txbx>
                        <w:txbxContent>
                          <w:p w14:paraId="5891EE48" w14:textId="77777777" w:rsidR="00197878" w:rsidRPr="00AE11CE" w:rsidRDefault="00197878" w:rsidP="000C056A">
                            <w:pPr>
                              <w:rPr>
                                <w:b/>
                                <w:sz w:val="20"/>
                                <w:szCs w:val="20"/>
                              </w:rPr>
                            </w:pPr>
                            <w:r w:rsidRPr="00AE11CE">
                              <w:rPr>
                                <w:b/>
                                <w:sz w:val="20"/>
                                <w:szCs w:val="20"/>
                              </w:rPr>
                              <w:t>Number of signed agreements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3D33C" id="Pole tekstowe 2" o:spid="_x0000_s1027" type="#_x0000_t202" style="position:absolute;left:0;text-align:left;margin-left:0;margin-top:534.7pt;width:147pt;height:26.25pt;z-index:2517022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">
                <v:textbox>
                  <w:txbxContent>
                    <w:p w14:paraId="5891EE48" w14:textId="77777777" w:rsidR="00197878" w:rsidRPr="00AE11CE" w:rsidRDefault="00197878" w:rsidP="000C056A">
                      <w:pPr>
                        <w:rPr>
                          <w:b/>
                          <w:sz w:val="20"/>
                          <w:szCs w:val="20"/>
                        </w:rPr>
                      </w:pPr>
                      <w:proofErr w:type="spellStart"/>
                      <w:r w:rsidRPr="00AE11CE">
                        <w:rPr>
                          <w:b/>
                          <w:sz w:val="20"/>
                          <w:szCs w:val="20"/>
                        </w:rPr>
                        <w:t>Number</w:t>
                      </w:r>
                      <w:proofErr w:type="spellEnd"/>
                      <w:r w:rsidRPr="00AE11CE">
                        <w:rPr>
                          <w:b/>
                          <w:sz w:val="20"/>
                          <w:szCs w:val="20"/>
                        </w:rPr>
                        <w:t xml:space="preserve"> of </w:t>
                      </w:r>
                      <w:proofErr w:type="spellStart"/>
                      <w:r w:rsidRPr="00AE11CE">
                        <w:rPr>
                          <w:b/>
                          <w:sz w:val="20"/>
                          <w:szCs w:val="20"/>
                        </w:rPr>
                        <w:t>signed</w:t>
                      </w:r>
                      <w:proofErr w:type="spellEnd"/>
                      <w:r w:rsidRPr="00AE11CE">
                        <w:rPr>
                          <w:b/>
                          <w:sz w:val="20"/>
                          <w:szCs w:val="20"/>
                        </w:rPr>
                        <w:t xml:space="preserve"> </w:t>
                      </w:r>
                      <w:proofErr w:type="spellStart"/>
                      <w:r w:rsidRPr="00AE11CE">
                        <w:rPr>
                          <w:b/>
                          <w:sz w:val="20"/>
                          <w:szCs w:val="20"/>
                        </w:rPr>
                        <w:t>agreements</w:t>
                      </w:r>
                      <w:proofErr w:type="spellEnd"/>
                    </w:p>
                  </w:txbxContent>
                </v:textbox>
                <w10:wrap anchorx="margin"/>
              </v:shape>
            </w:pict>
          </mc:Fallback>
        </mc:AlternateContent>
      </w:r>
      <w:r w:rsidRPr="000C056A">
        <w:rPr>
          <w:b/>
          <w:bCs/>
          <w:noProof/>
          <w:szCs w:val="24"/>
        </w:rPr>
        <w:drawing>
          <wp:inline distT="0" distB="0" distL="0" distR="0" wp14:anchorId="06F21FF6" wp14:editId="11C0C995">
            <wp:extent cx="5760720" cy="8148272"/>
            <wp:effectExtent l="0" t="0" r="0" b="5715"/>
            <wp:docPr id="40" name="Obraz 40" descr="W:\RRF\!Zespół ds monitoringu\Perspektywa 2007-2013\Sprawozdanie końcowe\Piotr\mapki\Program\Liczb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RRF\!Zespół ds monitoringu\Perspektywa 2007-2013\Sprawozdanie końcowe\Piotr\mapki\Program\Liczba.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8148272"/>
                    </a:xfrm>
                    <a:prstGeom prst="rect">
                      <a:avLst/>
                    </a:prstGeom>
                    <a:noFill/>
                    <a:ln>
                      <a:noFill/>
                    </a:ln>
                  </pic:spPr>
                </pic:pic>
              </a:graphicData>
            </a:graphic>
          </wp:inline>
        </w:drawing>
      </w:r>
    </w:p>
    <w:p w14:paraId="64680C26" w14:textId="77777777" w:rsidR="000C056A" w:rsidRPr="000C056A" w:rsidRDefault="000C056A" w:rsidP="000C056A">
      <w:pPr>
        <w:spacing w:line="240" w:lineRule="auto"/>
        <w:rPr>
          <w:bCs/>
          <w:i/>
          <w:sz w:val="20"/>
          <w:szCs w:val="20"/>
          <w:lang w:val="en-US"/>
        </w:rPr>
      </w:pPr>
      <w:bookmarkStart w:id="15" w:name="_Toc473203969"/>
      <w:r w:rsidRPr="000C056A">
        <w:rPr>
          <w:b/>
          <w:bCs/>
          <w:sz w:val="18"/>
          <w:szCs w:val="18"/>
          <w:lang w:val="en-GB"/>
        </w:rPr>
        <w:t xml:space="preserve">Drawing </w:t>
      </w:r>
      <w:r w:rsidRPr="000C056A">
        <w:rPr>
          <w:b/>
          <w:bCs/>
          <w:sz w:val="18"/>
          <w:szCs w:val="18"/>
          <w:lang w:val="en-GB"/>
        </w:rPr>
        <w:fldChar w:fldCharType="begin"/>
      </w:r>
      <w:r w:rsidRPr="000C056A">
        <w:rPr>
          <w:b/>
          <w:bCs/>
          <w:sz w:val="18"/>
          <w:szCs w:val="18"/>
          <w:lang w:val="en-GB"/>
        </w:rPr>
        <w:instrText xml:space="preserve"> SEQ Rysunek \* ARABIC </w:instrText>
      </w:r>
      <w:r w:rsidRPr="000C056A">
        <w:rPr>
          <w:b/>
          <w:bCs/>
          <w:sz w:val="18"/>
          <w:szCs w:val="18"/>
          <w:lang w:val="en-GB"/>
        </w:rPr>
        <w:fldChar w:fldCharType="separate"/>
      </w:r>
      <w:r w:rsidRPr="000C056A">
        <w:rPr>
          <w:b/>
          <w:bCs/>
          <w:noProof/>
          <w:sz w:val="18"/>
          <w:szCs w:val="18"/>
          <w:lang w:val="en-GB"/>
        </w:rPr>
        <w:t>1</w:t>
      </w:r>
      <w:r w:rsidRPr="000C056A">
        <w:rPr>
          <w:b/>
          <w:bCs/>
          <w:sz w:val="18"/>
          <w:szCs w:val="18"/>
          <w:lang w:val="en-GB"/>
        </w:rPr>
        <w:fldChar w:fldCharType="end"/>
      </w:r>
      <w:r w:rsidRPr="000C056A">
        <w:rPr>
          <w:b/>
          <w:bCs/>
          <w:color w:val="4F81BD"/>
          <w:sz w:val="18"/>
          <w:szCs w:val="18"/>
          <w:lang w:val="en-GB"/>
        </w:rPr>
        <w:t xml:space="preserve"> </w:t>
      </w:r>
      <w:r w:rsidRPr="000C056A">
        <w:rPr>
          <w:i/>
          <w:iCs/>
          <w:sz w:val="20"/>
          <w:szCs w:val="20"/>
          <w:lang w:val="en-GB"/>
        </w:rPr>
        <w:t>Distribution of projects under ROP SV split into poviats (number)</w:t>
      </w:r>
      <w:bookmarkEnd w:id="15"/>
    </w:p>
    <w:p w14:paraId="06A6F3A3" w14:textId="77777777" w:rsidR="000C056A" w:rsidRPr="000C056A" w:rsidRDefault="000C056A" w:rsidP="000C056A">
      <w:pPr>
        <w:spacing w:after="120"/>
        <w:jc w:val="both"/>
        <w:rPr>
          <w:b/>
          <w:szCs w:val="24"/>
        </w:rPr>
      </w:pPr>
      <w:r w:rsidRPr="000C056A">
        <w:rPr>
          <w:b/>
          <w:noProof/>
          <w:szCs w:val="24"/>
        </w:rPr>
        <w:lastRenderedPageBreak/>
        <mc:AlternateContent>
          <mc:Choice Requires="wps">
            <w:drawing>
              <wp:anchor distT="45720" distB="45720" distL="114300" distR="114300" simplePos="0" relativeHeight="251703296" behindDoc="0" locked="0" layoutInCell="1" allowOverlap="1" wp14:anchorId="2C0208DC" wp14:editId="651AAE72">
                <wp:simplePos x="0" y="0"/>
                <wp:positionH relativeFrom="margin">
                  <wp:posOffset>14604</wp:posOffset>
                </wp:positionH>
                <wp:positionV relativeFrom="paragraph">
                  <wp:posOffset>6752590</wp:posOffset>
                </wp:positionV>
                <wp:extent cx="2638425" cy="333375"/>
                <wp:effectExtent l="0" t="0" r="28575" b="28575"/>
                <wp:wrapNone/>
                <wp:docPr id="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333375"/>
                        </a:xfrm>
                        <a:prstGeom prst="rect">
                          <a:avLst/>
                        </a:prstGeom>
                        <a:solidFill>
                          <a:srgbClr val="FFFFFF"/>
                        </a:solidFill>
                        <a:ln w="9525">
                          <a:solidFill>
                            <a:srgbClr val="000000"/>
                          </a:solidFill>
                          <a:miter lim="800000"/>
                          <a:headEnd/>
                          <a:tailEnd/>
                        </a:ln>
                      </wps:spPr>
                      <wps:txbx>
                        <w:txbxContent>
                          <w:p w14:paraId="5141BAE8" w14:textId="77777777" w:rsidR="00197878" w:rsidRPr="00B07EFD" w:rsidRDefault="00197878" w:rsidP="000C056A">
                            <w:pPr>
                              <w:rPr>
                                <w:b/>
                                <w:sz w:val="20"/>
                                <w:szCs w:val="20"/>
                                <w:lang w:val="en-US"/>
                              </w:rPr>
                            </w:pPr>
                            <w:r w:rsidRPr="00B07EFD">
                              <w:rPr>
                                <w:b/>
                                <w:sz w:val="20"/>
                                <w:szCs w:val="20"/>
                                <w:lang w:val="en-US"/>
                              </w:rPr>
                              <w:t>Value of grants in EUR million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0208DC" id="_x0000_s1028" type="#_x0000_t202" style="position:absolute;left:0;text-align:left;margin-left:1.15pt;margin-top:531.7pt;width:207.75pt;height:26.2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">
                <v:textbox>
                  <w:txbxContent>
                    <w:p w14:paraId="5141BAE8" w14:textId="77777777" w:rsidR="00197878" w:rsidRPr="00B07EFD" w:rsidRDefault="00197878" w:rsidP="000C056A">
                      <w:pPr>
                        <w:rPr>
                          <w:b/>
                          <w:sz w:val="20"/>
                          <w:szCs w:val="20"/>
                          <w:lang w:val="en-US"/>
                        </w:rPr>
                      </w:pPr>
                      <w:r w:rsidRPr="00B07EFD">
                        <w:rPr>
                          <w:b/>
                          <w:sz w:val="20"/>
                          <w:szCs w:val="20"/>
                          <w:lang w:val="en-US"/>
                        </w:rPr>
                        <w:t>Value of grants in EUR million</w:t>
                      </w:r>
                    </w:p>
                  </w:txbxContent>
                </v:textbox>
                <w10:wrap anchorx="margin"/>
              </v:shape>
            </w:pict>
          </mc:Fallback>
        </mc:AlternateContent>
      </w:r>
      <w:r w:rsidRPr="000C056A">
        <w:rPr>
          <w:b/>
          <w:bCs/>
          <w:noProof/>
          <w:szCs w:val="24"/>
        </w:rPr>
        <w:drawing>
          <wp:inline distT="0" distB="0" distL="0" distR="0" wp14:anchorId="4BA3330A" wp14:editId="4EE9E87D">
            <wp:extent cx="5760720" cy="8140463"/>
            <wp:effectExtent l="0" t="0" r="0" b="0"/>
            <wp:docPr id="45" name="Obraz 45" descr="W:\RRF\!Zespół ds monitoringu\Perspektywa 2007-2013\Sprawozdanie końcowe\Piotr\mapki\Program\Wartość.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RRF\!Zespół ds monitoringu\Perspektywa 2007-2013\Sprawozdanie końcowe\Piotr\mapki\Program\Wartość.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8140463"/>
                    </a:xfrm>
                    <a:prstGeom prst="rect">
                      <a:avLst/>
                    </a:prstGeom>
                    <a:noFill/>
                    <a:ln>
                      <a:noFill/>
                    </a:ln>
                  </pic:spPr>
                </pic:pic>
              </a:graphicData>
            </a:graphic>
          </wp:inline>
        </w:drawing>
      </w:r>
    </w:p>
    <w:p w14:paraId="4DDD61EC" w14:textId="77777777" w:rsidR="000C056A" w:rsidRPr="000C056A" w:rsidRDefault="000C056A" w:rsidP="000C056A">
      <w:pPr>
        <w:spacing w:line="240" w:lineRule="auto"/>
        <w:rPr>
          <w:bCs/>
          <w:sz w:val="20"/>
          <w:szCs w:val="20"/>
          <w:lang w:val="en-US"/>
        </w:rPr>
      </w:pPr>
      <w:bookmarkStart w:id="16" w:name="_Toc473203970"/>
      <w:r w:rsidRPr="000C056A">
        <w:rPr>
          <w:b/>
          <w:bCs/>
          <w:sz w:val="18"/>
          <w:szCs w:val="18"/>
          <w:lang w:val="en-GB"/>
        </w:rPr>
        <w:t xml:space="preserve">Drawing </w:t>
      </w:r>
      <w:r w:rsidRPr="000C056A">
        <w:rPr>
          <w:b/>
          <w:bCs/>
          <w:sz w:val="18"/>
          <w:szCs w:val="18"/>
          <w:lang w:val="en-GB"/>
        </w:rPr>
        <w:fldChar w:fldCharType="begin"/>
      </w:r>
      <w:r w:rsidRPr="000C056A">
        <w:rPr>
          <w:b/>
          <w:bCs/>
          <w:sz w:val="18"/>
          <w:szCs w:val="18"/>
          <w:lang w:val="en-GB"/>
        </w:rPr>
        <w:instrText xml:space="preserve"> SEQ Rysunek \* ARABIC </w:instrText>
      </w:r>
      <w:r w:rsidRPr="000C056A">
        <w:rPr>
          <w:b/>
          <w:bCs/>
          <w:sz w:val="18"/>
          <w:szCs w:val="18"/>
          <w:lang w:val="en-GB"/>
        </w:rPr>
        <w:fldChar w:fldCharType="separate"/>
      </w:r>
      <w:r w:rsidRPr="000C056A">
        <w:rPr>
          <w:b/>
          <w:bCs/>
          <w:noProof/>
          <w:sz w:val="18"/>
          <w:szCs w:val="18"/>
          <w:lang w:val="en-GB"/>
        </w:rPr>
        <w:t>2</w:t>
      </w:r>
      <w:r w:rsidRPr="000C056A">
        <w:rPr>
          <w:b/>
          <w:bCs/>
          <w:sz w:val="18"/>
          <w:szCs w:val="18"/>
          <w:lang w:val="en-GB"/>
        </w:rPr>
        <w:t xml:space="preserve"> </w:t>
      </w:r>
      <w:r w:rsidRPr="000C056A">
        <w:rPr>
          <w:sz w:val="18"/>
          <w:szCs w:val="18"/>
          <w:lang w:val="en-GB"/>
        </w:rPr>
        <w:fldChar w:fldCharType="end"/>
      </w:r>
      <w:r w:rsidRPr="000C056A">
        <w:rPr>
          <w:i/>
          <w:iCs/>
          <w:sz w:val="20"/>
          <w:szCs w:val="20"/>
          <w:lang w:val="en-GB"/>
        </w:rPr>
        <w:t>Distribution of projects under ROP SV  split into poviats (value in EUR million)</w:t>
      </w:r>
      <w:bookmarkEnd w:id="16"/>
    </w:p>
    <w:p w14:paraId="1519CA45" w14:textId="77777777" w:rsidR="000C056A" w:rsidRPr="000C056A" w:rsidRDefault="000C056A" w:rsidP="000C056A">
      <w:pPr>
        <w:spacing w:after="120"/>
        <w:jc w:val="both"/>
        <w:rPr>
          <w:b/>
          <w:szCs w:val="24"/>
          <w:lang w:val="en-US"/>
        </w:rPr>
      </w:pPr>
    </w:p>
    <w:p w14:paraId="19716A72" w14:textId="77777777" w:rsidR="000C056A" w:rsidRPr="002E54A3" w:rsidRDefault="000C056A" w:rsidP="000C056A">
      <w:pPr>
        <w:numPr>
          <w:ilvl w:val="0"/>
          <w:numId w:val="128"/>
        </w:numPr>
        <w:spacing w:after="120"/>
        <w:contextualSpacing/>
        <w:jc w:val="both"/>
        <w:rPr>
          <w:b/>
          <w:szCs w:val="24"/>
          <w:lang w:val="en-US"/>
        </w:rPr>
      </w:pPr>
      <w:r w:rsidRPr="000C056A">
        <w:rPr>
          <w:b/>
          <w:bCs/>
          <w:szCs w:val="24"/>
          <w:lang w:val="en-GB"/>
        </w:rPr>
        <w:lastRenderedPageBreak/>
        <w:t>projects split into support areas</w:t>
      </w:r>
    </w:p>
    <w:p w14:paraId="2F0D65CA" w14:textId="77777777" w:rsidR="000C056A" w:rsidRPr="000C056A" w:rsidRDefault="000C056A" w:rsidP="000C056A">
      <w:pPr>
        <w:jc w:val="both"/>
        <w:rPr>
          <w:szCs w:val="24"/>
          <w:lang w:val="en-US"/>
        </w:rPr>
      </w:pPr>
      <w:r w:rsidRPr="000C056A">
        <w:rPr>
          <w:szCs w:val="24"/>
          <w:lang w:val="en-GB"/>
        </w:rPr>
        <w:t>While analysing contracting in ROP SV split into support areas, most of the funds were contracted under transport, sustainable development of cities as well as entrepreneurship and R&amp;D. The above situation is caused mainly by the fact that most of the funds were allocated to the aforesaid areas under ROP SV.</w:t>
      </w:r>
    </w:p>
    <w:p w14:paraId="3006D013" w14:textId="77777777" w:rsidR="000C056A" w:rsidRPr="000C056A" w:rsidRDefault="000C056A" w:rsidP="000C056A">
      <w:pPr>
        <w:jc w:val="both"/>
        <w:rPr>
          <w:noProof/>
          <w:lang w:val="en-US"/>
        </w:rPr>
      </w:pPr>
      <w:r w:rsidRPr="000C056A">
        <w:rPr>
          <w:noProof/>
        </w:rPr>
        <w:drawing>
          <wp:anchor distT="0" distB="0" distL="114300" distR="114300" simplePos="0" relativeHeight="251701248" behindDoc="0" locked="0" layoutInCell="1" allowOverlap="1" wp14:anchorId="7E88E5CA" wp14:editId="64E4632D">
            <wp:simplePos x="0" y="0"/>
            <wp:positionH relativeFrom="column">
              <wp:posOffset>-185420</wp:posOffset>
            </wp:positionH>
            <wp:positionV relativeFrom="paragraph">
              <wp:posOffset>622935</wp:posOffset>
            </wp:positionV>
            <wp:extent cx="6067425" cy="4114800"/>
            <wp:effectExtent l="0" t="0" r="0" b="0"/>
            <wp:wrapSquare wrapText="bothSides"/>
            <wp:docPr id="46" name="Wykres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sidRPr="000C056A">
        <w:rPr>
          <w:szCs w:val="24"/>
          <w:lang w:val="en-GB"/>
        </w:rPr>
        <w:t>The chart below shows  the distribution of projects under ROP SV  split into support areas.</w:t>
      </w:r>
      <w:r w:rsidRPr="000C056A">
        <w:rPr>
          <w:noProof/>
          <w:lang w:val="en-GB"/>
        </w:rPr>
        <w:t xml:space="preserve"> </w:t>
      </w:r>
    </w:p>
    <w:p w14:paraId="10692CA4" w14:textId="77777777" w:rsidR="000C056A" w:rsidRPr="000C056A" w:rsidRDefault="000C056A" w:rsidP="000C056A">
      <w:pPr>
        <w:jc w:val="both"/>
        <w:rPr>
          <w:noProof/>
          <w:lang w:val="en-US"/>
        </w:rPr>
      </w:pPr>
    </w:p>
    <w:p w14:paraId="2DE24AD9" w14:textId="567675B0" w:rsidR="000C056A" w:rsidRPr="000C056A" w:rsidRDefault="002E54A3" w:rsidP="000C056A">
      <w:pPr>
        <w:spacing w:line="240" w:lineRule="auto"/>
        <w:rPr>
          <w:bCs/>
          <w:i/>
          <w:sz w:val="20"/>
          <w:szCs w:val="20"/>
          <w:lang w:val="en-US"/>
        </w:rPr>
      </w:pPr>
      <w:r w:rsidRPr="000C056A">
        <w:rPr>
          <w:b/>
          <w:bCs/>
          <w:sz w:val="18"/>
          <w:szCs w:val="18"/>
          <w:lang w:val="en-GB"/>
        </w:rPr>
        <w:t xml:space="preserve">Chart </w:t>
      </w:r>
      <w:r>
        <w:rPr>
          <w:b/>
          <w:bCs/>
          <w:sz w:val="18"/>
          <w:szCs w:val="18"/>
          <w:lang w:val="en-GB"/>
        </w:rPr>
        <w:t xml:space="preserve">4 </w:t>
      </w:r>
      <w:r w:rsidR="000C056A" w:rsidRPr="002E54A3">
        <w:rPr>
          <w:sz w:val="20"/>
          <w:szCs w:val="20"/>
          <w:lang w:val="en-GB"/>
        </w:rPr>
        <w:t>Percentage share of funds split into thematic areas</w:t>
      </w:r>
      <w:r w:rsidR="000C056A" w:rsidRPr="002E54A3">
        <w:rPr>
          <w:sz w:val="18"/>
          <w:szCs w:val="18"/>
          <w:lang w:val="en-GB"/>
        </w:rPr>
        <w:t xml:space="preserve"> </w:t>
      </w:r>
      <w:r w:rsidR="000C056A" w:rsidRPr="002E54A3">
        <w:rPr>
          <w:sz w:val="20"/>
          <w:szCs w:val="20"/>
          <w:lang w:val="en-GB"/>
        </w:rPr>
        <w:t xml:space="preserve"> </w:t>
      </w:r>
    </w:p>
    <w:p w14:paraId="5D5E344E" w14:textId="77777777" w:rsidR="000C056A" w:rsidRPr="000C056A" w:rsidRDefault="000C056A" w:rsidP="000C056A">
      <w:pPr>
        <w:spacing w:after="160" w:line="259" w:lineRule="auto"/>
        <w:rPr>
          <w:b/>
          <w:bCs/>
          <w:szCs w:val="24"/>
          <w:lang w:val="en-US"/>
        </w:rPr>
      </w:pPr>
      <w:r w:rsidRPr="000C056A">
        <w:rPr>
          <w:b/>
          <w:bCs/>
          <w:szCs w:val="24"/>
          <w:lang w:val="en-GB"/>
        </w:rPr>
        <w:br w:type="page"/>
      </w:r>
    </w:p>
    <w:p w14:paraId="02098D80" w14:textId="77777777" w:rsidR="000C056A" w:rsidRPr="000C056A" w:rsidRDefault="000C056A" w:rsidP="000C056A">
      <w:pPr>
        <w:spacing w:after="0" w:line="360" w:lineRule="auto"/>
        <w:jc w:val="both"/>
        <w:rPr>
          <w:b/>
          <w:bCs/>
          <w:szCs w:val="24"/>
        </w:rPr>
      </w:pPr>
      <w:r w:rsidRPr="000C056A">
        <w:rPr>
          <w:b/>
          <w:bCs/>
          <w:szCs w:val="24"/>
          <w:lang w:val="en-GB"/>
        </w:rPr>
        <w:lastRenderedPageBreak/>
        <w:t>FINANCIAL ENGINEERING INSTRUMENTS</w:t>
      </w:r>
    </w:p>
    <w:p w14:paraId="43860FF6" w14:textId="77777777" w:rsidR="000C056A" w:rsidRPr="000C056A" w:rsidRDefault="000C056A" w:rsidP="000C056A">
      <w:pPr>
        <w:numPr>
          <w:ilvl w:val="0"/>
          <w:numId w:val="128"/>
        </w:numPr>
        <w:spacing w:after="0" w:line="360" w:lineRule="auto"/>
        <w:contextualSpacing/>
        <w:jc w:val="both"/>
        <w:rPr>
          <w:b/>
          <w:bCs/>
          <w:szCs w:val="24"/>
        </w:rPr>
      </w:pPr>
      <w:r w:rsidRPr="000C056A">
        <w:rPr>
          <w:b/>
          <w:bCs/>
          <w:szCs w:val="24"/>
          <w:lang w:val="en-GB"/>
        </w:rPr>
        <w:t>JESSICA Initiative</w:t>
      </w:r>
      <w:r w:rsidRPr="000C056A">
        <w:rPr>
          <w:szCs w:val="24"/>
          <w:lang w:val="en-GB"/>
        </w:rPr>
        <w:t xml:space="preserve">  </w:t>
      </w:r>
    </w:p>
    <w:p w14:paraId="091F2D82" w14:textId="77777777" w:rsidR="000C056A" w:rsidRPr="000C056A" w:rsidRDefault="000C056A" w:rsidP="000C056A">
      <w:pPr>
        <w:autoSpaceDE w:val="0"/>
        <w:autoSpaceDN w:val="0"/>
        <w:adjustRightInd w:val="0"/>
        <w:spacing w:after="0"/>
        <w:jc w:val="both"/>
        <w:rPr>
          <w:color w:val="FF0000"/>
          <w:szCs w:val="24"/>
          <w:lang w:val="en-US"/>
        </w:rPr>
      </w:pPr>
      <w:r w:rsidRPr="000C056A">
        <w:rPr>
          <w:szCs w:val="24"/>
          <w:lang w:val="en-GB"/>
        </w:rPr>
        <w:t>JESSICA project was completed on 31 December 2015. As of 31 December 2015, 27 Investment Agreements were signed, which included 27 Urban Projects, under which the funding from JESSICA Initiative was 66,415,226.91 EUR, which constitutes approximately 104.4% of total allocation provided to the Fund for Urban Development.</w:t>
      </w:r>
    </w:p>
    <w:p w14:paraId="0C21963E" w14:textId="77777777" w:rsidR="000C056A" w:rsidRPr="000C056A" w:rsidRDefault="000C056A" w:rsidP="000C056A">
      <w:pPr>
        <w:spacing w:after="0"/>
        <w:jc w:val="both"/>
        <w:rPr>
          <w:color w:val="FF0000"/>
          <w:szCs w:val="24"/>
          <w:lang w:val="en-US"/>
        </w:rPr>
      </w:pPr>
    </w:p>
    <w:p w14:paraId="7F8D7CF8" w14:textId="77777777" w:rsidR="000C056A" w:rsidRPr="000C056A" w:rsidRDefault="000C056A" w:rsidP="000C056A">
      <w:pPr>
        <w:spacing w:after="0"/>
        <w:jc w:val="both"/>
        <w:rPr>
          <w:szCs w:val="24"/>
          <w:lang w:val="en-US"/>
        </w:rPr>
      </w:pPr>
      <w:r w:rsidRPr="000C056A">
        <w:rPr>
          <w:szCs w:val="24"/>
          <w:lang w:val="en-GB"/>
        </w:rPr>
        <w:t xml:space="preserve">Correct functioning of the Holding Fund JESSICA was supervised by JESSICA Investment Board. In the entire programming period, 22 sessions were held, where the discussed topics depended on the moment of implementing JESSICA Initiative. </w:t>
      </w:r>
    </w:p>
    <w:p w14:paraId="72003BFD" w14:textId="77777777" w:rsidR="000C056A" w:rsidRPr="000C056A" w:rsidRDefault="000C056A" w:rsidP="000C056A">
      <w:pPr>
        <w:spacing w:after="0"/>
        <w:jc w:val="both"/>
        <w:rPr>
          <w:b/>
          <w:szCs w:val="24"/>
          <w:lang w:val="en-US"/>
        </w:rPr>
      </w:pPr>
    </w:p>
    <w:p w14:paraId="0E0A4988" w14:textId="77777777" w:rsidR="000C056A" w:rsidRPr="000C056A" w:rsidRDefault="000C056A" w:rsidP="000C056A">
      <w:pPr>
        <w:numPr>
          <w:ilvl w:val="0"/>
          <w:numId w:val="91"/>
        </w:numPr>
        <w:spacing w:after="120"/>
        <w:ind w:left="714" w:hanging="357"/>
        <w:jc w:val="both"/>
        <w:rPr>
          <w:b/>
          <w:szCs w:val="24"/>
          <w:lang w:val="en-US"/>
        </w:rPr>
      </w:pPr>
      <w:r w:rsidRPr="000C056A">
        <w:rPr>
          <w:b/>
          <w:bCs/>
          <w:szCs w:val="24"/>
          <w:lang w:val="en-GB"/>
        </w:rPr>
        <w:t>Capitalisation of external sources of entrepreneurship funding</w:t>
      </w:r>
    </w:p>
    <w:p w14:paraId="3BB39A2F" w14:textId="77777777" w:rsidR="000C056A" w:rsidRPr="000C056A" w:rsidRDefault="000C056A" w:rsidP="000C056A">
      <w:pPr>
        <w:spacing w:after="120"/>
        <w:jc w:val="both"/>
        <w:rPr>
          <w:szCs w:val="24"/>
          <w:lang w:val="en-US"/>
        </w:rPr>
      </w:pPr>
      <w:r w:rsidRPr="000C056A">
        <w:rPr>
          <w:szCs w:val="24"/>
          <w:lang w:val="en-GB"/>
        </w:rPr>
        <w:t xml:space="preserve">Under Sub-measure 1.1.1 in the scope of capitalisation of external sources of entrepreneurship funding in the programming period 2007-2013, 4 projects were implemented: 3 loan-based and 1 guarantee-based. </w:t>
      </w:r>
    </w:p>
    <w:p w14:paraId="742EC441" w14:textId="77777777" w:rsidR="000C056A" w:rsidRPr="000C056A" w:rsidRDefault="000C056A" w:rsidP="000C056A">
      <w:pPr>
        <w:spacing w:after="0"/>
        <w:jc w:val="both"/>
        <w:rPr>
          <w:szCs w:val="24"/>
          <w:lang w:val="en-US"/>
        </w:rPr>
      </w:pPr>
      <w:r w:rsidRPr="000C056A">
        <w:rPr>
          <w:szCs w:val="24"/>
          <w:lang w:val="en-GB"/>
        </w:rPr>
        <w:t>Below, progress of project implementation is presented.</w:t>
      </w:r>
    </w:p>
    <w:p w14:paraId="412BE0E2" w14:textId="77777777" w:rsidR="000C056A" w:rsidRPr="000C056A" w:rsidRDefault="000C056A" w:rsidP="000C056A">
      <w:pPr>
        <w:spacing w:after="0"/>
        <w:jc w:val="both"/>
        <w:rPr>
          <w:szCs w:val="24"/>
          <w:lang w:val="en-US"/>
        </w:rPr>
      </w:pPr>
      <w:r w:rsidRPr="000C056A">
        <w:rPr>
          <w:szCs w:val="24"/>
          <w:lang w:val="en-GB"/>
        </w:rPr>
        <w:br w:type="page"/>
      </w:r>
    </w:p>
    <w:p w14:paraId="4B5F0DE6" w14:textId="77777777" w:rsidR="000C056A" w:rsidRPr="000C056A" w:rsidRDefault="000C056A" w:rsidP="000C056A">
      <w:pPr>
        <w:spacing w:line="240" w:lineRule="auto"/>
        <w:rPr>
          <w:bCs/>
          <w:sz w:val="20"/>
          <w:szCs w:val="20"/>
          <w:lang w:val="en-US"/>
        </w:rPr>
      </w:pPr>
      <w:r w:rsidRPr="000C056A">
        <w:rPr>
          <w:b/>
          <w:bCs/>
          <w:sz w:val="20"/>
          <w:szCs w:val="20"/>
          <w:lang w:val="en-GB"/>
        </w:rPr>
        <w:lastRenderedPageBreak/>
        <w:t xml:space="preserve">Table </w:t>
      </w:r>
      <w:r w:rsidRPr="000C056A">
        <w:rPr>
          <w:b/>
          <w:bCs/>
          <w:sz w:val="20"/>
          <w:szCs w:val="20"/>
          <w:lang w:val="en-GB"/>
        </w:rPr>
        <w:fldChar w:fldCharType="begin"/>
      </w:r>
      <w:r w:rsidRPr="000C056A">
        <w:rPr>
          <w:b/>
          <w:bCs/>
          <w:sz w:val="20"/>
          <w:szCs w:val="20"/>
          <w:lang w:val="en-GB"/>
        </w:rPr>
        <w:instrText xml:space="preserve"> SEQ Tabela \* ARABIC </w:instrText>
      </w:r>
      <w:r w:rsidRPr="000C056A">
        <w:rPr>
          <w:b/>
          <w:bCs/>
          <w:sz w:val="20"/>
          <w:szCs w:val="20"/>
          <w:lang w:val="en-GB"/>
        </w:rPr>
        <w:fldChar w:fldCharType="separate"/>
      </w:r>
      <w:r w:rsidRPr="000C056A">
        <w:rPr>
          <w:b/>
          <w:bCs/>
          <w:noProof/>
          <w:sz w:val="20"/>
          <w:szCs w:val="20"/>
          <w:lang w:val="en-GB"/>
        </w:rPr>
        <w:t>4</w:t>
      </w:r>
      <w:r w:rsidRPr="000C056A">
        <w:rPr>
          <w:b/>
          <w:bCs/>
          <w:sz w:val="20"/>
          <w:szCs w:val="20"/>
          <w:lang w:val="en-GB"/>
        </w:rPr>
        <w:fldChar w:fldCharType="end"/>
      </w:r>
      <w:r w:rsidRPr="000C056A">
        <w:rPr>
          <w:b/>
          <w:bCs/>
          <w:sz w:val="20"/>
          <w:szCs w:val="20"/>
          <w:lang w:val="en-GB"/>
        </w:rPr>
        <w:t xml:space="preserve"> </w:t>
      </w:r>
      <w:r w:rsidRPr="000C056A">
        <w:rPr>
          <w:i/>
          <w:iCs/>
          <w:sz w:val="20"/>
          <w:szCs w:val="20"/>
          <w:lang w:val="en-GB"/>
        </w:rPr>
        <w:t xml:space="preserve">Progress of  project implementation, status as of 31 December 2016 </w:t>
      </w:r>
    </w:p>
    <w:tbl>
      <w:tblPr>
        <w:tblStyle w:val="Tabelalisty3akcent62"/>
        <w:tblW w:w="8742" w:type="dxa"/>
        <w:tblLayout w:type="fixed"/>
        <w:tblLook w:val="04A0" w:firstRow="1" w:lastRow="0" w:firstColumn="1" w:lastColumn="0" w:noHBand="0" w:noVBand="1"/>
      </w:tblPr>
      <w:tblGrid>
        <w:gridCol w:w="2117"/>
        <w:gridCol w:w="713"/>
        <w:gridCol w:w="1560"/>
        <w:gridCol w:w="1579"/>
        <w:gridCol w:w="1256"/>
        <w:gridCol w:w="1517"/>
      </w:tblGrid>
      <w:tr w:rsidR="000C056A" w:rsidRPr="000C056A" w14:paraId="286C167A" w14:textId="77777777" w:rsidTr="00197878">
        <w:trPr>
          <w:cnfStyle w:val="100000000000" w:firstRow="1" w:lastRow="0" w:firstColumn="0" w:lastColumn="0" w:oddVBand="0" w:evenVBand="0" w:oddHBand="0" w:evenHBand="0" w:firstRowFirstColumn="0" w:firstRowLastColumn="0" w:lastRowFirstColumn="0" w:lastRowLastColumn="0"/>
          <w:trHeight w:val="4089"/>
        </w:trPr>
        <w:tc>
          <w:tcPr>
            <w:cnfStyle w:val="001000000100" w:firstRow="0" w:lastRow="0" w:firstColumn="1" w:lastColumn="0" w:oddVBand="0" w:evenVBand="0" w:oddHBand="0" w:evenHBand="0" w:firstRowFirstColumn="1" w:firstRowLastColumn="0" w:lastRowFirstColumn="0" w:lastRowLastColumn="0"/>
            <w:tcW w:w="2117" w:type="dxa"/>
            <w:textDirection w:val="btLr"/>
            <w:vAlign w:val="center"/>
            <w:hideMark/>
          </w:tcPr>
          <w:p w14:paraId="18A51B8E" w14:textId="77777777" w:rsidR="000C056A" w:rsidRPr="002E54A3" w:rsidRDefault="000C056A" w:rsidP="000C056A">
            <w:pPr>
              <w:spacing w:after="0"/>
              <w:ind w:left="113" w:right="113"/>
              <w:jc w:val="center"/>
              <w:rPr>
                <w:color w:val="auto"/>
                <w:sz w:val="20"/>
                <w:szCs w:val="20"/>
                <w:lang w:eastAsia="pl-PL"/>
              </w:rPr>
            </w:pPr>
            <w:r w:rsidRPr="002E54A3">
              <w:rPr>
                <w:color w:val="auto"/>
                <w:sz w:val="20"/>
                <w:szCs w:val="20"/>
                <w:lang w:eastAsia="pl-PL"/>
              </w:rPr>
              <w:t>NAME OF THE BENEFICIARY</w:t>
            </w:r>
          </w:p>
        </w:tc>
        <w:tc>
          <w:tcPr>
            <w:tcW w:w="713" w:type="dxa"/>
            <w:textDirection w:val="btLr"/>
            <w:vAlign w:val="center"/>
            <w:hideMark/>
          </w:tcPr>
          <w:p w14:paraId="111ED8C0" w14:textId="77777777" w:rsidR="000C056A" w:rsidRPr="002E54A3" w:rsidRDefault="000C056A" w:rsidP="000C056A">
            <w:pPr>
              <w:spacing w:after="0"/>
              <w:ind w:left="113" w:right="113"/>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eastAsia="pl-PL"/>
              </w:rPr>
            </w:pPr>
            <w:r w:rsidRPr="002E54A3">
              <w:rPr>
                <w:color w:val="auto"/>
                <w:sz w:val="20"/>
                <w:szCs w:val="20"/>
                <w:lang w:val="en-US" w:eastAsia="pl-PL"/>
              </w:rPr>
              <w:t xml:space="preserve">NUMBER OF GRANTED LOANS/GUARANTEES </w:t>
            </w:r>
          </w:p>
        </w:tc>
        <w:tc>
          <w:tcPr>
            <w:tcW w:w="1560" w:type="dxa"/>
            <w:textDirection w:val="btLr"/>
            <w:vAlign w:val="center"/>
            <w:hideMark/>
          </w:tcPr>
          <w:p w14:paraId="676E0022" w14:textId="77777777" w:rsidR="000C056A" w:rsidRPr="002E54A3" w:rsidRDefault="000C056A" w:rsidP="000C056A">
            <w:pPr>
              <w:spacing w:after="0"/>
              <w:ind w:left="113" w:right="113"/>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eastAsia="pl-PL"/>
              </w:rPr>
            </w:pPr>
            <w:r w:rsidRPr="002E54A3">
              <w:rPr>
                <w:color w:val="auto"/>
                <w:sz w:val="20"/>
                <w:szCs w:val="20"/>
                <w:lang w:val="en-US" w:eastAsia="pl-PL"/>
              </w:rPr>
              <w:t xml:space="preserve">VALUE OF GRANTED LOANS/GUARANTEES </w:t>
            </w:r>
            <w:r w:rsidRPr="002E54A3">
              <w:rPr>
                <w:color w:val="auto"/>
                <w:sz w:val="20"/>
                <w:szCs w:val="20"/>
                <w:lang w:val="en-US" w:eastAsia="pl-PL"/>
              </w:rPr>
              <w:br/>
              <w:t>(EUR)</w:t>
            </w:r>
          </w:p>
        </w:tc>
        <w:tc>
          <w:tcPr>
            <w:tcW w:w="1579" w:type="dxa"/>
            <w:textDirection w:val="btLr"/>
            <w:vAlign w:val="center"/>
            <w:hideMark/>
          </w:tcPr>
          <w:p w14:paraId="02081603" w14:textId="77777777" w:rsidR="000C056A" w:rsidRPr="002E54A3" w:rsidRDefault="000C056A" w:rsidP="000C056A">
            <w:pPr>
              <w:spacing w:after="0"/>
              <w:ind w:left="113" w:right="113"/>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eastAsia="pl-PL"/>
              </w:rPr>
            </w:pPr>
            <w:r w:rsidRPr="002E54A3">
              <w:rPr>
                <w:color w:val="auto"/>
                <w:sz w:val="20"/>
                <w:szCs w:val="20"/>
                <w:lang w:val="en-US" w:eastAsia="pl-PL"/>
              </w:rPr>
              <w:t>VALUE OF ACTUALLY PAID LOANS</w:t>
            </w:r>
            <w:r w:rsidRPr="002E54A3">
              <w:rPr>
                <w:color w:val="auto"/>
                <w:sz w:val="20"/>
                <w:szCs w:val="20"/>
                <w:lang w:val="en-US" w:eastAsia="pl-PL"/>
              </w:rPr>
              <w:br/>
              <w:t xml:space="preserve"> (EUR)</w:t>
            </w:r>
          </w:p>
        </w:tc>
        <w:tc>
          <w:tcPr>
            <w:tcW w:w="1256" w:type="dxa"/>
            <w:textDirection w:val="btLr"/>
            <w:vAlign w:val="center"/>
            <w:hideMark/>
          </w:tcPr>
          <w:p w14:paraId="0B4115A9" w14:textId="77777777" w:rsidR="000C056A" w:rsidRPr="002E54A3" w:rsidRDefault="000C056A" w:rsidP="000C056A">
            <w:pPr>
              <w:spacing w:after="0"/>
              <w:ind w:left="113" w:right="113"/>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eastAsia="pl-PL"/>
              </w:rPr>
            </w:pPr>
            <w:r w:rsidRPr="002E54A3">
              <w:rPr>
                <w:color w:val="auto"/>
                <w:sz w:val="20"/>
                <w:szCs w:val="20"/>
                <w:lang w:val="en-US" w:eastAsia="pl-PL"/>
              </w:rPr>
              <w:t>LEVEL OF COMPLETION RATIO ‘VALUE OF GRANTED LOANS/GUARANTEES ‘</w:t>
            </w:r>
            <w:r w:rsidRPr="002E54A3">
              <w:rPr>
                <w:color w:val="auto"/>
                <w:sz w:val="20"/>
                <w:szCs w:val="20"/>
                <w:lang w:val="en-US" w:eastAsia="pl-PL"/>
              </w:rPr>
              <w:br/>
              <w:t>(%)</w:t>
            </w:r>
          </w:p>
        </w:tc>
        <w:tc>
          <w:tcPr>
            <w:tcW w:w="1517" w:type="dxa"/>
            <w:textDirection w:val="btLr"/>
            <w:vAlign w:val="center"/>
          </w:tcPr>
          <w:p w14:paraId="5AE89A16" w14:textId="77777777" w:rsidR="000C056A" w:rsidRPr="002E54A3" w:rsidRDefault="000C056A" w:rsidP="000C056A">
            <w:pPr>
              <w:spacing w:after="0"/>
              <w:ind w:left="113" w:right="113"/>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eastAsia="pl-PL"/>
              </w:rPr>
            </w:pPr>
            <w:r w:rsidRPr="002E54A3">
              <w:rPr>
                <w:color w:val="auto"/>
                <w:sz w:val="20"/>
                <w:szCs w:val="20"/>
                <w:lang w:val="en-US" w:eastAsia="pl-PL"/>
              </w:rPr>
              <w:t>INTEREST GENERATED BY PAYMENTS FROM THE PROGRAMME AND RELATED TO STRUCTURAL FUNDS (EUR)</w:t>
            </w:r>
          </w:p>
        </w:tc>
      </w:tr>
      <w:tr w:rsidR="000C056A" w:rsidRPr="000C056A" w14:paraId="72001152" w14:textId="77777777" w:rsidTr="00197878">
        <w:trPr>
          <w:cnfStyle w:val="000000100000" w:firstRow="0" w:lastRow="0" w:firstColumn="0" w:lastColumn="0" w:oddVBand="0" w:evenVBand="0" w:oddHBand="1" w:evenHBand="0" w:firstRowFirstColumn="0" w:firstRowLastColumn="0" w:lastRowFirstColumn="0" w:lastRowLastColumn="0"/>
          <w:trHeight w:val="767"/>
        </w:trPr>
        <w:tc>
          <w:tcPr>
            <w:cnfStyle w:val="001000000000" w:firstRow="0" w:lastRow="0" w:firstColumn="1" w:lastColumn="0" w:oddVBand="0" w:evenVBand="0" w:oddHBand="0" w:evenHBand="0" w:firstRowFirstColumn="0" w:firstRowLastColumn="0" w:lastRowFirstColumn="0" w:lastRowLastColumn="0"/>
            <w:tcW w:w="2117" w:type="dxa"/>
            <w:vAlign w:val="center"/>
            <w:hideMark/>
          </w:tcPr>
          <w:p w14:paraId="55A6FE5E" w14:textId="77777777" w:rsidR="000C056A" w:rsidRPr="000C056A" w:rsidRDefault="000C056A" w:rsidP="000C056A">
            <w:pPr>
              <w:spacing w:after="0"/>
              <w:rPr>
                <w:sz w:val="20"/>
                <w:szCs w:val="20"/>
                <w:lang w:eastAsia="pl-PL"/>
              </w:rPr>
            </w:pPr>
            <w:r w:rsidRPr="000C056A">
              <w:rPr>
                <w:sz w:val="20"/>
                <w:szCs w:val="20"/>
                <w:lang w:eastAsia="pl-PL"/>
              </w:rPr>
              <w:t>Fundusz Górnośląski S.A.</w:t>
            </w:r>
          </w:p>
        </w:tc>
        <w:tc>
          <w:tcPr>
            <w:tcW w:w="713" w:type="dxa"/>
            <w:vAlign w:val="center"/>
            <w:hideMark/>
          </w:tcPr>
          <w:p w14:paraId="027930E5"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p>
          <w:p w14:paraId="7E55855F"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195</w:t>
            </w:r>
          </w:p>
        </w:tc>
        <w:tc>
          <w:tcPr>
            <w:tcW w:w="1560" w:type="dxa"/>
            <w:vAlign w:val="center"/>
            <w:hideMark/>
          </w:tcPr>
          <w:p w14:paraId="31EA98F5"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br/>
            </w:r>
          </w:p>
          <w:p w14:paraId="0FFABAC2"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17,090,832.86</w:t>
            </w:r>
          </w:p>
          <w:p w14:paraId="20DB7075"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p>
        </w:tc>
        <w:tc>
          <w:tcPr>
            <w:tcW w:w="1579" w:type="dxa"/>
            <w:vAlign w:val="center"/>
            <w:hideMark/>
          </w:tcPr>
          <w:p w14:paraId="1D75F306"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p>
          <w:p w14:paraId="50F901B3" w14:textId="77777777" w:rsidR="000C056A" w:rsidRPr="000C056A" w:rsidRDefault="000C056A" w:rsidP="000C056A">
            <w:pPr>
              <w:spacing w:after="0"/>
              <w:ind w:hanging="7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16,530,518.48</w:t>
            </w:r>
          </w:p>
        </w:tc>
        <w:tc>
          <w:tcPr>
            <w:tcW w:w="1256" w:type="dxa"/>
            <w:noWrap/>
            <w:vAlign w:val="center"/>
            <w:hideMark/>
          </w:tcPr>
          <w:p w14:paraId="7BC305AB"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p>
          <w:p w14:paraId="03BD6291"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107.2%</w:t>
            </w:r>
          </w:p>
        </w:tc>
        <w:tc>
          <w:tcPr>
            <w:tcW w:w="1517" w:type="dxa"/>
            <w:vAlign w:val="center"/>
          </w:tcPr>
          <w:p w14:paraId="137B0874"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bCs/>
                <w:sz w:val="20"/>
                <w:szCs w:val="20"/>
                <w:lang w:eastAsia="pl-PL"/>
              </w:rPr>
            </w:pPr>
            <w:r w:rsidRPr="000C056A">
              <w:rPr>
                <w:sz w:val="20"/>
                <w:szCs w:val="20"/>
                <w:lang w:eastAsia="pl-PL"/>
              </w:rPr>
              <w:t>1 054927,57</w:t>
            </w:r>
          </w:p>
        </w:tc>
      </w:tr>
      <w:tr w:rsidR="000C056A" w:rsidRPr="000C056A" w14:paraId="6E7969C6" w14:textId="77777777" w:rsidTr="00197878">
        <w:trPr>
          <w:trHeight w:val="1166"/>
        </w:trPr>
        <w:tc>
          <w:tcPr>
            <w:cnfStyle w:val="001000000000" w:firstRow="0" w:lastRow="0" w:firstColumn="1" w:lastColumn="0" w:oddVBand="0" w:evenVBand="0" w:oddHBand="0" w:evenHBand="0" w:firstRowFirstColumn="0" w:firstRowLastColumn="0" w:lastRowFirstColumn="0" w:lastRowLastColumn="0"/>
            <w:tcW w:w="2117" w:type="dxa"/>
            <w:vAlign w:val="center"/>
            <w:hideMark/>
          </w:tcPr>
          <w:p w14:paraId="07A56610" w14:textId="77777777" w:rsidR="000C056A" w:rsidRPr="000C056A" w:rsidRDefault="000C056A" w:rsidP="000C056A">
            <w:pPr>
              <w:spacing w:after="0"/>
              <w:rPr>
                <w:sz w:val="20"/>
                <w:szCs w:val="20"/>
                <w:lang w:eastAsia="pl-PL"/>
              </w:rPr>
            </w:pPr>
          </w:p>
          <w:p w14:paraId="6F491D3F" w14:textId="77777777" w:rsidR="000C056A" w:rsidRPr="000C056A" w:rsidRDefault="000C056A" w:rsidP="000C056A">
            <w:pPr>
              <w:spacing w:after="0"/>
              <w:rPr>
                <w:sz w:val="20"/>
                <w:szCs w:val="20"/>
                <w:lang w:eastAsia="pl-PL"/>
              </w:rPr>
            </w:pPr>
            <w:r w:rsidRPr="000C056A">
              <w:rPr>
                <w:sz w:val="20"/>
                <w:szCs w:val="20"/>
                <w:lang w:eastAsia="pl-PL"/>
              </w:rPr>
              <w:t>Agencja Rozwoju Lokalnego S.A.</w:t>
            </w:r>
          </w:p>
        </w:tc>
        <w:tc>
          <w:tcPr>
            <w:tcW w:w="713" w:type="dxa"/>
            <w:vAlign w:val="center"/>
            <w:hideMark/>
          </w:tcPr>
          <w:p w14:paraId="62F3E4E2"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48</w:t>
            </w:r>
          </w:p>
        </w:tc>
        <w:tc>
          <w:tcPr>
            <w:tcW w:w="1560" w:type="dxa"/>
            <w:vAlign w:val="center"/>
            <w:hideMark/>
          </w:tcPr>
          <w:p w14:paraId="41A09AA0"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584,885.98</w:t>
            </w:r>
          </w:p>
        </w:tc>
        <w:tc>
          <w:tcPr>
            <w:tcW w:w="1579" w:type="dxa"/>
            <w:vAlign w:val="center"/>
            <w:hideMark/>
          </w:tcPr>
          <w:p w14:paraId="4958D4E0"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584,885.98</w:t>
            </w:r>
          </w:p>
        </w:tc>
        <w:tc>
          <w:tcPr>
            <w:tcW w:w="1256" w:type="dxa"/>
            <w:noWrap/>
            <w:vAlign w:val="center"/>
            <w:hideMark/>
          </w:tcPr>
          <w:p w14:paraId="6FEB6CAA"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104.70%</w:t>
            </w:r>
          </w:p>
        </w:tc>
        <w:tc>
          <w:tcPr>
            <w:tcW w:w="1517" w:type="dxa"/>
            <w:vAlign w:val="center"/>
          </w:tcPr>
          <w:p w14:paraId="35B4A70D"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bCs/>
                <w:sz w:val="20"/>
                <w:szCs w:val="20"/>
                <w:lang w:eastAsia="pl-PL"/>
              </w:rPr>
            </w:pPr>
            <w:r w:rsidRPr="000C056A">
              <w:rPr>
                <w:sz w:val="20"/>
                <w:szCs w:val="20"/>
                <w:lang w:eastAsia="pl-PL"/>
              </w:rPr>
              <w:t>26,283.35</w:t>
            </w:r>
          </w:p>
        </w:tc>
      </w:tr>
      <w:tr w:rsidR="000C056A" w:rsidRPr="000C056A" w14:paraId="4E48F9BE" w14:textId="77777777" w:rsidTr="00197878">
        <w:trPr>
          <w:cnfStyle w:val="000000100000" w:firstRow="0" w:lastRow="0" w:firstColumn="0" w:lastColumn="0" w:oddVBand="0" w:evenVBand="0" w:oddHBand="1" w:evenHBand="0" w:firstRowFirstColumn="0" w:firstRowLastColumn="0" w:lastRowFirstColumn="0" w:lastRowLastColumn="0"/>
          <w:trHeight w:val="1288"/>
        </w:trPr>
        <w:tc>
          <w:tcPr>
            <w:cnfStyle w:val="001000000000" w:firstRow="0" w:lastRow="0" w:firstColumn="1" w:lastColumn="0" w:oddVBand="0" w:evenVBand="0" w:oddHBand="0" w:evenHBand="0" w:firstRowFirstColumn="0" w:firstRowLastColumn="0" w:lastRowFirstColumn="0" w:lastRowLastColumn="0"/>
            <w:tcW w:w="2117" w:type="dxa"/>
            <w:vAlign w:val="center"/>
            <w:hideMark/>
          </w:tcPr>
          <w:p w14:paraId="42DBB8C8" w14:textId="77777777" w:rsidR="000C056A" w:rsidRPr="000C056A" w:rsidRDefault="000C056A" w:rsidP="000C056A">
            <w:pPr>
              <w:spacing w:after="0"/>
              <w:rPr>
                <w:sz w:val="20"/>
                <w:szCs w:val="20"/>
                <w:lang w:eastAsia="pl-PL"/>
              </w:rPr>
            </w:pPr>
          </w:p>
          <w:p w14:paraId="024CA135" w14:textId="77777777" w:rsidR="000C056A" w:rsidRPr="000C056A" w:rsidRDefault="000C056A" w:rsidP="000C056A">
            <w:pPr>
              <w:spacing w:after="0"/>
              <w:rPr>
                <w:sz w:val="20"/>
                <w:szCs w:val="20"/>
                <w:lang w:eastAsia="pl-PL"/>
              </w:rPr>
            </w:pPr>
            <w:r w:rsidRPr="000C056A">
              <w:rPr>
                <w:sz w:val="20"/>
                <w:szCs w:val="20"/>
                <w:lang w:eastAsia="pl-PL"/>
              </w:rPr>
              <w:t>Agencja Rozwoju Regionalnego w Częstochowie S.A.</w:t>
            </w:r>
          </w:p>
        </w:tc>
        <w:tc>
          <w:tcPr>
            <w:tcW w:w="713" w:type="dxa"/>
            <w:vAlign w:val="center"/>
            <w:hideMark/>
          </w:tcPr>
          <w:p w14:paraId="50D12BD8"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44</w:t>
            </w:r>
          </w:p>
        </w:tc>
        <w:tc>
          <w:tcPr>
            <w:tcW w:w="1560" w:type="dxa"/>
            <w:vAlign w:val="center"/>
            <w:hideMark/>
          </w:tcPr>
          <w:p w14:paraId="038BE327"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1,275,450.53</w:t>
            </w:r>
          </w:p>
        </w:tc>
        <w:tc>
          <w:tcPr>
            <w:tcW w:w="1579" w:type="dxa"/>
            <w:vAlign w:val="center"/>
            <w:hideMark/>
          </w:tcPr>
          <w:p w14:paraId="289605F1"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1,252,922.21</w:t>
            </w:r>
          </w:p>
        </w:tc>
        <w:tc>
          <w:tcPr>
            <w:tcW w:w="1256" w:type="dxa"/>
            <w:noWrap/>
            <w:vAlign w:val="center"/>
            <w:hideMark/>
          </w:tcPr>
          <w:p w14:paraId="1E6EBFED"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sz w:val="20"/>
                <w:szCs w:val="20"/>
                <w:lang w:eastAsia="pl-PL"/>
              </w:rPr>
            </w:pPr>
            <w:r w:rsidRPr="000C056A">
              <w:rPr>
                <w:sz w:val="20"/>
                <w:szCs w:val="20"/>
                <w:lang w:eastAsia="pl-PL"/>
              </w:rPr>
              <w:t>113.3%</w:t>
            </w:r>
          </w:p>
        </w:tc>
        <w:tc>
          <w:tcPr>
            <w:tcW w:w="1517" w:type="dxa"/>
            <w:vAlign w:val="center"/>
          </w:tcPr>
          <w:p w14:paraId="19C5A49E" w14:textId="77777777" w:rsidR="000C056A" w:rsidRPr="000C056A" w:rsidRDefault="000C056A" w:rsidP="000C056A">
            <w:pPr>
              <w:spacing w:after="0"/>
              <w:jc w:val="center"/>
              <w:cnfStyle w:val="000000100000" w:firstRow="0" w:lastRow="0" w:firstColumn="0" w:lastColumn="0" w:oddVBand="0" w:evenVBand="0" w:oddHBand="1" w:evenHBand="0" w:firstRowFirstColumn="0" w:firstRowLastColumn="0" w:lastRowFirstColumn="0" w:lastRowLastColumn="0"/>
              <w:rPr>
                <w:bCs/>
                <w:sz w:val="20"/>
                <w:szCs w:val="20"/>
                <w:lang w:eastAsia="pl-PL"/>
              </w:rPr>
            </w:pPr>
            <w:r w:rsidRPr="000C056A">
              <w:rPr>
                <w:sz w:val="20"/>
                <w:szCs w:val="20"/>
                <w:lang w:eastAsia="pl-PL"/>
              </w:rPr>
              <w:t>119,486.72</w:t>
            </w:r>
          </w:p>
        </w:tc>
      </w:tr>
      <w:tr w:rsidR="000C056A" w:rsidRPr="000C056A" w14:paraId="42E6BD59" w14:textId="77777777" w:rsidTr="00197878">
        <w:trPr>
          <w:trHeight w:val="1081"/>
        </w:trPr>
        <w:tc>
          <w:tcPr>
            <w:cnfStyle w:val="001000000000" w:firstRow="0" w:lastRow="0" w:firstColumn="1" w:lastColumn="0" w:oddVBand="0" w:evenVBand="0" w:oddHBand="0" w:evenHBand="0" w:firstRowFirstColumn="0" w:firstRowLastColumn="0" w:lastRowFirstColumn="0" w:lastRowLastColumn="0"/>
            <w:tcW w:w="2117" w:type="dxa"/>
            <w:vAlign w:val="center"/>
            <w:hideMark/>
          </w:tcPr>
          <w:p w14:paraId="60A1DEA4" w14:textId="77777777" w:rsidR="000C056A" w:rsidRPr="000C056A" w:rsidRDefault="000C056A" w:rsidP="000C056A">
            <w:pPr>
              <w:spacing w:after="0"/>
              <w:rPr>
                <w:sz w:val="20"/>
                <w:szCs w:val="20"/>
                <w:lang w:eastAsia="pl-PL"/>
              </w:rPr>
            </w:pPr>
          </w:p>
          <w:p w14:paraId="3CE713A4" w14:textId="77777777" w:rsidR="000C056A" w:rsidRPr="000C056A" w:rsidRDefault="000C056A" w:rsidP="000C056A">
            <w:pPr>
              <w:spacing w:after="0"/>
              <w:rPr>
                <w:sz w:val="20"/>
                <w:szCs w:val="20"/>
                <w:lang w:eastAsia="pl-PL"/>
              </w:rPr>
            </w:pPr>
            <w:r w:rsidRPr="000C056A">
              <w:rPr>
                <w:sz w:val="20"/>
                <w:szCs w:val="20"/>
                <w:lang w:eastAsia="pl-PL"/>
              </w:rPr>
              <w:t>Śląski Regionalny Fundusz Poręczeniowy</w:t>
            </w:r>
          </w:p>
          <w:p w14:paraId="07E96129" w14:textId="77777777" w:rsidR="000C056A" w:rsidRPr="000C056A" w:rsidRDefault="000C056A" w:rsidP="000C056A">
            <w:pPr>
              <w:spacing w:after="0"/>
              <w:rPr>
                <w:sz w:val="20"/>
                <w:szCs w:val="20"/>
                <w:lang w:eastAsia="pl-PL"/>
              </w:rPr>
            </w:pPr>
          </w:p>
        </w:tc>
        <w:tc>
          <w:tcPr>
            <w:tcW w:w="713" w:type="dxa"/>
            <w:vAlign w:val="center"/>
            <w:hideMark/>
          </w:tcPr>
          <w:p w14:paraId="1F41088F"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168</w:t>
            </w:r>
          </w:p>
        </w:tc>
        <w:tc>
          <w:tcPr>
            <w:tcW w:w="1560" w:type="dxa"/>
            <w:vAlign w:val="center"/>
            <w:hideMark/>
          </w:tcPr>
          <w:p w14:paraId="1CF2254D"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p>
          <w:p w14:paraId="108DBC2A"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6,052,400.01</w:t>
            </w:r>
          </w:p>
          <w:p w14:paraId="28784BC9"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p>
        </w:tc>
        <w:tc>
          <w:tcPr>
            <w:tcW w:w="1579" w:type="dxa"/>
            <w:vAlign w:val="center"/>
            <w:hideMark/>
          </w:tcPr>
          <w:p w14:paraId="2A001E29"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n/a</w:t>
            </w:r>
          </w:p>
        </w:tc>
        <w:tc>
          <w:tcPr>
            <w:tcW w:w="1256" w:type="dxa"/>
            <w:noWrap/>
            <w:vAlign w:val="center"/>
            <w:hideMark/>
          </w:tcPr>
          <w:p w14:paraId="6191D0F3"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sz w:val="20"/>
                <w:szCs w:val="20"/>
                <w:lang w:eastAsia="pl-PL"/>
              </w:rPr>
            </w:pPr>
            <w:r w:rsidRPr="000C056A">
              <w:rPr>
                <w:sz w:val="20"/>
                <w:szCs w:val="20"/>
                <w:lang w:eastAsia="pl-PL"/>
              </w:rPr>
              <w:t>110.0%</w:t>
            </w:r>
          </w:p>
        </w:tc>
        <w:tc>
          <w:tcPr>
            <w:tcW w:w="1517" w:type="dxa"/>
            <w:vAlign w:val="center"/>
          </w:tcPr>
          <w:p w14:paraId="3209F41D" w14:textId="77777777" w:rsidR="000C056A" w:rsidRPr="000C056A" w:rsidRDefault="000C056A" w:rsidP="000C056A">
            <w:pPr>
              <w:spacing w:after="0"/>
              <w:jc w:val="center"/>
              <w:cnfStyle w:val="000000000000" w:firstRow="0" w:lastRow="0" w:firstColumn="0" w:lastColumn="0" w:oddVBand="0" w:evenVBand="0" w:oddHBand="0" w:evenHBand="0" w:firstRowFirstColumn="0" w:firstRowLastColumn="0" w:lastRowFirstColumn="0" w:lastRowLastColumn="0"/>
              <w:rPr>
                <w:bCs/>
                <w:sz w:val="20"/>
                <w:szCs w:val="20"/>
                <w:lang w:eastAsia="pl-PL"/>
              </w:rPr>
            </w:pPr>
            <w:r w:rsidRPr="000C056A">
              <w:rPr>
                <w:sz w:val="20"/>
                <w:szCs w:val="20"/>
                <w:lang w:eastAsia="pl-PL"/>
              </w:rPr>
              <w:t>553,365.32</w:t>
            </w:r>
          </w:p>
        </w:tc>
      </w:tr>
    </w:tbl>
    <w:p w14:paraId="28FADDBE" w14:textId="77777777" w:rsidR="000C056A" w:rsidRPr="000C056A" w:rsidRDefault="000C056A" w:rsidP="000C056A">
      <w:pPr>
        <w:jc w:val="both"/>
        <w:rPr>
          <w:b/>
          <w:szCs w:val="24"/>
        </w:rPr>
      </w:pPr>
    </w:p>
    <w:p w14:paraId="3B1996C5" w14:textId="77777777" w:rsidR="000C056A" w:rsidRPr="000C056A" w:rsidRDefault="000C056A" w:rsidP="000C056A">
      <w:pPr>
        <w:numPr>
          <w:ilvl w:val="0"/>
          <w:numId w:val="129"/>
        </w:numPr>
        <w:contextualSpacing/>
        <w:jc w:val="both"/>
        <w:rPr>
          <w:b/>
          <w:szCs w:val="24"/>
        </w:rPr>
      </w:pPr>
      <w:r w:rsidRPr="000C056A">
        <w:rPr>
          <w:b/>
          <w:bCs/>
          <w:szCs w:val="24"/>
          <w:lang w:val="en-GB"/>
        </w:rPr>
        <w:t>Results</w:t>
      </w:r>
    </w:p>
    <w:p w14:paraId="5FB9C7C0" w14:textId="77777777" w:rsidR="000C056A" w:rsidRPr="000C056A" w:rsidRDefault="000C056A" w:rsidP="000C056A">
      <w:pPr>
        <w:jc w:val="both"/>
        <w:rPr>
          <w:szCs w:val="24"/>
          <w:lang w:val="en-US"/>
        </w:rPr>
      </w:pPr>
      <w:r w:rsidRPr="000C056A">
        <w:rPr>
          <w:szCs w:val="24"/>
          <w:lang w:val="en-GB"/>
        </w:rPr>
        <w:t xml:space="preserve">In the programming period 2006-2013, financial engineering instruments were of pilot nature. The Strategy of Managing Authority ROP SV in the area of implementing them was mainly to create a stable system of support which would serve the Silesian entrepreneurs, facilitate conducting investments and building awareness among the Silesian entrepreneurs, as well as promote an alternative manner of investment financing offered by Loan and Guarantee Funds. </w:t>
      </w:r>
    </w:p>
    <w:p w14:paraId="7530F5D3" w14:textId="77777777" w:rsidR="000C056A" w:rsidRPr="000C056A" w:rsidRDefault="000C056A" w:rsidP="000C056A">
      <w:pPr>
        <w:spacing w:after="0"/>
        <w:jc w:val="both"/>
        <w:rPr>
          <w:szCs w:val="24"/>
          <w:lang w:val="en-US"/>
        </w:rPr>
      </w:pPr>
    </w:p>
    <w:p w14:paraId="7253A120" w14:textId="77777777" w:rsidR="000C056A" w:rsidRPr="000C056A" w:rsidRDefault="000C056A" w:rsidP="000C056A">
      <w:pPr>
        <w:spacing w:after="160" w:line="259" w:lineRule="auto"/>
        <w:rPr>
          <w:b/>
          <w:szCs w:val="24"/>
          <w:lang w:val="en-US"/>
        </w:rPr>
      </w:pPr>
      <w:r w:rsidRPr="000C056A">
        <w:rPr>
          <w:b/>
          <w:bCs/>
          <w:szCs w:val="24"/>
          <w:lang w:val="en-GB"/>
        </w:rPr>
        <w:br w:type="page"/>
      </w:r>
    </w:p>
    <w:p w14:paraId="0D594409" w14:textId="77777777" w:rsidR="000C056A" w:rsidRPr="000C056A" w:rsidRDefault="000C056A" w:rsidP="000C056A">
      <w:pPr>
        <w:tabs>
          <w:tab w:val="left" w:pos="2070"/>
        </w:tabs>
        <w:spacing w:before="120" w:after="120"/>
        <w:jc w:val="both"/>
        <w:rPr>
          <w:b/>
          <w:szCs w:val="24"/>
        </w:rPr>
      </w:pPr>
      <w:r w:rsidRPr="000C056A">
        <w:rPr>
          <w:b/>
          <w:bCs/>
          <w:szCs w:val="24"/>
          <w:lang w:val="en-GB"/>
        </w:rPr>
        <w:lastRenderedPageBreak/>
        <w:t>OUTCOMES OF ROP SV</w:t>
      </w:r>
    </w:p>
    <w:p w14:paraId="3493C70A" w14:textId="77777777" w:rsidR="000C056A" w:rsidRPr="000C056A" w:rsidRDefault="000C056A" w:rsidP="000C056A">
      <w:pPr>
        <w:tabs>
          <w:tab w:val="left" w:pos="2070"/>
        </w:tabs>
        <w:spacing w:after="120"/>
        <w:ind w:left="-284"/>
        <w:jc w:val="both"/>
        <w:rPr>
          <w:szCs w:val="24"/>
        </w:rPr>
      </w:pPr>
      <w:r w:rsidRPr="000C056A">
        <w:rPr>
          <w:noProof/>
        </w:rPr>
        <w:drawing>
          <wp:inline distT="0" distB="0" distL="0" distR="0" wp14:anchorId="28BDABA9" wp14:editId="0F6F44F8">
            <wp:extent cx="5781675" cy="8395335"/>
            <wp:effectExtent l="0" t="0" r="28575" b="5715"/>
            <wp:docPr id="47" name="Diagram 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2447A632" w14:textId="77777777" w:rsidR="000C056A" w:rsidRPr="000C056A" w:rsidRDefault="000C056A" w:rsidP="000C056A">
      <w:pPr>
        <w:tabs>
          <w:tab w:val="left" w:pos="2070"/>
        </w:tabs>
        <w:spacing w:after="120"/>
        <w:jc w:val="both"/>
        <w:rPr>
          <w:szCs w:val="24"/>
        </w:rPr>
      </w:pPr>
    </w:p>
    <w:p w14:paraId="6BBFA4A7" w14:textId="77777777" w:rsidR="000C056A" w:rsidRPr="000C056A" w:rsidRDefault="000C056A" w:rsidP="000C056A">
      <w:pPr>
        <w:tabs>
          <w:tab w:val="left" w:pos="2070"/>
        </w:tabs>
        <w:spacing w:after="120"/>
        <w:ind w:left="-284"/>
        <w:jc w:val="both"/>
        <w:rPr>
          <w:szCs w:val="24"/>
        </w:rPr>
      </w:pPr>
      <w:r w:rsidRPr="000C056A">
        <w:rPr>
          <w:noProof/>
          <w:szCs w:val="24"/>
        </w:rPr>
        <w:drawing>
          <wp:inline distT="0" distB="0" distL="0" distR="0" wp14:anchorId="3AB59804" wp14:editId="63959496">
            <wp:extent cx="6267450" cy="8312150"/>
            <wp:effectExtent l="0" t="0" r="38100" b="0"/>
            <wp:docPr id="48" name="Diagram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321C885D" w14:textId="77777777" w:rsidR="000C056A" w:rsidRPr="000C056A" w:rsidRDefault="000C056A" w:rsidP="000C056A">
      <w:pPr>
        <w:tabs>
          <w:tab w:val="left" w:pos="2070"/>
        </w:tabs>
        <w:spacing w:after="120"/>
        <w:jc w:val="both"/>
        <w:rPr>
          <w:szCs w:val="24"/>
        </w:rPr>
      </w:pPr>
    </w:p>
    <w:p w14:paraId="0BA82EA1" w14:textId="77777777" w:rsidR="000C056A" w:rsidRPr="000C056A" w:rsidRDefault="000C056A" w:rsidP="000C056A">
      <w:pPr>
        <w:spacing w:after="120"/>
        <w:jc w:val="both"/>
        <w:rPr>
          <w:b/>
        </w:rPr>
      </w:pPr>
    </w:p>
    <w:p w14:paraId="4E119DF8" w14:textId="77777777" w:rsidR="000C056A" w:rsidRPr="000C056A" w:rsidRDefault="000C056A" w:rsidP="000C056A">
      <w:pPr>
        <w:spacing w:after="120"/>
        <w:jc w:val="both"/>
        <w:rPr>
          <w:b/>
          <w:lang w:val="en-US"/>
        </w:rPr>
      </w:pPr>
      <w:r w:rsidRPr="000C056A">
        <w:rPr>
          <w:b/>
          <w:bCs/>
          <w:lang w:val="en-GB"/>
        </w:rPr>
        <w:t>EXAMPLE PROJECTS</w:t>
      </w:r>
    </w:p>
    <w:p w14:paraId="14E617E0" w14:textId="77777777" w:rsidR="000C056A" w:rsidRPr="000C056A" w:rsidRDefault="000C056A" w:rsidP="000C056A">
      <w:pPr>
        <w:spacing w:after="120"/>
        <w:jc w:val="both"/>
        <w:rPr>
          <w:lang w:val="en-US"/>
        </w:rPr>
      </w:pPr>
      <w:r w:rsidRPr="000C056A">
        <w:rPr>
          <w:lang w:val="en-GB"/>
        </w:rPr>
        <w:t>Below, several most interesting examples are provided.</w:t>
      </w:r>
    </w:p>
    <w:p w14:paraId="5A2EAB9D" w14:textId="77777777" w:rsidR="000C056A" w:rsidRPr="00157A26" w:rsidRDefault="000C056A" w:rsidP="000C056A">
      <w:pPr>
        <w:spacing w:after="120"/>
        <w:jc w:val="both"/>
        <w:rPr>
          <w:b/>
          <w:sz w:val="28"/>
          <w:szCs w:val="28"/>
          <w:lang w:val="en-US"/>
        </w:rPr>
      </w:pPr>
      <w:r w:rsidRPr="00157A26">
        <w:rPr>
          <w:b/>
          <w:bCs/>
          <w:sz w:val="28"/>
          <w:szCs w:val="28"/>
          <w:lang w:val="en-GB"/>
        </w:rPr>
        <w:t>Innovations</w:t>
      </w:r>
    </w:p>
    <w:p w14:paraId="4B7A8B90" w14:textId="77777777" w:rsidR="000C056A" w:rsidRPr="000C056A" w:rsidRDefault="000C056A" w:rsidP="000C056A">
      <w:pPr>
        <w:spacing w:after="120"/>
        <w:jc w:val="both"/>
        <w:rPr>
          <w:lang w:val="en-US"/>
        </w:rPr>
      </w:pPr>
      <w:r w:rsidRPr="000C056A">
        <w:rPr>
          <w:i/>
          <w:iCs/>
          <w:lang w:val="en-GB"/>
        </w:rPr>
        <w:t>Innovations by implementing virtual reality solutions,</w:t>
      </w:r>
      <w:r w:rsidRPr="000C056A">
        <w:rPr>
          <w:lang w:val="en-GB"/>
        </w:rPr>
        <w:t xml:space="preserve"> a project involving implementation of innovative hardware and programming technology serving the purpose of creating new virtual reality products.  i3D company offers the most advance worldwide, comprehensive application and hardware solutions, which allow interaction and full reflection of the real world in the virtual reality.  I3D solutions are successfully used in petrochemical, extraction, mining industries, marketing and advertising, education, design, industrial design, medicine and biological sciences, information and tourism, planning and optimisation.</w:t>
      </w:r>
    </w:p>
    <w:p w14:paraId="3748F1DF" w14:textId="77777777" w:rsidR="000C056A" w:rsidRPr="00157A26" w:rsidRDefault="000C056A" w:rsidP="000C056A">
      <w:pPr>
        <w:rPr>
          <w:b/>
          <w:szCs w:val="24"/>
          <w:lang w:val="en-US"/>
        </w:rPr>
      </w:pPr>
      <w:r w:rsidRPr="00157A26">
        <w:rPr>
          <w:b/>
          <w:bCs/>
          <w:szCs w:val="24"/>
          <w:lang w:val="en-GB"/>
        </w:rPr>
        <w:t>New seat of the Silesian Museum</w:t>
      </w:r>
    </w:p>
    <w:p w14:paraId="0473DAB2" w14:textId="77777777" w:rsidR="000C056A" w:rsidRPr="000C056A" w:rsidRDefault="000C056A" w:rsidP="000C056A">
      <w:pPr>
        <w:spacing w:after="120"/>
        <w:jc w:val="both"/>
        <w:rPr>
          <w:b/>
        </w:rPr>
      </w:pPr>
      <w:r w:rsidRPr="000C056A">
        <w:rPr>
          <w:noProof/>
        </w:rPr>
        <w:drawing>
          <wp:inline distT="0" distB="0" distL="0" distR="0" wp14:anchorId="7C72351A" wp14:editId="446C14E4">
            <wp:extent cx="5819775" cy="3505200"/>
            <wp:effectExtent l="0" t="0" r="9525" b="0"/>
            <wp:docPr id="49" name="Obraz 49" descr="Znalezione obrazy dla zapytania muzeum sl&amp;aogon;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muzeum sl&amp;aogon;sk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20514" cy="3505645"/>
                    </a:xfrm>
                    <a:prstGeom prst="rect">
                      <a:avLst/>
                    </a:prstGeom>
                    <a:ln>
                      <a:noFill/>
                    </a:ln>
                    <a:effectLst>
                      <a:softEdge rad="112500"/>
                    </a:effectLst>
                  </pic:spPr>
                </pic:pic>
              </a:graphicData>
            </a:graphic>
          </wp:inline>
        </w:drawing>
      </w:r>
    </w:p>
    <w:p w14:paraId="6B999A9B" w14:textId="77777777" w:rsidR="000C056A" w:rsidRPr="000C056A" w:rsidRDefault="000C056A" w:rsidP="000C056A">
      <w:pPr>
        <w:spacing w:after="120"/>
        <w:jc w:val="both"/>
        <w:rPr>
          <w:lang w:val="en-US"/>
        </w:rPr>
      </w:pPr>
      <w:r w:rsidRPr="000C056A">
        <w:rPr>
          <w:lang w:val="en-GB"/>
        </w:rPr>
        <w:t xml:space="preserve">The project aimed to preserve the cultural heritage of Upper Silesia region for future generations and increase the tourist attractiveness of the region.   A new complex of Silesian Museum buildings which was localised in the area of a former Katowice Coal Mine, along with other institutions which were established there, constitutes the Culture Zone. It is a new centre of cultural life of the city. In the new seat of the Silesian Museum, visitors have an opportunity to see innovative exhibition methods and new arrangement methods, owing to a modern and original setting.   </w:t>
      </w:r>
    </w:p>
    <w:p w14:paraId="7ECD1222" w14:textId="77777777" w:rsidR="000C056A" w:rsidRPr="000C056A" w:rsidRDefault="000C056A" w:rsidP="000C056A">
      <w:pPr>
        <w:spacing w:before="100" w:beforeAutospacing="1" w:after="100" w:afterAutospacing="1" w:line="240" w:lineRule="auto"/>
        <w:ind w:left="576" w:hanging="576"/>
        <w:outlineLvl w:val="1"/>
        <w:rPr>
          <w:b/>
          <w:bCs/>
          <w:sz w:val="36"/>
          <w:szCs w:val="36"/>
          <w:lang w:val="en-US"/>
        </w:rPr>
      </w:pPr>
    </w:p>
    <w:p w14:paraId="1C3D9CDD" w14:textId="77777777" w:rsidR="000C056A" w:rsidRPr="000C056A" w:rsidRDefault="000C056A" w:rsidP="000C056A">
      <w:pPr>
        <w:spacing w:before="100" w:beforeAutospacing="1" w:after="100" w:afterAutospacing="1" w:line="240" w:lineRule="auto"/>
        <w:ind w:left="576" w:hanging="576"/>
        <w:outlineLvl w:val="1"/>
        <w:rPr>
          <w:b/>
          <w:bCs/>
          <w:sz w:val="36"/>
          <w:szCs w:val="36"/>
          <w:lang w:val="en-GB"/>
        </w:rPr>
      </w:pPr>
    </w:p>
    <w:p w14:paraId="02B77D2A" w14:textId="77777777" w:rsidR="000C056A" w:rsidRPr="00157A26" w:rsidRDefault="000C056A" w:rsidP="000C056A">
      <w:pPr>
        <w:spacing w:before="100" w:beforeAutospacing="1" w:after="100" w:afterAutospacing="1" w:line="240" w:lineRule="auto"/>
        <w:ind w:left="576" w:hanging="576"/>
        <w:outlineLvl w:val="1"/>
        <w:rPr>
          <w:b/>
          <w:bCs/>
          <w:szCs w:val="24"/>
        </w:rPr>
      </w:pPr>
      <w:r w:rsidRPr="00157A26">
        <w:rPr>
          <w:b/>
          <w:bCs/>
          <w:szCs w:val="24"/>
          <w:lang w:val="en-GB"/>
        </w:rPr>
        <w:lastRenderedPageBreak/>
        <w:t>Mysterious library</w:t>
      </w:r>
    </w:p>
    <w:p w14:paraId="5449748C" w14:textId="77777777" w:rsidR="000C056A" w:rsidRPr="000C056A" w:rsidRDefault="000C056A" w:rsidP="000C056A">
      <w:pPr>
        <w:spacing w:after="120"/>
        <w:jc w:val="center"/>
        <w:rPr>
          <w:szCs w:val="24"/>
        </w:rPr>
      </w:pPr>
      <w:r w:rsidRPr="000C056A">
        <w:rPr>
          <w:noProof/>
          <w:szCs w:val="24"/>
        </w:rPr>
        <w:drawing>
          <wp:inline distT="0" distB="0" distL="0" distR="0" wp14:anchorId="016A3EC8" wp14:editId="63F72ADD">
            <wp:extent cx="5289550" cy="2387600"/>
            <wp:effectExtent l="0" t="0" r="635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XMCZT095.jpg"/>
                    <pic:cNvPicPr/>
                  </pic:nvPicPr>
                  <pic:blipFill>
                    <a:blip r:embed="rId30">
                      <a:extLst>
                        <a:ext uri="{28A0092B-C50C-407E-A947-70E740481C1C}">
                          <a14:useLocalDpi xmlns:a14="http://schemas.microsoft.com/office/drawing/2010/main" val="0"/>
                        </a:ext>
                      </a:extLst>
                    </a:blip>
                    <a:stretch>
                      <a:fillRect/>
                    </a:stretch>
                  </pic:blipFill>
                  <pic:spPr>
                    <a:xfrm>
                      <a:off x="0" y="0"/>
                      <a:ext cx="5289550" cy="2387600"/>
                    </a:xfrm>
                    <a:prstGeom prst="rect">
                      <a:avLst/>
                    </a:prstGeom>
                    <a:ln>
                      <a:noFill/>
                    </a:ln>
                    <a:effectLst>
                      <a:softEdge rad="112500"/>
                    </a:effectLst>
                  </pic:spPr>
                </pic:pic>
              </a:graphicData>
            </a:graphic>
          </wp:inline>
        </w:drawing>
      </w:r>
    </w:p>
    <w:p w14:paraId="2108F2DC" w14:textId="77777777" w:rsidR="000C056A" w:rsidRPr="000C056A" w:rsidRDefault="000C056A" w:rsidP="000C056A">
      <w:pPr>
        <w:spacing w:after="120"/>
        <w:jc w:val="both"/>
        <w:rPr>
          <w:lang w:val="en-US"/>
        </w:rPr>
      </w:pPr>
      <w:r w:rsidRPr="000C056A">
        <w:rPr>
          <w:lang w:val="en-GB"/>
        </w:rPr>
        <w:t xml:space="preserve">The objective of the project was a joint undertaking of the University of Economics and University of Silesia, aiming to build a modern and functional Centre of Scientific Information and Academic Library, which would meet European standards. The main function of the facility is to provide readers with a collection of traditional books, magazines and multimedia collections.  In turn, the library operates in an integrated IT system, which is based on global standards, with the option of remote search and remote booking of materials, and its resources are saved in the National Universal Directory. In the building of Centre of Scientific Information and University Library, there are also reprography, photocopy, audio visual,  microfilm, collection digitisation and computer labs as well space for conducting research, studying and writing theses in the form of so-called individual study rooms.  </w:t>
      </w:r>
    </w:p>
    <w:p w14:paraId="6F599DC9" w14:textId="77777777" w:rsidR="000C056A" w:rsidRPr="000C056A" w:rsidRDefault="000C056A" w:rsidP="000C056A">
      <w:pPr>
        <w:spacing w:after="120"/>
        <w:rPr>
          <w:lang w:val="en-US"/>
        </w:rPr>
      </w:pPr>
    </w:p>
    <w:p w14:paraId="5C072D3E" w14:textId="77777777" w:rsidR="000C056A" w:rsidRPr="000C056A" w:rsidRDefault="000C056A" w:rsidP="000C056A">
      <w:pPr>
        <w:spacing w:after="120"/>
        <w:rPr>
          <w:lang w:val="en-US"/>
        </w:rPr>
      </w:pPr>
    </w:p>
    <w:p w14:paraId="540CD55C" w14:textId="77777777" w:rsidR="00921D22" w:rsidRPr="000C056A" w:rsidRDefault="00921D22" w:rsidP="0094320D">
      <w:pPr>
        <w:spacing w:after="120"/>
        <w:jc w:val="both"/>
        <w:rPr>
          <w:szCs w:val="24"/>
          <w:lang w:val="en-US"/>
        </w:rPr>
      </w:pPr>
    </w:p>
    <w:p w14:paraId="0B621B31" w14:textId="77777777" w:rsidR="00921D22" w:rsidRPr="000C056A" w:rsidRDefault="00921D22" w:rsidP="0094320D">
      <w:pPr>
        <w:spacing w:after="120"/>
        <w:jc w:val="both"/>
        <w:rPr>
          <w:szCs w:val="24"/>
          <w:lang w:val="en-US"/>
        </w:rPr>
      </w:pPr>
    </w:p>
    <w:p w14:paraId="4DB9E870" w14:textId="77777777" w:rsidR="00921D22" w:rsidRPr="000C056A" w:rsidRDefault="00921D22" w:rsidP="0094320D">
      <w:pPr>
        <w:spacing w:after="120"/>
        <w:jc w:val="both"/>
        <w:rPr>
          <w:szCs w:val="24"/>
          <w:lang w:val="en-US"/>
        </w:rPr>
      </w:pPr>
    </w:p>
    <w:p w14:paraId="7016EF05" w14:textId="77777777" w:rsidR="00921D22" w:rsidRPr="000C056A" w:rsidRDefault="00921D22" w:rsidP="0094320D">
      <w:pPr>
        <w:spacing w:after="120"/>
        <w:jc w:val="both"/>
        <w:rPr>
          <w:szCs w:val="24"/>
          <w:lang w:val="en-US"/>
        </w:rPr>
      </w:pPr>
    </w:p>
    <w:p w14:paraId="3ADC86F5" w14:textId="77777777" w:rsidR="00921D22" w:rsidRPr="000C056A" w:rsidRDefault="00921D22" w:rsidP="0094320D">
      <w:pPr>
        <w:spacing w:after="120"/>
        <w:jc w:val="both"/>
        <w:rPr>
          <w:szCs w:val="24"/>
          <w:lang w:val="en-US"/>
        </w:rPr>
      </w:pPr>
    </w:p>
    <w:p w14:paraId="39322D76" w14:textId="77777777" w:rsidR="00921D22" w:rsidRPr="000C056A" w:rsidRDefault="00921D22" w:rsidP="0094320D">
      <w:pPr>
        <w:spacing w:after="120"/>
        <w:jc w:val="both"/>
        <w:rPr>
          <w:szCs w:val="24"/>
          <w:lang w:val="en-US"/>
        </w:rPr>
      </w:pPr>
    </w:p>
    <w:p w14:paraId="5506D425" w14:textId="77777777" w:rsidR="00921D22" w:rsidRPr="000C056A" w:rsidRDefault="00921D22" w:rsidP="0094320D">
      <w:pPr>
        <w:spacing w:after="120"/>
        <w:jc w:val="both"/>
        <w:rPr>
          <w:szCs w:val="24"/>
          <w:lang w:val="en-US"/>
        </w:rPr>
      </w:pPr>
    </w:p>
    <w:p w14:paraId="35EEEF4D" w14:textId="77777777" w:rsidR="000246D4" w:rsidRPr="000C056A" w:rsidRDefault="000246D4" w:rsidP="0094320D">
      <w:pPr>
        <w:jc w:val="both"/>
        <w:rPr>
          <w:szCs w:val="24"/>
          <w:lang w:val="en-US"/>
        </w:rPr>
      </w:pPr>
    </w:p>
    <w:p w14:paraId="726AA29B" w14:textId="02A5652A" w:rsidR="00936A9C" w:rsidRPr="000C056A" w:rsidRDefault="00FD7C4B" w:rsidP="0018564D">
      <w:pPr>
        <w:spacing w:after="0" w:line="240" w:lineRule="auto"/>
        <w:rPr>
          <w:b/>
          <w:bCs/>
          <w:szCs w:val="24"/>
          <w:lang w:val="en-US"/>
        </w:rPr>
      </w:pPr>
      <w:bookmarkStart w:id="17" w:name="_Toc391466332"/>
      <w:bookmarkStart w:id="18" w:name="_Toc423351748"/>
      <w:r w:rsidRPr="000C056A">
        <w:rPr>
          <w:szCs w:val="24"/>
          <w:lang w:val="en-US"/>
        </w:rPr>
        <w:br w:type="page"/>
      </w:r>
    </w:p>
    <w:p w14:paraId="2A5F38C3" w14:textId="77777777" w:rsidR="0005410E" w:rsidRPr="00936A9C" w:rsidRDefault="00D96EC4" w:rsidP="0094320D">
      <w:pPr>
        <w:pStyle w:val="Nagwek1"/>
        <w:numPr>
          <w:ilvl w:val="0"/>
          <w:numId w:val="22"/>
        </w:numPr>
        <w:spacing w:after="120"/>
        <w:jc w:val="both"/>
        <w:rPr>
          <w:szCs w:val="24"/>
        </w:rPr>
      </w:pPr>
      <w:bookmarkStart w:id="19" w:name="_Toc477779735"/>
      <w:r w:rsidRPr="00936A9C">
        <w:rPr>
          <w:spacing w:val="-3"/>
          <w:szCs w:val="24"/>
        </w:rPr>
        <w:lastRenderedPageBreak/>
        <w:t>PRZEGLĄD REALIZACJI RPO WSL</w:t>
      </w:r>
      <w:bookmarkEnd w:id="10"/>
      <w:bookmarkEnd w:id="11"/>
      <w:bookmarkEnd w:id="17"/>
      <w:bookmarkEnd w:id="18"/>
      <w:bookmarkEnd w:id="19"/>
      <w:r w:rsidRPr="00936A9C">
        <w:rPr>
          <w:spacing w:val="-3"/>
          <w:szCs w:val="24"/>
        </w:rPr>
        <w:t xml:space="preserve"> </w:t>
      </w:r>
    </w:p>
    <w:p w14:paraId="221157E0" w14:textId="7C30011D" w:rsidR="00BE5BAB" w:rsidRPr="0094320D" w:rsidRDefault="00BE5BAB" w:rsidP="0094320D">
      <w:pPr>
        <w:spacing w:after="0"/>
        <w:jc w:val="both"/>
        <w:rPr>
          <w:szCs w:val="24"/>
        </w:rPr>
      </w:pPr>
      <w:r w:rsidRPr="0094320D">
        <w:rPr>
          <w:szCs w:val="24"/>
        </w:rPr>
        <w:t xml:space="preserve">RPO WSL to </w:t>
      </w:r>
      <w:r w:rsidRPr="0094320D">
        <w:rPr>
          <w:bCs/>
          <w:szCs w:val="24"/>
        </w:rPr>
        <w:t>drugi pod względem wielkości środków program regionalny w Polsce</w:t>
      </w:r>
      <w:r w:rsidR="00364399" w:rsidRPr="0094320D">
        <w:rPr>
          <w:szCs w:val="24"/>
        </w:rPr>
        <w:t>. Za </w:t>
      </w:r>
      <w:r w:rsidRPr="0094320D">
        <w:rPr>
          <w:szCs w:val="24"/>
        </w:rPr>
        <w:t>jego realizację odpowiada</w:t>
      </w:r>
      <w:r w:rsidR="001E3C31">
        <w:rPr>
          <w:szCs w:val="24"/>
        </w:rPr>
        <w:t>ł</w:t>
      </w:r>
      <w:r w:rsidRPr="0094320D">
        <w:rPr>
          <w:szCs w:val="24"/>
        </w:rPr>
        <w:t xml:space="preserve"> </w:t>
      </w:r>
      <w:r w:rsidRPr="0094320D">
        <w:rPr>
          <w:bCs/>
          <w:szCs w:val="24"/>
        </w:rPr>
        <w:t>Zarząd Województwa Śląskiego</w:t>
      </w:r>
      <w:r w:rsidR="00676832">
        <w:rPr>
          <w:bCs/>
          <w:szCs w:val="24"/>
        </w:rPr>
        <w:t>,</w:t>
      </w:r>
      <w:r w:rsidRPr="0094320D">
        <w:rPr>
          <w:szCs w:val="24"/>
        </w:rPr>
        <w:t xml:space="preserve"> jako Instytucja Zarządzająca (IZ), a </w:t>
      </w:r>
      <w:r w:rsidR="001E3C31">
        <w:rPr>
          <w:bCs/>
          <w:szCs w:val="24"/>
        </w:rPr>
        <w:t>zadania wykonywały</w:t>
      </w:r>
      <w:r w:rsidRPr="0094320D">
        <w:rPr>
          <w:szCs w:val="24"/>
        </w:rPr>
        <w:t>:</w:t>
      </w:r>
    </w:p>
    <w:p w14:paraId="0E64E759" w14:textId="77777777" w:rsidR="00262EE8" w:rsidRPr="0094320D" w:rsidRDefault="00BE5BAB" w:rsidP="0094320D">
      <w:pPr>
        <w:pStyle w:val="Akapitzlist"/>
        <w:numPr>
          <w:ilvl w:val="0"/>
          <w:numId w:val="30"/>
        </w:numPr>
        <w:spacing w:after="0"/>
        <w:jc w:val="both"/>
        <w:rPr>
          <w:szCs w:val="24"/>
        </w:rPr>
      </w:pPr>
      <w:r w:rsidRPr="0094320D">
        <w:rPr>
          <w:szCs w:val="24"/>
        </w:rPr>
        <w:t>Wydział Rozwoju Regional</w:t>
      </w:r>
      <w:r w:rsidR="00262EE8" w:rsidRPr="0094320D">
        <w:rPr>
          <w:szCs w:val="24"/>
        </w:rPr>
        <w:t xml:space="preserve">nego i </w:t>
      </w:r>
      <w:r w:rsidR="003A7622" w:rsidRPr="0094320D">
        <w:rPr>
          <w:szCs w:val="24"/>
        </w:rPr>
        <w:t>Wydział Europejskiego Funduszu</w:t>
      </w:r>
      <w:r w:rsidR="00262EE8" w:rsidRPr="0094320D">
        <w:rPr>
          <w:szCs w:val="24"/>
        </w:rPr>
        <w:t xml:space="preserve"> Rozwoju Regionalnego w Urzędzie Marszałkowskim - wdrażanie priorytetów skierowanych przede wszystkim do jednostek samorządu terytorialnego,</w:t>
      </w:r>
    </w:p>
    <w:p w14:paraId="500BF2EF" w14:textId="77777777" w:rsidR="00BE5BAB" w:rsidRPr="0094320D" w:rsidRDefault="00BE5BAB" w:rsidP="0094320D">
      <w:pPr>
        <w:pStyle w:val="Akapitzlist"/>
        <w:numPr>
          <w:ilvl w:val="0"/>
          <w:numId w:val="30"/>
        </w:numPr>
        <w:spacing w:after="120"/>
        <w:ind w:left="714" w:hanging="357"/>
        <w:jc w:val="both"/>
        <w:rPr>
          <w:szCs w:val="24"/>
        </w:rPr>
      </w:pPr>
      <w:r w:rsidRPr="0094320D">
        <w:rPr>
          <w:szCs w:val="24"/>
        </w:rPr>
        <w:t xml:space="preserve">Śląskie Centrum Przedsiębiorczości (ŚCP) - wdrażanie </w:t>
      </w:r>
      <w:r w:rsidR="00222605" w:rsidRPr="0094320D">
        <w:rPr>
          <w:szCs w:val="24"/>
        </w:rPr>
        <w:t xml:space="preserve">działań </w:t>
      </w:r>
      <w:r w:rsidRPr="0094320D">
        <w:rPr>
          <w:szCs w:val="24"/>
        </w:rPr>
        <w:t>skierowanych do przedsiębiorców.</w:t>
      </w:r>
    </w:p>
    <w:p w14:paraId="75739E1A" w14:textId="32EE7CB0" w:rsidR="00BE5BAB" w:rsidRPr="0094320D" w:rsidRDefault="00BE5BAB" w:rsidP="0094320D">
      <w:pPr>
        <w:autoSpaceDE w:val="0"/>
        <w:autoSpaceDN w:val="0"/>
        <w:adjustRightInd w:val="0"/>
        <w:spacing w:after="120"/>
        <w:jc w:val="both"/>
        <w:rPr>
          <w:szCs w:val="24"/>
        </w:rPr>
      </w:pPr>
      <w:r w:rsidRPr="0094320D">
        <w:rPr>
          <w:szCs w:val="24"/>
        </w:rPr>
        <w:t xml:space="preserve">Głównym celem RPO WSL </w:t>
      </w:r>
      <w:r w:rsidR="001E3C31">
        <w:rPr>
          <w:szCs w:val="24"/>
        </w:rPr>
        <w:t>było</w:t>
      </w:r>
      <w:r w:rsidRPr="0094320D">
        <w:rPr>
          <w:szCs w:val="24"/>
        </w:rPr>
        <w:t xml:space="preserve"> stymulowanie dynamicznego rozwoju, przy wzmocnieniu spójności społecznej, gospodarczej i p</w:t>
      </w:r>
      <w:r w:rsidR="00535921">
        <w:rPr>
          <w:szCs w:val="24"/>
        </w:rPr>
        <w:t xml:space="preserve">rzestrzennej </w:t>
      </w:r>
      <w:r w:rsidR="00DA56FE" w:rsidRPr="0094320D">
        <w:rPr>
          <w:szCs w:val="24"/>
        </w:rPr>
        <w:t>regionu. Zgodnie z </w:t>
      </w:r>
      <w:r w:rsidRPr="0094320D">
        <w:rPr>
          <w:szCs w:val="24"/>
        </w:rPr>
        <w:t>celem głównym</w:t>
      </w:r>
      <w:r w:rsidR="008F3ED9">
        <w:rPr>
          <w:szCs w:val="24"/>
        </w:rPr>
        <w:t>,</w:t>
      </w:r>
      <w:r w:rsidRPr="0094320D">
        <w:rPr>
          <w:szCs w:val="24"/>
        </w:rPr>
        <w:t xml:space="preserve"> wybrane </w:t>
      </w:r>
      <w:r w:rsidR="00E90396" w:rsidRPr="0094320D">
        <w:rPr>
          <w:szCs w:val="24"/>
        </w:rPr>
        <w:t>zostały p</w:t>
      </w:r>
      <w:r w:rsidRPr="0094320D">
        <w:rPr>
          <w:szCs w:val="24"/>
        </w:rPr>
        <w:t>riorytety odpowiadaj</w:t>
      </w:r>
      <w:r w:rsidRPr="0094320D">
        <w:rPr>
          <w:rFonts w:eastAsia="TimesNewRoman"/>
          <w:szCs w:val="24"/>
        </w:rPr>
        <w:t>ą</w:t>
      </w:r>
      <w:r w:rsidRPr="0094320D">
        <w:rPr>
          <w:szCs w:val="24"/>
        </w:rPr>
        <w:t>ce obszarom, które maj</w:t>
      </w:r>
      <w:r w:rsidRPr="0094320D">
        <w:rPr>
          <w:rFonts w:eastAsia="TimesNewRoman"/>
          <w:szCs w:val="24"/>
        </w:rPr>
        <w:t xml:space="preserve">ą </w:t>
      </w:r>
      <w:r w:rsidRPr="0094320D">
        <w:rPr>
          <w:szCs w:val="24"/>
        </w:rPr>
        <w:t xml:space="preserve">podstawowe znaczenie dla dynamicznego rozwoju regionu. </w:t>
      </w:r>
    </w:p>
    <w:p w14:paraId="053B583D" w14:textId="6362483D" w:rsidR="00936A9C" w:rsidRDefault="00393D78" w:rsidP="0094320D">
      <w:pPr>
        <w:autoSpaceDE w:val="0"/>
        <w:autoSpaceDN w:val="0"/>
        <w:adjustRightInd w:val="0"/>
        <w:spacing w:after="0"/>
        <w:jc w:val="both"/>
        <w:rPr>
          <w:szCs w:val="24"/>
        </w:rPr>
      </w:pPr>
      <w:r w:rsidRPr="0094320D">
        <w:rPr>
          <w:szCs w:val="24"/>
        </w:rPr>
        <w:t>W ra</w:t>
      </w:r>
      <w:r w:rsidR="008F3ED9">
        <w:rPr>
          <w:szCs w:val="24"/>
        </w:rPr>
        <w:t>mach realizacji RPO WSL zostało</w:t>
      </w:r>
      <w:r w:rsidRPr="0094320D">
        <w:rPr>
          <w:szCs w:val="24"/>
        </w:rPr>
        <w:t xml:space="preserve"> zaang</w:t>
      </w:r>
      <w:r w:rsidR="00DA56FE" w:rsidRPr="0094320D">
        <w:rPr>
          <w:szCs w:val="24"/>
        </w:rPr>
        <w:t>ażowanych 1 747 104 507 EUR, ze </w:t>
      </w:r>
      <w:r w:rsidRPr="0094320D">
        <w:rPr>
          <w:szCs w:val="24"/>
        </w:rPr>
        <w:t xml:space="preserve">środków </w:t>
      </w:r>
      <w:r w:rsidR="00BE5BAB" w:rsidRPr="0094320D">
        <w:rPr>
          <w:szCs w:val="24"/>
        </w:rPr>
        <w:t>wspólnotowych.</w:t>
      </w:r>
      <w:r w:rsidR="00535921">
        <w:rPr>
          <w:szCs w:val="24"/>
        </w:rPr>
        <w:t xml:space="preserve"> </w:t>
      </w:r>
    </w:p>
    <w:p w14:paraId="0BA3A1BD" w14:textId="3AAF29BE" w:rsidR="00936A9C" w:rsidRPr="00936A9C" w:rsidRDefault="00936A9C" w:rsidP="00936A9C">
      <w:pPr>
        <w:autoSpaceDE w:val="0"/>
        <w:autoSpaceDN w:val="0"/>
        <w:adjustRightInd w:val="0"/>
        <w:spacing w:after="0"/>
        <w:jc w:val="both"/>
        <w:rPr>
          <w:szCs w:val="24"/>
        </w:rPr>
      </w:pPr>
    </w:p>
    <w:p w14:paraId="6F853F22" w14:textId="59A99506" w:rsidR="00BE5BAB" w:rsidRDefault="00535921" w:rsidP="0094320D">
      <w:pPr>
        <w:autoSpaceDE w:val="0"/>
        <w:autoSpaceDN w:val="0"/>
        <w:adjustRightInd w:val="0"/>
        <w:spacing w:after="0"/>
        <w:jc w:val="both"/>
        <w:rPr>
          <w:i/>
          <w:szCs w:val="24"/>
        </w:rPr>
      </w:pPr>
      <w:r>
        <w:rPr>
          <w:szCs w:val="24"/>
        </w:rPr>
        <w:t>Poniżej przedstawiono alokację</w:t>
      </w:r>
      <w:r w:rsidR="00CA7C56">
        <w:rPr>
          <w:szCs w:val="24"/>
        </w:rPr>
        <w:t xml:space="preserve"> Programu w podziale na</w:t>
      </w:r>
      <w:r>
        <w:rPr>
          <w:szCs w:val="24"/>
        </w:rPr>
        <w:t xml:space="preserve"> priorytet</w:t>
      </w:r>
      <w:r w:rsidR="00CA7C56">
        <w:rPr>
          <w:szCs w:val="24"/>
        </w:rPr>
        <w:t>y</w:t>
      </w:r>
      <w:r>
        <w:rPr>
          <w:szCs w:val="24"/>
        </w:rPr>
        <w:t xml:space="preserve"> </w:t>
      </w:r>
      <w:r w:rsidR="00CA7C56">
        <w:rPr>
          <w:szCs w:val="24"/>
        </w:rPr>
        <w:t xml:space="preserve">oraz </w:t>
      </w:r>
      <w:r w:rsidR="006C22EA">
        <w:rPr>
          <w:szCs w:val="24"/>
        </w:rPr>
        <w:t xml:space="preserve">procent alokacji </w:t>
      </w:r>
      <w:r w:rsidR="006C22EA" w:rsidRPr="006C22EA">
        <w:rPr>
          <w:i/>
          <w:szCs w:val="24"/>
        </w:rPr>
        <w:t>P</w:t>
      </w:r>
      <w:r w:rsidRPr="006C22EA">
        <w:rPr>
          <w:i/>
          <w:szCs w:val="24"/>
        </w:rPr>
        <w:t>rogramu</w:t>
      </w:r>
      <w:r w:rsidR="008F3ED9">
        <w:rPr>
          <w:i/>
          <w:szCs w:val="24"/>
        </w:rPr>
        <w:t xml:space="preserve"> </w:t>
      </w:r>
      <w:r w:rsidR="008F3ED9">
        <w:rPr>
          <w:szCs w:val="24"/>
        </w:rPr>
        <w:t>(w EUR)</w:t>
      </w:r>
      <w:r w:rsidRPr="006C22EA">
        <w:rPr>
          <w:i/>
          <w:szCs w:val="24"/>
        </w:rPr>
        <w:t>.</w:t>
      </w:r>
    </w:p>
    <w:p w14:paraId="37C712C1" w14:textId="77777777" w:rsidR="00A02CB3" w:rsidRDefault="00A02CB3" w:rsidP="0094320D">
      <w:pPr>
        <w:autoSpaceDE w:val="0"/>
        <w:autoSpaceDN w:val="0"/>
        <w:adjustRightInd w:val="0"/>
        <w:spacing w:after="0"/>
        <w:jc w:val="both"/>
        <w:rPr>
          <w:szCs w:val="24"/>
        </w:rPr>
      </w:pPr>
    </w:p>
    <w:p w14:paraId="5F63FF73" w14:textId="59C6EC8E" w:rsidR="00676832" w:rsidRPr="0094320D" w:rsidRDefault="00A02CB3" w:rsidP="00676832">
      <w:pPr>
        <w:autoSpaceDE w:val="0"/>
        <w:autoSpaceDN w:val="0"/>
        <w:adjustRightInd w:val="0"/>
        <w:spacing w:after="0"/>
        <w:ind w:left="-567" w:right="-567"/>
        <w:jc w:val="center"/>
        <w:rPr>
          <w:szCs w:val="24"/>
        </w:rPr>
      </w:pPr>
      <w:r w:rsidRPr="00367271">
        <w:rPr>
          <w:b/>
          <w:noProof/>
        </w:rPr>
        <w:drawing>
          <wp:inline distT="0" distB="0" distL="0" distR="0" wp14:anchorId="7B91EF67" wp14:editId="6FC36AC7">
            <wp:extent cx="5760720" cy="4038600"/>
            <wp:effectExtent l="0" t="0" r="0" b="0"/>
            <wp:docPr id="27" name="Wykres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9BEF4ED" w14:textId="77777777" w:rsidR="00A02CB3" w:rsidRDefault="00A02CB3" w:rsidP="007A6688">
      <w:pPr>
        <w:pStyle w:val="Legenda"/>
        <w:rPr>
          <w:color w:val="auto"/>
        </w:rPr>
      </w:pPr>
    </w:p>
    <w:p w14:paraId="27E242A1" w14:textId="68A92EFE" w:rsidR="00535921" w:rsidRPr="003F10E9" w:rsidRDefault="007A6688" w:rsidP="007A6688">
      <w:pPr>
        <w:pStyle w:val="Legenda"/>
        <w:rPr>
          <w:i/>
          <w:color w:val="auto"/>
          <w:sz w:val="20"/>
          <w:szCs w:val="20"/>
        </w:rPr>
      </w:pPr>
      <w:bookmarkStart w:id="20" w:name="_Toc476832920"/>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w:t>
      </w:r>
      <w:r w:rsidR="00A44293" w:rsidRPr="00A44293">
        <w:rPr>
          <w:noProof/>
          <w:color w:val="auto"/>
        </w:rPr>
        <w:fldChar w:fldCharType="end"/>
      </w:r>
      <w:r>
        <w:t xml:space="preserve"> </w:t>
      </w:r>
      <w:r w:rsidR="00951D3C" w:rsidRPr="003F10E9">
        <w:rPr>
          <w:b w:val="0"/>
          <w:i/>
          <w:color w:val="auto"/>
          <w:sz w:val="20"/>
          <w:szCs w:val="20"/>
        </w:rPr>
        <w:t>Alokacja</w:t>
      </w:r>
      <w:r w:rsidR="00535921" w:rsidRPr="003F10E9">
        <w:rPr>
          <w:b w:val="0"/>
          <w:i/>
          <w:color w:val="auto"/>
          <w:sz w:val="20"/>
          <w:szCs w:val="20"/>
        </w:rPr>
        <w:t xml:space="preserve"> poszczególnych priorytetów w EUR wraz z procentem alokacji programu.</w:t>
      </w:r>
      <w:bookmarkEnd w:id="20"/>
    </w:p>
    <w:p w14:paraId="5A7C76B9" w14:textId="46EA4589" w:rsidR="004C1653" w:rsidRPr="004C1653" w:rsidRDefault="004C1653" w:rsidP="004C1653">
      <w:pPr>
        <w:tabs>
          <w:tab w:val="left" w:pos="3480"/>
        </w:tabs>
      </w:pPr>
      <w:r>
        <w:tab/>
      </w:r>
      <w:r w:rsidR="00CF10B6">
        <w:rPr>
          <w:b/>
          <w:bCs/>
        </w:rPr>
        <w:t xml:space="preserve"> </w:t>
      </w:r>
    </w:p>
    <w:p w14:paraId="0D416C8C" w14:textId="77777777" w:rsidR="00364399" w:rsidRPr="0094320D" w:rsidRDefault="0027425A" w:rsidP="0094320D">
      <w:pPr>
        <w:pStyle w:val="Nagwek1"/>
        <w:numPr>
          <w:ilvl w:val="1"/>
          <w:numId w:val="22"/>
        </w:numPr>
        <w:spacing w:before="0" w:after="120"/>
        <w:jc w:val="both"/>
        <w:rPr>
          <w:szCs w:val="24"/>
        </w:rPr>
      </w:pPr>
      <w:bookmarkStart w:id="21" w:name="_Toc292789228"/>
      <w:bookmarkStart w:id="22" w:name="_Toc292793518"/>
      <w:bookmarkStart w:id="23" w:name="_Toc391466333"/>
      <w:bookmarkStart w:id="24" w:name="_Toc423351749"/>
      <w:bookmarkStart w:id="25" w:name="_Toc477779736"/>
      <w:r w:rsidRPr="0094320D">
        <w:rPr>
          <w:szCs w:val="24"/>
        </w:rPr>
        <w:lastRenderedPageBreak/>
        <w:t>REALIZACJA I ANALIZA POSTĘ</w:t>
      </w:r>
      <w:r w:rsidR="00D96EC4" w:rsidRPr="0094320D">
        <w:rPr>
          <w:szCs w:val="24"/>
        </w:rPr>
        <w:t>PÓW</w:t>
      </w:r>
      <w:bookmarkEnd w:id="21"/>
      <w:bookmarkEnd w:id="22"/>
      <w:bookmarkEnd w:id="23"/>
      <w:bookmarkEnd w:id="24"/>
      <w:bookmarkEnd w:id="25"/>
      <w:r w:rsidR="00D96EC4" w:rsidRPr="0094320D">
        <w:rPr>
          <w:szCs w:val="24"/>
        </w:rPr>
        <w:t xml:space="preserve"> </w:t>
      </w:r>
    </w:p>
    <w:p w14:paraId="21EDF3DA" w14:textId="77777777" w:rsidR="0005410E" w:rsidRPr="00FD7C4B" w:rsidRDefault="00421B11" w:rsidP="0094320D">
      <w:pPr>
        <w:pStyle w:val="Nagwek1"/>
        <w:numPr>
          <w:ilvl w:val="2"/>
          <w:numId w:val="17"/>
        </w:numPr>
        <w:tabs>
          <w:tab w:val="left" w:pos="1276"/>
        </w:tabs>
        <w:spacing w:before="0" w:after="120"/>
        <w:ind w:left="1134" w:hanging="425"/>
        <w:jc w:val="both"/>
        <w:rPr>
          <w:szCs w:val="24"/>
        </w:rPr>
      </w:pPr>
      <w:bookmarkStart w:id="26" w:name="_Toc292789229"/>
      <w:bookmarkStart w:id="27" w:name="_Toc292793519"/>
      <w:bookmarkStart w:id="28" w:name="_Toc391466334"/>
      <w:bookmarkStart w:id="29" w:name="_Toc423351750"/>
      <w:bookmarkStart w:id="30" w:name="_Toc477779737"/>
      <w:r w:rsidRPr="00FD7C4B">
        <w:rPr>
          <w:szCs w:val="24"/>
        </w:rPr>
        <w:t>Informacje na temat postępów rzeczowych RPO WSL</w:t>
      </w:r>
      <w:bookmarkEnd w:id="26"/>
      <w:bookmarkEnd w:id="27"/>
      <w:bookmarkEnd w:id="28"/>
      <w:bookmarkEnd w:id="29"/>
      <w:bookmarkEnd w:id="30"/>
    </w:p>
    <w:p w14:paraId="40B0C67D" w14:textId="1CD4F1A6" w:rsidR="0005410E" w:rsidRPr="0094320D" w:rsidRDefault="0005410E" w:rsidP="0094320D">
      <w:pPr>
        <w:pStyle w:val="Akapitzlist"/>
        <w:widowControl w:val="0"/>
        <w:autoSpaceDE w:val="0"/>
        <w:autoSpaceDN w:val="0"/>
        <w:adjustRightInd w:val="0"/>
        <w:spacing w:after="120"/>
        <w:ind w:left="0"/>
        <w:jc w:val="both"/>
        <w:rPr>
          <w:szCs w:val="24"/>
        </w:rPr>
      </w:pPr>
      <w:r w:rsidRPr="0094320D">
        <w:rPr>
          <w:szCs w:val="24"/>
        </w:rPr>
        <w:t xml:space="preserve">Informacje dotyczące postępu </w:t>
      </w:r>
      <w:r w:rsidR="00F824E6" w:rsidRPr="0094320D">
        <w:rPr>
          <w:szCs w:val="24"/>
        </w:rPr>
        <w:t>rzeczowego</w:t>
      </w:r>
      <w:r w:rsidRPr="0094320D">
        <w:rPr>
          <w:szCs w:val="24"/>
        </w:rPr>
        <w:t xml:space="preserve"> </w:t>
      </w:r>
      <w:r w:rsidR="00FD7C4B" w:rsidRPr="0094320D">
        <w:rPr>
          <w:i/>
          <w:szCs w:val="24"/>
        </w:rPr>
        <w:t>Programu</w:t>
      </w:r>
      <w:r w:rsidR="00FD7C4B" w:rsidRPr="0094320D">
        <w:rPr>
          <w:szCs w:val="24"/>
        </w:rPr>
        <w:t>, czyli</w:t>
      </w:r>
      <w:r w:rsidRPr="0094320D">
        <w:rPr>
          <w:szCs w:val="24"/>
        </w:rPr>
        <w:t xml:space="preserve"> wskaźniki monitorowania celu głównego </w:t>
      </w:r>
      <w:r w:rsidRPr="0094320D">
        <w:rPr>
          <w:i/>
          <w:szCs w:val="24"/>
        </w:rPr>
        <w:t xml:space="preserve">Regionalnego Programu Operacyjnego Województwa Śląskiego na lata 2007-2013 (RPO WSL) </w:t>
      </w:r>
      <w:r w:rsidR="00664673" w:rsidRPr="0094320D">
        <w:rPr>
          <w:szCs w:val="24"/>
        </w:rPr>
        <w:t>i horyzontalne</w:t>
      </w:r>
      <w:r w:rsidR="00A8027B" w:rsidRPr="0094320D">
        <w:rPr>
          <w:i/>
          <w:szCs w:val="24"/>
        </w:rPr>
        <w:t xml:space="preserve"> </w:t>
      </w:r>
      <w:r w:rsidR="003B43C6" w:rsidRPr="0094320D">
        <w:rPr>
          <w:szCs w:val="24"/>
        </w:rPr>
        <w:t>zostały przedstawione</w:t>
      </w:r>
      <w:r w:rsidRPr="0094320D">
        <w:rPr>
          <w:szCs w:val="24"/>
        </w:rPr>
        <w:t xml:space="preserve"> w </w:t>
      </w:r>
      <w:r w:rsidR="003B43C6" w:rsidRPr="0094320D">
        <w:rPr>
          <w:szCs w:val="24"/>
        </w:rPr>
        <w:t>załączniku</w:t>
      </w:r>
      <w:r w:rsidR="002D2C2D" w:rsidRPr="0094320D">
        <w:rPr>
          <w:szCs w:val="24"/>
        </w:rPr>
        <w:t xml:space="preserve"> nr</w:t>
      </w:r>
      <w:r w:rsidR="003B43C6" w:rsidRPr="0094320D">
        <w:rPr>
          <w:szCs w:val="24"/>
        </w:rPr>
        <w:t xml:space="preserve"> </w:t>
      </w:r>
      <w:r w:rsidR="001A7064" w:rsidRPr="0094320D">
        <w:rPr>
          <w:szCs w:val="24"/>
        </w:rPr>
        <w:t>I</w:t>
      </w:r>
      <w:r w:rsidR="003B43C6" w:rsidRPr="0094320D">
        <w:rPr>
          <w:szCs w:val="24"/>
        </w:rPr>
        <w:t xml:space="preserve"> </w:t>
      </w:r>
      <w:r w:rsidR="0070262F" w:rsidRPr="0094320D">
        <w:rPr>
          <w:szCs w:val="24"/>
        </w:rPr>
        <w:t xml:space="preserve">oraz w pkt. 2.1.6.2 niniejszego </w:t>
      </w:r>
      <w:r w:rsidR="0070262F" w:rsidRPr="0094320D">
        <w:rPr>
          <w:i/>
          <w:szCs w:val="24"/>
        </w:rPr>
        <w:t>Sprawozdania</w:t>
      </w:r>
      <w:r w:rsidR="002D2C2D" w:rsidRPr="0094320D">
        <w:rPr>
          <w:i/>
          <w:szCs w:val="24"/>
        </w:rPr>
        <w:t>.</w:t>
      </w:r>
      <w:r w:rsidR="002D2C2D" w:rsidRPr="0094320D">
        <w:rPr>
          <w:szCs w:val="24"/>
        </w:rPr>
        <w:t xml:space="preserve"> W załączniku nr</w:t>
      </w:r>
      <w:r w:rsidR="00E90396" w:rsidRPr="0094320D">
        <w:rPr>
          <w:szCs w:val="24"/>
        </w:rPr>
        <w:t xml:space="preserve"> V</w:t>
      </w:r>
      <w:r w:rsidR="002D2C2D" w:rsidRPr="0094320D">
        <w:rPr>
          <w:szCs w:val="24"/>
        </w:rPr>
        <w:t xml:space="preserve"> zostały zamieszczone wskaźniki kontekstowe.</w:t>
      </w:r>
      <w:r w:rsidR="0098334F" w:rsidRPr="0094320D">
        <w:rPr>
          <w:szCs w:val="24"/>
        </w:rPr>
        <w:t xml:space="preserve"> Ponadto</w:t>
      </w:r>
      <w:r w:rsidR="008F3ED9">
        <w:rPr>
          <w:szCs w:val="24"/>
        </w:rPr>
        <w:t>,</w:t>
      </w:r>
      <w:r w:rsidR="0098334F" w:rsidRPr="0094320D">
        <w:rPr>
          <w:szCs w:val="24"/>
        </w:rPr>
        <w:t xml:space="preserve"> w </w:t>
      </w:r>
      <w:r w:rsidR="00364399" w:rsidRPr="0094320D">
        <w:rPr>
          <w:szCs w:val="24"/>
        </w:rPr>
        <w:t xml:space="preserve">załączniku nr </w:t>
      </w:r>
      <w:r w:rsidR="00E21CEF" w:rsidRPr="0094320D">
        <w:rPr>
          <w:szCs w:val="24"/>
        </w:rPr>
        <w:t xml:space="preserve">VIII </w:t>
      </w:r>
      <w:r w:rsidR="00364399" w:rsidRPr="0094320D">
        <w:rPr>
          <w:szCs w:val="24"/>
        </w:rPr>
        <w:t xml:space="preserve">przedstawiono </w:t>
      </w:r>
      <w:r w:rsidR="000A193B" w:rsidRPr="0094320D">
        <w:rPr>
          <w:szCs w:val="24"/>
        </w:rPr>
        <w:t>realizację wskaźników kluczowych</w:t>
      </w:r>
      <w:r w:rsidR="00364399" w:rsidRPr="0094320D">
        <w:rPr>
          <w:szCs w:val="24"/>
        </w:rPr>
        <w:t xml:space="preserve"> Komisji Europejskiej – core indicators. </w:t>
      </w:r>
    </w:p>
    <w:p w14:paraId="58BB9083" w14:textId="77777777" w:rsidR="0005410E" w:rsidRPr="00FD7C4B" w:rsidRDefault="00421B11" w:rsidP="0094320D">
      <w:pPr>
        <w:pStyle w:val="Nagwek1"/>
        <w:numPr>
          <w:ilvl w:val="2"/>
          <w:numId w:val="17"/>
        </w:numPr>
        <w:tabs>
          <w:tab w:val="left" w:pos="1276"/>
        </w:tabs>
        <w:spacing w:before="0" w:after="120"/>
        <w:ind w:left="1134" w:hanging="425"/>
        <w:jc w:val="both"/>
        <w:rPr>
          <w:szCs w:val="24"/>
        </w:rPr>
      </w:pPr>
      <w:bookmarkStart w:id="31" w:name="_Toc292789230"/>
      <w:bookmarkStart w:id="32" w:name="_Toc292793520"/>
      <w:bookmarkStart w:id="33" w:name="_Toc391466335"/>
      <w:bookmarkStart w:id="34" w:name="_Toc423351751"/>
      <w:bookmarkStart w:id="35" w:name="_Toc477779738"/>
      <w:r w:rsidRPr="00FD7C4B">
        <w:rPr>
          <w:szCs w:val="24"/>
        </w:rPr>
        <w:t>Informacje finansowe</w:t>
      </w:r>
      <w:bookmarkEnd w:id="31"/>
      <w:bookmarkEnd w:id="32"/>
      <w:bookmarkEnd w:id="33"/>
      <w:bookmarkEnd w:id="34"/>
      <w:bookmarkEnd w:id="35"/>
    </w:p>
    <w:p w14:paraId="2EA3C908" w14:textId="4BA9F1F7" w:rsidR="0005410E" w:rsidRPr="0094320D" w:rsidRDefault="0005410E" w:rsidP="0094320D">
      <w:pPr>
        <w:widowControl w:val="0"/>
        <w:autoSpaceDE w:val="0"/>
        <w:autoSpaceDN w:val="0"/>
        <w:adjustRightInd w:val="0"/>
        <w:spacing w:after="120"/>
        <w:jc w:val="both"/>
        <w:rPr>
          <w:szCs w:val="24"/>
        </w:rPr>
      </w:pPr>
      <w:r w:rsidRPr="0094320D">
        <w:rPr>
          <w:szCs w:val="24"/>
        </w:rPr>
        <w:t xml:space="preserve">Postęp finansowy </w:t>
      </w:r>
      <w:r w:rsidRPr="0094320D">
        <w:rPr>
          <w:i/>
          <w:szCs w:val="24"/>
        </w:rPr>
        <w:t>Programu</w:t>
      </w:r>
      <w:r w:rsidRPr="0094320D">
        <w:rPr>
          <w:szCs w:val="24"/>
        </w:rPr>
        <w:t xml:space="preserve"> został przedstawiony w tabeli 2 </w:t>
      </w:r>
      <w:r w:rsidRPr="0094320D">
        <w:rPr>
          <w:i/>
          <w:szCs w:val="24"/>
        </w:rPr>
        <w:t>Osie priorytetowe w podziale na</w:t>
      </w:r>
      <w:r w:rsidR="00A40B54">
        <w:rPr>
          <w:i/>
          <w:szCs w:val="24"/>
        </w:rPr>
        <w:t> </w:t>
      </w:r>
      <w:r w:rsidRPr="0094320D">
        <w:rPr>
          <w:i/>
          <w:szCs w:val="24"/>
        </w:rPr>
        <w:t>źródło finansowania</w:t>
      </w:r>
      <w:r w:rsidR="00A40B54">
        <w:rPr>
          <w:i/>
          <w:szCs w:val="24"/>
        </w:rPr>
        <w:t xml:space="preserve"> </w:t>
      </w:r>
      <w:r w:rsidRPr="0094320D">
        <w:rPr>
          <w:i/>
          <w:szCs w:val="24"/>
        </w:rPr>
        <w:t>–</w:t>
      </w:r>
      <w:r w:rsidR="00A40B54">
        <w:rPr>
          <w:i/>
          <w:szCs w:val="24"/>
        </w:rPr>
        <w:t xml:space="preserve"> </w:t>
      </w:r>
      <w:r w:rsidRPr="0094320D">
        <w:rPr>
          <w:i/>
          <w:szCs w:val="24"/>
        </w:rPr>
        <w:t>narastająco</w:t>
      </w:r>
      <w:r w:rsidRPr="0094320D">
        <w:rPr>
          <w:szCs w:val="24"/>
        </w:rPr>
        <w:t>, która stanowi załącznik nr </w:t>
      </w:r>
      <w:r w:rsidR="001A7064" w:rsidRPr="0094320D">
        <w:rPr>
          <w:szCs w:val="24"/>
        </w:rPr>
        <w:t>II</w:t>
      </w:r>
      <w:r w:rsidR="000D4410" w:rsidRPr="0094320D">
        <w:rPr>
          <w:szCs w:val="24"/>
        </w:rPr>
        <w:t xml:space="preserve"> </w:t>
      </w:r>
      <w:r w:rsidRPr="0094320D">
        <w:rPr>
          <w:szCs w:val="24"/>
        </w:rPr>
        <w:t xml:space="preserve">do niniejszego </w:t>
      </w:r>
      <w:r w:rsidRPr="0094320D">
        <w:rPr>
          <w:i/>
          <w:szCs w:val="24"/>
        </w:rPr>
        <w:t>Sprawozdania.</w:t>
      </w:r>
    </w:p>
    <w:p w14:paraId="5C6410C5" w14:textId="77777777" w:rsidR="0005410E" w:rsidRPr="00FD7C4B" w:rsidRDefault="00FF33DC" w:rsidP="0094320D">
      <w:pPr>
        <w:pStyle w:val="Nagwek1"/>
        <w:numPr>
          <w:ilvl w:val="2"/>
          <w:numId w:val="17"/>
        </w:numPr>
        <w:tabs>
          <w:tab w:val="left" w:pos="1276"/>
        </w:tabs>
        <w:spacing w:before="0" w:after="120"/>
        <w:ind w:left="1134" w:hanging="425"/>
        <w:jc w:val="both"/>
        <w:rPr>
          <w:szCs w:val="24"/>
        </w:rPr>
      </w:pPr>
      <w:bookmarkStart w:id="36" w:name="_Toc292789231"/>
      <w:bookmarkStart w:id="37" w:name="_Toc292793521"/>
      <w:bookmarkStart w:id="38" w:name="_Toc391466336"/>
      <w:bookmarkStart w:id="39" w:name="_Toc423351752"/>
      <w:bookmarkStart w:id="40" w:name="_Toc477779739"/>
      <w:r w:rsidRPr="00FD7C4B">
        <w:rPr>
          <w:szCs w:val="24"/>
        </w:rPr>
        <w:t>Informacje nt. p</w:t>
      </w:r>
      <w:r w:rsidR="00421B11" w:rsidRPr="00FD7C4B">
        <w:rPr>
          <w:szCs w:val="24"/>
        </w:rPr>
        <w:t>odziału wykorzystania funduszy wg kategorii interwencji</w:t>
      </w:r>
      <w:bookmarkEnd w:id="36"/>
      <w:bookmarkEnd w:id="37"/>
      <w:bookmarkEnd w:id="38"/>
      <w:bookmarkEnd w:id="39"/>
      <w:bookmarkEnd w:id="40"/>
    </w:p>
    <w:p w14:paraId="05E43FBE" w14:textId="77777777" w:rsidR="0005410E" w:rsidRPr="0094320D" w:rsidRDefault="0005410E" w:rsidP="0094320D">
      <w:pPr>
        <w:spacing w:after="120"/>
        <w:jc w:val="both"/>
        <w:rPr>
          <w:szCs w:val="24"/>
        </w:rPr>
      </w:pPr>
      <w:r w:rsidRPr="0094320D">
        <w:rPr>
          <w:szCs w:val="24"/>
        </w:rPr>
        <w:t>Dane dotyczące powyższego punktu zostały zamieszczone w załączniku nr</w:t>
      </w:r>
      <w:r w:rsidR="002D2C2D" w:rsidRPr="0094320D">
        <w:rPr>
          <w:szCs w:val="24"/>
        </w:rPr>
        <w:t xml:space="preserve"> </w:t>
      </w:r>
      <w:r w:rsidR="001A7064" w:rsidRPr="0094320D">
        <w:rPr>
          <w:szCs w:val="24"/>
        </w:rPr>
        <w:t>III</w:t>
      </w:r>
      <w:r w:rsidRPr="0094320D">
        <w:rPr>
          <w:szCs w:val="24"/>
        </w:rPr>
        <w:t xml:space="preserve"> do niniejszego </w:t>
      </w:r>
      <w:r w:rsidRPr="0094320D">
        <w:rPr>
          <w:i/>
          <w:szCs w:val="24"/>
        </w:rPr>
        <w:t>Sprawozdania.</w:t>
      </w:r>
    </w:p>
    <w:p w14:paraId="206E1E43" w14:textId="77777777" w:rsidR="0005410E" w:rsidRPr="008B2457" w:rsidRDefault="00C63D00" w:rsidP="0094320D">
      <w:pPr>
        <w:pStyle w:val="Nagwek1"/>
        <w:numPr>
          <w:ilvl w:val="2"/>
          <w:numId w:val="17"/>
        </w:numPr>
        <w:tabs>
          <w:tab w:val="left" w:pos="1276"/>
        </w:tabs>
        <w:spacing w:before="0" w:after="120"/>
        <w:ind w:left="1134" w:hanging="425"/>
        <w:jc w:val="both"/>
        <w:rPr>
          <w:szCs w:val="24"/>
        </w:rPr>
      </w:pPr>
      <w:r w:rsidRPr="0094320D">
        <w:rPr>
          <w:spacing w:val="-3"/>
          <w:szCs w:val="24"/>
        </w:rPr>
        <w:t xml:space="preserve"> </w:t>
      </w:r>
      <w:bookmarkStart w:id="41" w:name="_Toc292789232"/>
      <w:bookmarkStart w:id="42" w:name="_Toc292793522"/>
      <w:bookmarkStart w:id="43" w:name="_Toc391466337"/>
      <w:bookmarkStart w:id="44" w:name="_Toc423351753"/>
      <w:bookmarkStart w:id="45" w:name="_Toc477779740"/>
      <w:r w:rsidR="00421B11" w:rsidRPr="008B2457">
        <w:rPr>
          <w:spacing w:val="-3"/>
          <w:szCs w:val="24"/>
        </w:rPr>
        <w:t>Pomoc w podziale na grupy docelowe</w:t>
      </w:r>
      <w:bookmarkEnd w:id="41"/>
      <w:bookmarkEnd w:id="42"/>
      <w:bookmarkEnd w:id="43"/>
      <w:bookmarkEnd w:id="44"/>
      <w:bookmarkEnd w:id="45"/>
    </w:p>
    <w:p w14:paraId="3B8BB9B2" w14:textId="77777777" w:rsidR="00B103D5" w:rsidRPr="004235CE" w:rsidRDefault="00E90396" w:rsidP="0094320D">
      <w:pPr>
        <w:autoSpaceDE w:val="0"/>
        <w:autoSpaceDN w:val="0"/>
        <w:adjustRightInd w:val="0"/>
        <w:spacing w:after="120"/>
        <w:jc w:val="both"/>
        <w:rPr>
          <w:i/>
          <w:szCs w:val="24"/>
        </w:rPr>
      </w:pPr>
      <w:r w:rsidRPr="0094320D">
        <w:rPr>
          <w:szCs w:val="24"/>
        </w:rPr>
        <w:t xml:space="preserve">Informacja </w:t>
      </w:r>
      <w:r w:rsidR="00C63D00" w:rsidRPr="0094320D">
        <w:rPr>
          <w:szCs w:val="24"/>
        </w:rPr>
        <w:t>w podziale na grupy docelowe, sektory</w:t>
      </w:r>
      <w:r w:rsidR="007D0263" w:rsidRPr="0094320D">
        <w:rPr>
          <w:szCs w:val="24"/>
        </w:rPr>
        <w:t xml:space="preserve"> i</w:t>
      </w:r>
      <w:r w:rsidR="00C63D00" w:rsidRPr="0094320D">
        <w:rPr>
          <w:szCs w:val="24"/>
        </w:rPr>
        <w:t xml:space="preserve"> obszary została zamieszczona w pkt. </w:t>
      </w:r>
      <w:r w:rsidR="00C63D00" w:rsidRPr="0094320D">
        <w:rPr>
          <w:i/>
          <w:szCs w:val="24"/>
        </w:rPr>
        <w:t xml:space="preserve">2.1.6 </w:t>
      </w:r>
      <w:r w:rsidR="00C63D00" w:rsidRPr="004235CE">
        <w:rPr>
          <w:i/>
          <w:szCs w:val="24"/>
        </w:rPr>
        <w:t>Analiza jakościowa</w:t>
      </w:r>
      <w:r w:rsidRPr="004235CE">
        <w:rPr>
          <w:szCs w:val="24"/>
        </w:rPr>
        <w:t xml:space="preserve"> niniejszego </w:t>
      </w:r>
      <w:r w:rsidRPr="004235CE">
        <w:rPr>
          <w:i/>
          <w:szCs w:val="24"/>
        </w:rPr>
        <w:t>Sprawozdan</w:t>
      </w:r>
      <w:r w:rsidR="0070262F" w:rsidRPr="004235CE">
        <w:rPr>
          <w:i/>
          <w:szCs w:val="24"/>
        </w:rPr>
        <w:t>ia.</w:t>
      </w:r>
    </w:p>
    <w:p w14:paraId="75E8D410" w14:textId="0A2B99D1" w:rsidR="000B13F9" w:rsidRPr="004235CE" w:rsidRDefault="00421B11" w:rsidP="006C22EA">
      <w:pPr>
        <w:pStyle w:val="Nagwek1"/>
        <w:numPr>
          <w:ilvl w:val="2"/>
          <w:numId w:val="17"/>
        </w:numPr>
        <w:tabs>
          <w:tab w:val="left" w:pos="1276"/>
        </w:tabs>
        <w:spacing w:before="0" w:after="120"/>
        <w:ind w:left="1418" w:hanging="709"/>
        <w:jc w:val="both"/>
        <w:rPr>
          <w:spacing w:val="-3"/>
          <w:szCs w:val="24"/>
        </w:rPr>
      </w:pPr>
      <w:bookmarkStart w:id="46" w:name="_Toc292789233"/>
      <w:bookmarkStart w:id="47" w:name="_Toc292793523"/>
      <w:bookmarkStart w:id="48" w:name="_Toc391466338"/>
      <w:bookmarkStart w:id="49" w:name="_Toc423351754"/>
      <w:bookmarkStart w:id="50" w:name="_Toc477779741"/>
      <w:r w:rsidRPr="004235CE">
        <w:rPr>
          <w:spacing w:val="-3"/>
          <w:szCs w:val="24"/>
        </w:rPr>
        <w:t>Pomoc ponownie wykorzystana</w:t>
      </w:r>
      <w:bookmarkEnd w:id="46"/>
      <w:bookmarkEnd w:id="47"/>
      <w:bookmarkEnd w:id="48"/>
      <w:bookmarkEnd w:id="49"/>
      <w:bookmarkEnd w:id="50"/>
      <w:r w:rsidRPr="004235CE">
        <w:rPr>
          <w:spacing w:val="-3"/>
          <w:szCs w:val="24"/>
        </w:rPr>
        <w:t xml:space="preserve"> </w:t>
      </w:r>
    </w:p>
    <w:p w14:paraId="2EF3C162" w14:textId="77777777" w:rsidR="004235CE" w:rsidRPr="004235CE" w:rsidRDefault="004235CE" w:rsidP="004235CE">
      <w:pPr>
        <w:jc w:val="both"/>
        <w:rPr>
          <w:sz w:val="22"/>
        </w:rPr>
      </w:pPr>
      <w:r w:rsidRPr="004235CE">
        <w:t>Łącznie w latach 2007-2013 zakwalifikowano, jako kwoty do odzyskania i wycofane z deklaracji przesłanych do KE z tytułu nieprawidłowości na podstawie Rozporządzenia Rady (WE) 1083/2006  kwotę 290 433 026,18  PLN / 65 796 657,57 EUR, w tym wkład UE 220 568 700,16 PLN /49 969 121,71 EUR.</w:t>
      </w:r>
    </w:p>
    <w:p w14:paraId="584E99B4" w14:textId="77777777" w:rsidR="004235CE" w:rsidRPr="004235CE" w:rsidRDefault="004235CE" w:rsidP="004235CE">
      <w:pPr>
        <w:jc w:val="both"/>
        <w:rPr>
          <w:szCs w:val="24"/>
        </w:rPr>
      </w:pPr>
      <w:r w:rsidRPr="004235CE">
        <w:t xml:space="preserve">W ramach powyższych kwot w związku </w:t>
      </w:r>
      <w:r w:rsidRPr="004235CE">
        <w:rPr>
          <w:i/>
          <w:iCs/>
        </w:rPr>
        <w:t>z art. 57 rozporządzenia nr 1083/2006</w:t>
      </w:r>
      <w:r w:rsidRPr="004235CE">
        <w:t xml:space="preserve"> - z tytułu niezachowania przepisów dotyczących trwałości operacji zakwalifikowano kwotę 15 667 197,32 PLN/ 3 549 352,60 EUR, wkład UE 13 371 789,20 PLN /3 029 335,36 EUR. </w:t>
      </w:r>
    </w:p>
    <w:p w14:paraId="43DB290E" w14:textId="7B3C23AE" w:rsidR="006B1B7C" w:rsidRPr="006B1B7C" w:rsidRDefault="006B1B7C" w:rsidP="006B1B7C">
      <w:pPr>
        <w:jc w:val="both"/>
        <w:rPr>
          <w:sz w:val="22"/>
        </w:rPr>
      </w:pPr>
      <w:r w:rsidRPr="006B1B7C">
        <w:t>Kwoty odzyskane od beneficjentów w związku z niezachowaniem przez nich przepisów dotyczących trwałości operacji określonej w art. 57 wynoszą 2 291 845,60  PLN /519 210,17 EUR (wkład UE 1 940 025,67  PLN /439 506,51</w:t>
      </w:r>
      <w:r w:rsidR="00492473">
        <w:t>.</w:t>
      </w:r>
    </w:p>
    <w:p w14:paraId="6503572F" w14:textId="77777777" w:rsidR="004235CE" w:rsidRDefault="004235CE" w:rsidP="004235CE">
      <w:pPr>
        <w:pStyle w:val="Akapitzlist"/>
        <w:ind w:left="360"/>
      </w:pPr>
    </w:p>
    <w:p w14:paraId="48EF82FD" w14:textId="77777777" w:rsidR="00FB4A77" w:rsidRPr="00FB4A77" w:rsidRDefault="00FB4A77" w:rsidP="00FB4A77">
      <w:pPr>
        <w:rPr>
          <w:rFonts w:ascii="Arial" w:hAnsi="Arial" w:cs="Arial"/>
          <w:color w:val="1F497D"/>
        </w:rPr>
      </w:pPr>
    </w:p>
    <w:p w14:paraId="407308DC" w14:textId="36CFF4A8" w:rsidR="00FB4A77" w:rsidRPr="00FB4A77" w:rsidRDefault="00FB4A77" w:rsidP="00FB4A77"/>
    <w:p w14:paraId="001C550A" w14:textId="77777777" w:rsidR="001B2868" w:rsidRPr="0094320D" w:rsidRDefault="00421B11" w:rsidP="0094320D">
      <w:pPr>
        <w:pStyle w:val="Nagwek1"/>
        <w:numPr>
          <w:ilvl w:val="2"/>
          <w:numId w:val="17"/>
        </w:numPr>
        <w:tabs>
          <w:tab w:val="left" w:pos="1276"/>
        </w:tabs>
        <w:spacing w:before="120" w:after="120"/>
        <w:ind w:left="1134" w:hanging="425"/>
        <w:jc w:val="both"/>
        <w:rPr>
          <w:szCs w:val="24"/>
        </w:rPr>
      </w:pPr>
      <w:bookmarkStart w:id="51" w:name="_Toc261941810"/>
      <w:bookmarkStart w:id="52" w:name="_Toc261941983"/>
      <w:bookmarkStart w:id="53" w:name="_Toc261943650"/>
      <w:bookmarkStart w:id="54" w:name="_Toc262031849"/>
      <w:bookmarkStart w:id="55" w:name="_Toc292789234"/>
      <w:bookmarkStart w:id="56" w:name="_Toc292793524"/>
      <w:bookmarkStart w:id="57" w:name="_Toc391466339"/>
      <w:bookmarkStart w:id="58" w:name="_Toc423351755"/>
      <w:bookmarkStart w:id="59" w:name="_Toc477779742"/>
      <w:r w:rsidRPr="0094320D">
        <w:rPr>
          <w:szCs w:val="24"/>
        </w:rPr>
        <w:lastRenderedPageBreak/>
        <w:t xml:space="preserve">Analiza jakościowa </w:t>
      </w:r>
      <w:bookmarkEnd w:id="51"/>
      <w:bookmarkEnd w:id="52"/>
      <w:bookmarkEnd w:id="53"/>
      <w:bookmarkEnd w:id="54"/>
      <w:bookmarkEnd w:id="55"/>
      <w:bookmarkEnd w:id="56"/>
      <w:r w:rsidRPr="0094320D">
        <w:rPr>
          <w:szCs w:val="24"/>
        </w:rPr>
        <w:t>RPO WSL</w:t>
      </w:r>
      <w:bookmarkEnd w:id="57"/>
      <w:bookmarkEnd w:id="58"/>
      <w:bookmarkEnd w:id="59"/>
    </w:p>
    <w:p w14:paraId="59F71169" w14:textId="77777777" w:rsidR="00612734" w:rsidRPr="005B6135" w:rsidRDefault="00421B11" w:rsidP="0094320D">
      <w:pPr>
        <w:pStyle w:val="Nagwek1"/>
        <w:numPr>
          <w:ilvl w:val="3"/>
          <w:numId w:val="17"/>
        </w:numPr>
        <w:tabs>
          <w:tab w:val="left" w:pos="1276"/>
          <w:tab w:val="left" w:pos="1843"/>
          <w:tab w:val="left" w:pos="1985"/>
        </w:tabs>
        <w:spacing w:before="120" w:after="120"/>
        <w:ind w:left="1701" w:hanging="425"/>
        <w:jc w:val="both"/>
        <w:rPr>
          <w:szCs w:val="24"/>
        </w:rPr>
      </w:pPr>
      <w:bookmarkStart w:id="60" w:name="_Toc292789235"/>
      <w:bookmarkStart w:id="61" w:name="_Toc292793525"/>
      <w:bookmarkStart w:id="62" w:name="_Toc391466340"/>
      <w:bookmarkStart w:id="63" w:name="_Toc423351756"/>
      <w:bookmarkStart w:id="64" w:name="_Toc473117309"/>
      <w:bookmarkStart w:id="65" w:name="_Toc477779743"/>
      <w:r w:rsidRPr="005B6135">
        <w:rPr>
          <w:szCs w:val="24"/>
        </w:rPr>
        <w:t xml:space="preserve">System realizacji </w:t>
      </w:r>
      <w:bookmarkEnd w:id="60"/>
      <w:bookmarkEnd w:id="61"/>
      <w:r w:rsidRPr="005B6135">
        <w:rPr>
          <w:szCs w:val="24"/>
        </w:rPr>
        <w:t>RPO WSL</w:t>
      </w:r>
      <w:bookmarkEnd w:id="62"/>
      <w:bookmarkEnd w:id="63"/>
      <w:bookmarkEnd w:id="64"/>
      <w:bookmarkEnd w:id="65"/>
    </w:p>
    <w:p w14:paraId="7663CC7F" w14:textId="77777777" w:rsidR="0047469D" w:rsidRPr="005B6135" w:rsidRDefault="0047469D" w:rsidP="0094320D">
      <w:pPr>
        <w:jc w:val="both"/>
        <w:rPr>
          <w:szCs w:val="24"/>
        </w:rPr>
      </w:pPr>
      <w:r w:rsidRPr="005B6135">
        <w:rPr>
          <w:noProof/>
          <w:szCs w:val="24"/>
        </w:rPr>
        <w:drawing>
          <wp:inline distT="0" distB="0" distL="0" distR="0" wp14:anchorId="32950EEE" wp14:editId="2B69C407">
            <wp:extent cx="5760720" cy="2662974"/>
            <wp:effectExtent l="0" t="0" r="49530" b="23495"/>
            <wp:docPr id="148" name="Diagram 1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6DA92D2E" w14:textId="538936C6" w:rsidR="0047469D" w:rsidRPr="006C22EA" w:rsidRDefault="007A6688" w:rsidP="007A6688">
      <w:pPr>
        <w:pStyle w:val="Legenda"/>
        <w:rPr>
          <w:b w:val="0"/>
          <w:i/>
          <w:sz w:val="20"/>
          <w:szCs w:val="20"/>
        </w:rPr>
      </w:pPr>
      <w:bookmarkStart w:id="66" w:name="_Toc292793656"/>
      <w:bookmarkStart w:id="67" w:name="_Toc292796244"/>
      <w:bookmarkStart w:id="68" w:name="_Toc292796738"/>
      <w:bookmarkStart w:id="69" w:name="_Toc292889048"/>
      <w:bookmarkStart w:id="70" w:name="_Toc295293344"/>
      <w:bookmarkStart w:id="71" w:name="_Toc324786922"/>
      <w:bookmarkStart w:id="72" w:name="_Toc324854686"/>
      <w:bookmarkStart w:id="73" w:name="_Toc324854750"/>
      <w:bookmarkStart w:id="74" w:name="_Toc326055320"/>
      <w:bookmarkStart w:id="75" w:name="_Toc476832921"/>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w:t>
      </w:r>
      <w:r w:rsidR="00A44293" w:rsidRPr="00A44293">
        <w:rPr>
          <w:noProof/>
          <w:color w:val="auto"/>
        </w:rPr>
        <w:fldChar w:fldCharType="end"/>
      </w:r>
      <w:r>
        <w:t xml:space="preserve"> </w:t>
      </w:r>
      <w:r w:rsidR="0047469D" w:rsidRPr="006C22EA">
        <w:rPr>
          <w:b w:val="0"/>
          <w:i/>
          <w:color w:val="auto"/>
          <w:sz w:val="20"/>
          <w:szCs w:val="20"/>
        </w:rPr>
        <w:t xml:space="preserve">Zestawienie dokumentów </w:t>
      </w:r>
      <w:bookmarkEnd w:id="66"/>
      <w:bookmarkEnd w:id="67"/>
      <w:bookmarkEnd w:id="68"/>
      <w:bookmarkEnd w:id="69"/>
      <w:bookmarkEnd w:id="70"/>
      <w:bookmarkEnd w:id="71"/>
      <w:bookmarkEnd w:id="72"/>
      <w:bookmarkEnd w:id="73"/>
      <w:bookmarkEnd w:id="74"/>
      <w:r w:rsidR="00E740B2">
        <w:rPr>
          <w:b w:val="0"/>
          <w:i/>
          <w:color w:val="auto"/>
          <w:sz w:val="20"/>
          <w:szCs w:val="20"/>
        </w:rPr>
        <w:t>programowych</w:t>
      </w:r>
      <w:bookmarkEnd w:id="75"/>
    </w:p>
    <w:p w14:paraId="0E372018" w14:textId="49F07D85" w:rsidR="00840EAC" w:rsidRPr="005B6135" w:rsidRDefault="00BF5159" w:rsidP="0094320D">
      <w:pPr>
        <w:tabs>
          <w:tab w:val="left" w:pos="7920"/>
        </w:tabs>
        <w:jc w:val="both"/>
        <w:rPr>
          <w:bCs/>
          <w:szCs w:val="24"/>
        </w:rPr>
      </w:pPr>
      <w:r w:rsidRPr="005B6135">
        <w:rPr>
          <w:bCs/>
          <w:szCs w:val="24"/>
        </w:rPr>
        <w:t>IZ RPO WS</w:t>
      </w:r>
      <w:r w:rsidR="001B2868" w:rsidRPr="005B6135">
        <w:rPr>
          <w:bCs/>
          <w:szCs w:val="24"/>
        </w:rPr>
        <w:t>L</w:t>
      </w:r>
      <w:r w:rsidR="00FD7C4B">
        <w:rPr>
          <w:bCs/>
          <w:szCs w:val="24"/>
        </w:rPr>
        <w:t xml:space="preserve"> w całym okresie programowania</w:t>
      </w:r>
      <w:r w:rsidR="005B6135">
        <w:rPr>
          <w:bCs/>
          <w:szCs w:val="24"/>
        </w:rPr>
        <w:t xml:space="preserve"> </w:t>
      </w:r>
      <w:r w:rsidR="00FD7C4B">
        <w:rPr>
          <w:bCs/>
          <w:szCs w:val="24"/>
        </w:rPr>
        <w:t>przygotowywała i/lub aktualizowała</w:t>
      </w:r>
      <w:r w:rsidRPr="005B6135">
        <w:rPr>
          <w:bCs/>
          <w:szCs w:val="24"/>
        </w:rPr>
        <w:t xml:space="preserve"> </w:t>
      </w:r>
      <w:r w:rsidR="00FD7C4B">
        <w:rPr>
          <w:bCs/>
          <w:szCs w:val="24"/>
        </w:rPr>
        <w:t>dokumenty niezbędne</w:t>
      </w:r>
      <w:r w:rsidRPr="005B6135">
        <w:rPr>
          <w:bCs/>
          <w:szCs w:val="24"/>
        </w:rPr>
        <w:t xml:space="preserve"> w procesie wdrażania </w:t>
      </w:r>
      <w:r w:rsidRPr="005B6135">
        <w:rPr>
          <w:bCs/>
          <w:i/>
          <w:szCs w:val="24"/>
        </w:rPr>
        <w:t>Programu</w:t>
      </w:r>
      <w:r w:rsidRPr="005B6135">
        <w:rPr>
          <w:bCs/>
          <w:szCs w:val="24"/>
        </w:rPr>
        <w:t xml:space="preserve"> i realizacji</w:t>
      </w:r>
      <w:r w:rsidR="000A193B" w:rsidRPr="005B6135">
        <w:rPr>
          <w:bCs/>
          <w:szCs w:val="24"/>
        </w:rPr>
        <w:t xml:space="preserve"> projektów</w:t>
      </w:r>
      <w:r w:rsidRPr="005B6135">
        <w:rPr>
          <w:bCs/>
          <w:szCs w:val="24"/>
        </w:rPr>
        <w:t xml:space="preserve"> przez beneficjentów.</w:t>
      </w:r>
    </w:p>
    <w:p w14:paraId="73D6FF39" w14:textId="77777777" w:rsidR="0047469D" w:rsidRPr="005B6135" w:rsidRDefault="00BB15D8" w:rsidP="00951D3C">
      <w:pPr>
        <w:spacing w:before="120" w:after="120"/>
        <w:jc w:val="both"/>
        <w:rPr>
          <w:b/>
          <w:szCs w:val="24"/>
        </w:rPr>
      </w:pPr>
      <w:r w:rsidRPr="005B6135">
        <w:rPr>
          <w:b/>
          <w:szCs w:val="24"/>
        </w:rPr>
        <w:t>Regionalny Program Operacyjny Wojewód</w:t>
      </w:r>
      <w:r w:rsidR="004455A4" w:rsidRPr="005B6135">
        <w:rPr>
          <w:b/>
          <w:szCs w:val="24"/>
        </w:rPr>
        <w:t>ztwa Śląskiego na lata 2007-2013</w:t>
      </w:r>
    </w:p>
    <w:p w14:paraId="1A0A2AFD" w14:textId="69FD2AC4" w:rsidR="00BB15D8" w:rsidRPr="005B6135" w:rsidRDefault="00BB15D8" w:rsidP="0094320D">
      <w:pPr>
        <w:jc w:val="both"/>
        <w:rPr>
          <w:szCs w:val="24"/>
        </w:rPr>
      </w:pPr>
      <w:r w:rsidRPr="005B6135">
        <w:rPr>
          <w:szCs w:val="24"/>
        </w:rPr>
        <w:t>RPO WSL został zatwierdzony przez Komisję Europejską 28 sierpnia 2007 r.</w:t>
      </w:r>
      <w:r w:rsidR="001720F1" w:rsidRPr="005B6135">
        <w:rPr>
          <w:szCs w:val="24"/>
        </w:rPr>
        <w:t xml:space="preserve"> Aktualizacje dokumentu dokonywano</w:t>
      </w:r>
      <w:r w:rsidRPr="005B6135">
        <w:rPr>
          <w:szCs w:val="24"/>
        </w:rPr>
        <w:t xml:space="preserve"> poprzez przyjęcie nowej wersji </w:t>
      </w:r>
      <w:r w:rsidR="001720F1" w:rsidRPr="005B6135">
        <w:rPr>
          <w:i/>
          <w:szCs w:val="24"/>
        </w:rPr>
        <w:t>Programu</w:t>
      </w:r>
      <w:r w:rsidRPr="005B6135">
        <w:rPr>
          <w:szCs w:val="24"/>
        </w:rPr>
        <w:t xml:space="preserve"> przez KE. </w:t>
      </w:r>
    </w:p>
    <w:p w14:paraId="131FFA5D" w14:textId="77777777" w:rsidR="00BF5159" w:rsidRPr="005B6135" w:rsidRDefault="00BF5159" w:rsidP="00951D3C">
      <w:pPr>
        <w:spacing w:before="120" w:after="120"/>
        <w:jc w:val="both"/>
        <w:rPr>
          <w:b/>
          <w:szCs w:val="24"/>
        </w:rPr>
      </w:pPr>
      <w:r w:rsidRPr="005B6135">
        <w:rPr>
          <w:b/>
          <w:szCs w:val="24"/>
        </w:rPr>
        <w:t>Szczegółowy Opis Priorytetów RPO WSL</w:t>
      </w:r>
      <w:r w:rsidR="00F26B25" w:rsidRPr="005B6135">
        <w:rPr>
          <w:b/>
          <w:szCs w:val="24"/>
        </w:rPr>
        <w:t xml:space="preserve"> (URPO</w:t>
      </w:r>
      <w:r w:rsidR="00074E22" w:rsidRPr="005B6135">
        <w:rPr>
          <w:b/>
          <w:szCs w:val="24"/>
        </w:rPr>
        <w:t xml:space="preserve"> WSL</w:t>
      </w:r>
      <w:r w:rsidR="00F26B25" w:rsidRPr="005B6135">
        <w:rPr>
          <w:b/>
          <w:szCs w:val="24"/>
        </w:rPr>
        <w:t>)</w:t>
      </w:r>
    </w:p>
    <w:p w14:paraId="453BEEF0" w14:textId="73D44B25" w:rsidR="00FD3620" w:rsidRPr="00FD3620" w:rsidRDefault="00BF5159" w:rsidP="00951D3C">
      <w:pPr>
        <w:spacing w:after="120"/>
        <w:jc w:val="both"/>
        <w:rPr>
          <w:bCs/>
          <w:szCs w:val="24"/>
        </w:rPr>
      </w:pPr>
      <w:r w:rsidRPr="005B6135">
        <w:rPr>
          <w:szCs w:val="24"/>
        </w:rPr>
        <w:t>URPO</w:t>
      </w:r>
      <w:r w:rsidR="00074E22" w:rsidRPr="005B6135">
        <w:rPr>
          <w:szCs w:val="24"/>
        </w:rPr>
        <w:t xml:space="preserve"> WSL</w:t>
      </w:r>
      <w:r w:rsidRPr="005B6135">
        <w:rPr>
          <w:szCs w:val="24"/>
        </w:rPr>
        <w:t xml:space="preserve"> został zatwierdzony przez Zarząd Województwa Śląskiego 27 grudnia 2007 roku. </w:t>
      </w:r>
      <w:r w:rsidRPr="005B6135">
        <w:rPr>
          <w:bCs/>
          <w:szCs w:val="24"/>
        </w:rPr>
        <w:t xml:space="preserve">Dokument stanowi uzupełnienie i uściślenie zapisów </w:t>
      </w:r>
      <w:r w:rsidRPr="005B6135">
        <w:rPr>
          <w:bCs/>
          <w:i/>
          <w:szCs w:val="24"/>
        </w:rPr>
        <w:t>Programu</w:t>
      </w:r>
      <w:r w:rsidRPr="005B6135">
        <w:rPr>
          <w:bCs/>
          <w:szCs w:val="24"/>
        </w:rPr>
        <w:t xml:space="preserve"> oraz zawiera niezbędne informacje dla potencjalnych beneficjentów. Aktualizacji dokumentu dokonano poprzez przyjęcie kolejnych uchwał Z</w:t>
      </w:r>
      <w:r w:rsidR="00DE0861" w:rsidRPr="005B6135">
        <w:rPr>
          <w:bCs/>
          <w:szCs w:val="24"/>
        </w:rPr>
        <w:t xml:space="preserve">arządu </w:t>
      </w:r>
      <w:r w:rsidRPr="005B6135">
        <w:rPr>
          <w:bCs/>
          <w:szCs w:val="24"/>
        </w:rPr>
        <w:t>W</w:t>
      </w:r>
      <w:r w:rsidR="00DE0861" w:rsidRPr="005B6135">
        <w:rPr>
          <w:bCs/>
          <w:szCs w:val="24"/>
        </w:rPr>
        <w:t>ojewództwa Śląskiego</w:t>
      </w:r>
      <w:r w:rsidR="005B6135">
        <w:rPr>
          <w:bCs/>
          <w:szCs w:val="24"/>
        </w:rPr>
        <w:t xml:space="preserve">. </w:t>
      </w:r>
      <w:bookmarkStart w:id="76" w:name="_Toc324853691"/>
      <w:bookmarkStart w:id="77" w:name="_Toc326046354"/>
      <w:bookmarkStart w:id="78" w:name="_Toc355688711"/>
      <w:r w:rsidR="005B6135">
        <w:rPr>
          <w:bCs/>
          <w:szCs w:val="24"/>
        </w:rPr>
        <w:t>Najważniejsze zmiany dotyczyły:</w:t>
      </w:r>
    </w:p>
    <w:p w14:paraId="38C3FA16" w14:textId="310470EC" w:rsidR="00FD3620" w:rsidRPr="0046349B" w:rsidRDefault="00FD3620" w:rsidP="00951D3C">
      <w:pPr>
        <w:pStyle w:val="Akapitzlist"/>
        <w:numPr>
          <w:ilvl w:val="0"/>
          <w:numId w:val="48"/>
        </w:numPr>
        <w:spacing w:after="0"/>
        <w:ind w:left="714" w:hanging="357"/>
        <w:jc w:val="both"/>
        <w:rPr>
          <w:bCs/>
          <w:szCs w:val="24"/>
        </w:rPr>
      </w:pPr>
      <w:r w:rsidRPr="0046349B">
        <w:rPr>
          <w:szCs w:val="24"/>
        </w:rPr>
        <w:t xml:space="preserve">przesunięcia wolnych środków pomiędzy działaniami Programu w celu pełniejszego zagospodarowania alokacji, </w:t>
      </w:r>
    </w:p>
    <w:p w14:paraId="57850229" w14:textId="77777777" w:rsidR="00593ADA" w:rsidRPr="0046349B" w:rsidRDefault="00593ADA" w:rsidP="00951D3C">
      <w:pPr>
        <w:pStyle w:val="Akapitzlist"/>
        <w:numPr>
          <w:ilvl w:val="0"/>
          <w:numId w:val="48"/>
        </w:numPr>
        <w:spacing w:after="0"/>
        <w:ind w:left="714" w:hanging="357"/>
        <w:jc w:val="both"/>
        <w:rPr>
          <w:bCs/>
          <w:szCs w:val="24"/>
        </w:rPr>
      </w:pPr>
      <w:r w:rsidRPr="0046349B">
        <w:rPr>
          <w:szCs w:val="24"/>
        </w:rPr>
        <w:t>doprecyzowania kategorii beneficjentów,</w:t>
      </w:r>
    </w:p>
    <w:p w14:paraId="3069C988" w14:textId="77777777" w:rsidR="0046349B" w:rsidRPr="0046349B" w:rsidRDefault="0046349B" w:rsidP="00951D3C">
      <w:pPr>
        <w:pStyle w:val="Akapitzlist"/>
        <w:numPr>
          <w:ilvl w:val="0"/>
          <w:numId w:val="48"/>
        </w:numPr>
        <w:spacing w:after="0"/>
        <w:ind w:left="714" w:hanging="357"/>
        <w:jc w:val="both"/>
        <w:rPr>
          <w:bCs/>
          <w:szCs w:val="24"/>
        </w:rPr>
      </w:pPr>
      <w:r w:rsidRPr="0046349B">
        <w:rPr>
          <w:szCs w:val="24"/>
        </w:rPr>
        <w:t>dodania</w:t>
      </w:r>
      <w:r w:rsidR="00593ADA" w:rsidRPr="0046349B">
        <w:rPr>
          <w:szCs w:val="24"/>
        </w:rPr>
        <w:t xml:space="preserve"> </w:t>
      </w:r>
      <w:r w:rsidR="00593ADA" w:rsidRPr="0046349B">
        <w:rPr>
          <w:i/>
          <w:szCs w:val="24"/>
        </w:rPr>
        <w:t>poddziałania 6.2.3 Rewitalizacja – JESSICA</w:t>
      </w:r>
      <w:r w:rsidR="00593ADA" w:rsidRPr="0046349B">
        <w:rPr>
          <w:szCs w:val="24"/>
        </w:rPr>
        <w:t>, w celu rozpoczęcia wdrażania inicjatywy JESSICA,</w:t>
      </w:r>
      <w:r w:rsidRPr="0046349B">
        <w:rPr>
          <w:szCs w:val="24"/>
        </w:rPr>
        <w:t xml:space="preserve"> </w:t>
      </w:r>
    </w:p>
    <w:p w14:paraId="6109A4A6" w14:textId="17731337" w:rsidR="00593ADA" w:rsidRPr="0046349B" w:rsidRDefault="0046349B" w:rsidP="00951D3C">
      <w:pPr>
        <w:pStyle w:val="Akapitzlist"/>
        <w:numPr>
          <w:ilvl w:val="0"/>
          <w:numId w:val="48"/>
        </w:numPr>
        <w:spacing w:after="0"/>
        <w:ind w:left="714" w:hanging="357"/>
        <w:jc w:val="both"/>
        <w:rPr>
          <w:bCs/>
          <w:szCs w:val="24"/>
        </w:rPr>
      </w:pPr>
      <w:r>
        <w:rPr>
          <w:szCs w:val="24"/>
        </w:rPr>
        <w:t>dostosowania zapisów dokumentu do zmieniających się</w:t>
      </w:r>
      <w:r w:rsidRPr="0046349B">
        <w:rPr>
          <w:szCs w:val="24"/>
        </w:rPr>
        <w:t xml:space="preserve"> aktów prawnych,</w:t>
      </w:r>
    </w:p>
    <w:p w14:paraId="2F4BDAAC" w14:textId="7715E58B" w:rsidR="00FD3620" w:rsidRPr="0046349B" w:rsidRDefault="00593ADA" w:rsidP="00951D3C">
      <w:pPr>
        <w:pStyle w:val="Akapitzlist"/>
        <w:numPr>
          <w:ilvl w:val="0"/>
          <w:numId w:val="48"/>
        </w:numPr>
        <w:spacing w:after="0"/>
        <w:ind w:left="714" w:hanging="357"/>
        <w:jc w:val="both"/>
        <w:rPr>
          <w:bCs/>
          <w:szCs w:val="24"/>
        </w:rPr>
      </w:pPr>
      <w:r w:rsidRPr="0046349B">
        <w:rPr>
          <w:szCs w:val="24"/>
        </w:rPr>
        <w:t>dostosowania</w:t>
      </w:r>
      <w:r w:rsidR="00FD3620" w:rsidRPr="0046349B">
        <w:rPr>
          <w:szCs w:val="24"/>
        </w:rPr>
        <w:t xml:space="preserve"> zapisów dokumentu do zmian organizacyjnych w IZ RPO WSL,</w:t>
      </w:r>
    </w:p>
    <w:p w14:paraId="31644C9F" w14:textId="71EB52AE" w:rsidR="00593ADA" w:rsidRPr="0046349B" w:rsidRDefault="00593ADA" w:rsidP="00951D3C">
      <w:pPr>
        <w:pStyle w:val="Akapitzlist"/>
        <w:numPr>
          <w:ilvl w:val="0"/>
          <w:numId w:val="48"/>
        </w:numPr>
        <w:spacing w:after="0"/>
        <w:ind w:left="714" w:hanging="357"/>
        <w:jc w:val="both"/>
        <w:rPr>
          <w:bCs/>
          <w:szCs w:val="24"/>
        </w:rPr>
      </w:pPr>
      <w:r w:rsidRPr="0046349B">
        <w:rPr>
          <w:rFonts w:eastAsia="Calibri"/>
          <w:color w:val="000000"/>
          <w:szCs w:val="24"/>
        </w:rPr>
        <w:t>dostosowania zapisów URPO WSL do zmi</w:t>
      </w:r>
      <w:r w:rsidR="0018564D">
        <w:rPr>
          <w:rFonts w:eastAsia="Calibri"/>
          <w:color w:val="000000"/>
          <w:szCs w:val="24"/>
        </w:rPr>
        <w:t>an wprowadzonych w programie po </w:t>
      </w:r>
      <w:r w:rsidRPr="0046349B">
        <w:rPr>
          <w:rFonts w:eastAsia="Calibri"/>
          <w:color w:val="000000"/>
          <w:szCs w:val="24"/>
        </w:rPr>
        <w:t>aprobacie KE</w:t>
      </w:r>
      <w:r w:rsidRPr="0046349B">
        <w:rPr>
          <w:szCs w:val="24"/>
        </w:rPr>
        <w:t>,</w:t>
      </w:r>
    </w:p>
    <w:p w14:paraId="6F8D3AF8" w14:textId="77777777" w:rsidR="00593ADA" w:rsidRPr="0046349B" w:rsidRDefault="00593ADA" w:rsidP="00951D3C">
      <w:pPr>
        <w:pStyle w:val="Akapitzlist"/>
        <w:numPr>
          <w:ilvl w:val="0"/>
          <w:numId w:val="46"/>
        </w:numPr>
        <w:spacing w:after="0" w:line="259" w:lineRule="auto"/>
        <w:ind w:left="714" w:hanging="357"/>
        <w:jc w:val="both"/>
        <w:rPr>
          <w:szCs w:val="24"/>
        </w:rPr>
      </w:pPr>
      <w:r w:rsidRPr="0046349B">
        <w:rPr>
          <w:szCs w:val="24"/>
        </w:rPr>
        <w:t>aktualizacji załączników nr:</w:t>
      </w:r>
    </w:p>
    <w:p w14:paraId="181C334F" w14:textId="55D553DF" w:rsidR="00593ADA" w:rsidRPr="00593ADA" w:rsidRDefault="00593ADA" w:rsidP="004914D8">
      <w:pPr>
        <w:pStyle w:val="Akapitzlist"/>
        <w:numPr>
          <w:ilvl w:val="0"/>
          <w:numId w:val="47"/>
        </w:numPr>
        <w:spacing w:after="160" w:line="259" w:lineRule="auto"/>
        <w:jc w:val="both"/>
        <w:rPr>
          <w:szCs w:val="24"/>
        </w:rPr>
      </w:pPr>
      <w:r w:rsidRPr="0046349B">
        <w:rPr>
          <w:szCs w:val="24"/>
        </w:rPr>
        <w:t>1</w:t>
      </w:r>
      <w:r w:rsidR="00D2127C">
        <w:rPr>
          <w:szCs w:val="24"/>
        </w:rPr>
        <w:t>.</w:t>
      </w:r>
      <w:r w:rsidRPr="0046349B">
        <w:rPr>
          <w:szCs w:val="24"/>
        </w:rPr>
        <w:t xml:space="preserve"> Budżet RPO WSL</w:t>
      </w:r>
      <w:r w:rsidRPr="00593ADA">
        <w:rPr>
          <w:szCs w:val="24"/>
        </w:rPr>
        <w:t>,</w:t>
      </w:r>
    </w:p>
    <w:p w14:paraId="0CE910E1" w14:textId="73FF877F" w:rsidR="00593ADA" w:rsidRPr="00593ADA" w:rsidRDefault="00593ADA" w:rsidP="004914D8">
      <w:pPr>
        <w:pStyle w:val="Akapitzlist"/>
        <w:numPr>
          <w:ilvl w:val="0"/>
          <w:numId w:val="47"/>
        </w:numPr>
        <w:spacing w:after="160" w:line="259" w:lineRule="auto"/>
        <w:jc w:val="both"/>
        <w:rPr>
          <w:szCs w:val="24"/>
        </w:rPr>
      </w:pPr>
      <w:r w:rsidRPr="00593ADA">
        <w:rPr>
          <w:szCs w:val="24"/>
        </w:rPr>
        <w:lastRenderedPageBreak/>
        <w:t>2</w:t>
      </w:r>
      <w:r w:rsidR="00D2127C">
        <w:rPr>
          <w:szCs w:val="24"/>
        </w:rPr>
        <w:t>.</w:t>
      </w:r>
      <w:r w:rsidRPr="00593ADA">
        <w:rPr>
          <w:szCs w:val="24"/>
        </w:rPr>
        <w:t xml:space="preserve"> Wytyczne w sprawie kwalifikowalności wydatków w RPO WSL na lata 2007-2013,</w:t>
      </w:r>
    </w:p>
    <w:p w14:paraId="64393D89" w14:textId="2CFE0C26" w:rsidR="00593ADA" w:rsidRDefault="00593ADA" w:rsidP="004914D8">
      <w:pPr>
        <w:pStyle w:val="Akapitzlist"/>
        <w:numPr>
          <w:ilvl w:val="0"/>
          <w:numId w:val="47"/>
        </w:numPr>
        <w:spacing w:after="160" w:line="259" w:lineRule="auto"/>
        <w:jc w:val="both"/>
        <w:rPr>
          <w:szCs w:val="24"/>
        </w:rPr>
      </w:pPr>
      <w:r w:rsidRPr="00593ADA">
        <w:rPr>
          <w:szCs w:val="24"/>
        </w:rPr>
        <w:t>3</w:t>
      </w:r>
      <w:r w:rsidR="00D2127C">
        <w:rPr>
          <w:szCs w:val="24"/>
        </w:rPr>
        <w:t>.</w:t>
      </w:r>
      <w:r w:rsidRPr="00593ADA">
        <w:rPr>
          <w:szCs w:val="24"/>
        </w:rPr>
        <w:t xml:space="preserve"> I</w:t>
      </w:r>
      <w:r>
        <w:rPr>
          <w:szCs w:val="24"/>
        </w:rPr>
        <w:t>ndykatywna tabela finansowa,</w:t>
      </w:r>
    </w:p>
    <w:p w14:paraId="02FA9AA6" w14:textId="2924CEC5" w:rsidR="00593ADA" w:rsidRPr="00593ADA" w:rsidRDefault="00D2127C" w:rsidP="004914D8">
      <w:pPr>
        <w:pStyle w:val="Akapitzlist"/>
        <w:numPr>
          <w:ilvl w:val="0"/>
          <w:numId w:val="47"/>
        </w:numPr>
        <w:spacing w:after="160" w:line="259" w:lineRule="auto"/>
        <w:jc w:val="both"/>
        <w:rPr>
          <w:szCs w:val="24"/>
        </w:rPr>
      </w:pPr>
      <w:r>
        <w:rPr>
          <w:szCs w:val="24"/>
        </w:rPr>
        <w:t xml:space="preserve">4. </w:t>
      </w:r>
      <w:r w:rsidR="00593ADA">
        <w:rPr>
          <w:szCs w:val="24"/>
        </w:rPr>
        <w:t>Wytyczne do opracowania LPR,</w:t>
      </w:r>
    </w:p>
    <w:p w14:paraId="630B78AB" w14:textId="041D218E" w:rsidR="00593ADA" w:rsidRPr="00593ADA" w:rsidRDefault="00593ADA" w:rsidP="004914D8">
      <w:pPr>
        <w:pStyle w:val="Akapitzlist"/>
        <w:numPr>
          <w:ilvl w:val="0"/>
          <w:numId w:val="47"/>
        </w:numPr>
        <w:spacing w:after="160" w:line="259" w:lineRule="auto"/>
        <w:jc w:val="both"/>
        <w:rPr>
          <w:szCs w:val="24"/>
        </w:rPr>
      </w:pPr>
      <w:r w:rsidRPr="00593ADA">
        <w:rPr>
          <w:szCs w:val="24"/>
        </w:rPr>
        <w:t>5</w:t>
      </w:r>
      <w:r w:rsidR="00D2127C">
        <w:rPr>
          <w:szCs w:val="24"/>
        </w:rPr>
        <w:t>.</w:t>
      </w:r>
      <w:r w:rsidRPr="00593ADA">
        <w:rPr>
          <w:szCs w:val="24"/>
        </w:rPr>
        <w:t xml:space="preserve"> Wkład RPO WSL 2007-2013 w realizację celów Strategii Lizbońskiej,</w:t>
      </w:r>
    </w:p>
    <w:p w14:paraId="4A2111F6" w14:textId="6C9CEAB9" w:rsidR="00593ADA" w:rsidRDefault="00593ADA" w:rsidP="004914D8">
      <w:pPr>
        <w:pStyle w:val="Akapitzlist"/>
        <w:numPr>
          <w:ilvl w:val="0"/>
          <w:numId w:val="47"/>
        </w:numPr>
        <w:spacing w:after="160" w:line="259" w:lineRule="auto"/>
        <w:jc w:val="both"/>
        <w:rPr>
          <w:szCs w:val="24"/>
        </w:rPr>
      </w:pPr>
      <w:r w:rsidRPr="00593ADA">
        <w:rPr>
          <w:szCs w:val="24"/>
        </w:rPr>
        <w:t>6</w:t>
      </w:r>
      <w:r w:rsidR="00D2127C">
        <w:rPr>
          <w:szCs w:val="24"/>
        </w:rPr>
        <w:t>.</w:t>
      </w:r>
      <w:r w:rsidRPr="00593ADA">
        <w:rPr>
          <w:szCs w:val="24"/>
        </w:rPr>
        <w:t xml:space="preserve"> Kryteria wyboru projektów,</w:t>
      </w:r>
    </w:p>
    <w:p w14:paraId="71BAF30A" w14:textId="5AE5A681" w:rsidR="00593ADA" w:rsidRPr="00593ADA" w:rsidRDefault="00593ADA" w:rsidP="004914D8">
      <w:pPr>
        <w:pStyle w:val="Akapitzlist"/>
        <w:numPr>
          <w:ilvl w:val="0"/>
          <w:numId w:val="47"/>
        </w:numPr>
        <w:spacing w:after="160" w:line="259" w:lineRule="auto"/>
        <w:jc w:val="both"/>
        <w:rPr>
          <w:szCs w:val="24"/>
        </w:rPr>
      </w:pPr>
      <w:r>
        <w:rPr>
          <w:szCs w:val="24"/>
        </w:rPr>
        <w:t>7</w:t>
      </w:r>
      <w:r w:rsidR="00D2127C">
        <w:rPr>
          <w:szCs w:val="24"/>
        </w:rPr>
        <w:t>.</w:t>
      </w:r>
      <w:r>
        <w:rPr>
          <w:szCs w:val="24"/>
        </w:rPr>
        <w:t xml:space="preserve"> Podział środków puli konkursowej,</w:t>
      </w:r>
    </w:p>
    <w:p w14:paraId="2C0ABD52" w14:textId="373180E6" w:rsidR="00593ADA" w:rsidRPr="00593ADA" w:rsidRDefault="00593ADA" w:rsidP="004914D8">
      <w:pPr>
        <w:pStyle w:val="Akapitzlist"/>
        <w:numPr>
          <w:ilvl w:val="0"/>
          <w:numId w:val="47"/>
        </w:numPr>
        <w:spacing w:after="160" w:line="259" w:lineRule="auto"/>
        <w:jc w:val="both"/>
        <w:rPr>
          <w:szCs w:val="24"/>
        </w:rPr>
      </w:pPr>
      <w:r w:rsidRPr="00593ADA">
        <w:rPr>
          <w:szCs w:val="24"/>
        </w:rPr>
        <w:t>8</w:t>
      </w:r>
      <w:r w:rsidR="00D2127C">
        <w:rPr>
          <w:szCs w:val="24"/>
        </w:rPr>
        <w:t>.</w:t>
      </w:r>
      <w:r w:rsidRPr="00593ADA">
        <w:rPr>
          <w:szCs w:val="24"/>
        </w:rPr>
        <w:t xml:space="preserve"> Indykatywny Wykaz Indywidualnych Projektów Kluczowych,</w:t>
      </w:r>
    </w:p>
    <w:p w14:paraId="330DC1D7" w14:textId="012ACFD3" w:rsidR="00593ADA" w:rsidRDefault="00593ADA" w:rsidP="004914D8">
      <w:pPr>
        <w:pStyle w:val="Akapitzlist"/>
        <w:numPr>
          <w:ilvl w:val="0"/>
          <w:numId w:val="47"/>
        </w:numPr>
        <w:spacing w:after="160" w:line="259" w:lineRule="auto"/>
        <w:jc w:val="both"/>
        <w:rPr>
          <w:szCs w:val="24"/>
        </w:rPr>
      </w:pPr>
      <w:r w:rsidRPr="00593ADA">
        <w:rPr>
          <w:szCs w:val="24"/>
        </w:rPr>
        <w:t>9</w:t>
      </w:r>
      <w:r w:rsidR="00D2127C">
        <w:rPr>
          <w:szCs w:val="24"/>
        </w:rPr>
        <w:t>.</w:t>
      </w:r>
      <w:r w:rsidRPr="00593ADA">
        <w:rPr>
          <w:szCs w:val="24"/>
        </w:rPr>
        <w:t xml:space="preserve"> Wskaźniki</w:t>
      </w:r>
      <w:r>
        <w:rPr>
          <w:szCs w:val="24"/>
        </w:rPr>
        <w:t xml:space="preserve"> produktu i rezultatu</w:t>
      </w:r>
      <w:r w:rsidRPr="00593ADA">
        <w:rPr>
          <w:szCs w:val="24"/>
        </w:rPr>
        <w:t>, poprzez doprecyzowanie istniejących wskaźników lub dodanie nowych</w:t>
      </w:r>
    </w:p>
    <w:p w14:paraId="71ADA064" w14:textId="62738414" w:rsidR="005B6135" w:rsidRPr="00A227B6" w:rsidRDefault="00593ADA" w:rsidP="004914D8">
      <w:pPr>
        <w:pStyle w:val="Akapitzlist"/>
        <w:numPr>
          <w:ilvl w:val="0"/>
          <w:numId w:val="47"/>
        </w:numPr>
        <w:spacing w:after="160" w:line="259" w:lineRule="auto"/>
        <w:jc w:val="both"/>
        <w:rPr>
          <w:szCs w:val="24"/>
        </w:rPr>
      </w:pPr>
      <w:r>
        <w:rPr>
          <w:szCs w:val="24"/>
        </w:rPr>
        <w:t>10</w:t>
      </w:r>
      <w:r w:rsidR="00D2127C">
        <w:rPr>
          <w:szCs w:val="24"/>
        </w:rPr>
        <w:t>.</w:t>
      </w:r>
      <w:r>
        <w:rPr>
          <w:szCs w:val="24"/>
        </w:rPr>
        <w:t xml:space="preserve"> Słowniczek.</w:t>
      </w:r>
      <w:bookmarkEnd w:id="76"/>
      <w:bookmarkEnd w:id="77"/>
      <w:bookmarkEnd w:id="78"/>
    </w:p>
    <w:p w14:paraId="55F9CC00" w14:textId="6685BF69" w:rsidR="00240B07" w:rsidRPr="00593ADA" w:rsidRDefault="00BC638D" w:rsidP="00CF7E0B">
      <w:pPr>
        <w:pStyle w:val="Tekstpodstawowywcity"/>
        <w:spacing w:before="120"/>
        <w:ind w:left="0"/>
        <w:jc w:val="both"/>
        <w:rPr>
          <w:szCs w:val="24"/>
        </w:rPr>
      </w:pPr>
      <w:r w:rsidRPr="00593ADA">
        <w:rPr>
          <w:b/>
          <w:szCs w:val="24"/>
        </w:rPr>
        <w:t>Indykatywny Wykaz Indywidualnych Projektów Kluczowych</w:t>
      </w:r>
    </w:p>
    <w:p w14:paraId="4567DFB7" w14:textId="77777777" w:rsidR="00CF7E0B" w:rsidRDefault="00CF7E0B" w:rsidP="00CF7E0B">
      <w:pPr>
        <w:spacing w:after="120"/>
        <w:jc w:val="both"/>
      </w:pPr>
      <w:r>
        <w:rPr>
          <w:szCs w:val="24"/>
        </w:rPr>
        <w:t xml:space="preserve">IWIPK został zatwierdzony w 2007 roku. </w:t>
      </w:r>
      <w:r w:rsidRPr="000F4C93">
        <w:t xml:space="preserve">W okresie </w:t>
      </w:r>
      <w:r>
        <w:t>wdrażania RPO WSL 2007-2013 dokument był aktualizowany, a do najważniejszych zmian należy zaliczyć:</w:t>
      </w:r>
    </w:p>
    <w:p w14:paraId="6EF2E0A7" w14:textId="3CFE5BC1" w:rsidR="00CF7E0B" w:rsidRPr="00CF7E0B" w:rsidRDefault="00CF7E0B" w:rsidP="00CF7E0B">
      <w:pPr>
        <w:pStyle w:val="Akapitzlist"/>
        <w:numPr>
          <w:ilvl w:val="0"/>
          <w:numId w:val="46"/>
        </w:numPr>
        <w:spacing w:after="120"/>
        <w:ind w:left="567"/>
        <w:jc w:val="both"/>
        <w:rPr>
          <w:color w:val="000000"/>
          <w:szCs w:val="24"/>
        </w:rPr>
      </w:pPr>
      <w:r w:rsidRPr="00CF7E0B">
        <w:rPr>
          <w:szCs w:val="24"/>
        </w:rPr>
        <w:t xml:space="preserve">30 marca 2010 r. projekt </w:t>
      </w:r>
      <w:r w:rsidRPr="00CF7E0B">
        <w:rPr>
          <w:i/>
          <w:szCs w:val="24"/>
        </w:rPr>
        <w:t>Stworzenie połączenia DTŚ z Dąbrową Górniczą - etap I połączenie DTŚ w Katowicach z Obrzeżną Zachodnią w Mysłowicach wraz z przebudową obiektów</w:t>
      </w:r>
      <w:r w:rsidRPr="00CF7E0B">
        <w:rPr>
          <w:szCs w:val="24"/>
        </w:rPr>
        <w:t xml:space="preserve"> został przesunięty na listę rezerwową </w:t>
      </w:r>
      <w:r w:rsidRPr="00CF7E0B">
        <w:rPr>
          <w:i/>
          <w:szCs w:val="24"/>
        </w:rPr>
        <w:t>Indykatywnego Wykazu Indywidualnych Projektów Kluczowych</w:t>
      </w:r>
      <w:r w:rsidRPr="00CF7E0B">
        <w:rPr>
          <w:szCs w:val="24"/>
        </w:rPr>
        <w:t>.</w:t>
      </w:r>
      <w:r w:rsidRPr="00CF7E0B">
        <w:rPr>
          <w:color w:val="000000"/>
          <w:szCs w:val="24"/>
        </w:rPr>
        <w:t xml:space="preserve"> Środki przeznaczone na realizację ww. projektu kluczowego zostały przesunięte na wybór projektów z listy rezerwowej dla naboru 07.01.01-063/09 w ramach działania 7.1.1. RPO WSL.</w:t>
      </w:r>
    </w:p>
    <w:p w14:paraId="76A16538" w14:textId="77777777" w:rsidR="00CF7E0B" w:rsidRPr="00567379" w:rsidRDefault="00CF7E0B" w:rsidP="00CF7E0B">
      <w:pPr>
        <w:pStyle w:val="Akapitzlist"/>
        <w:numPr>
          <w:ilvl w:val="0"/>
          <w:numId w:val="84"/>
        </w:numPr>
        <w:tabs>
          <w:tab w:val="left" w:pos="-56"/>
          <w:tab w:val="left" w:pos="261"/>
        </w:tabs>
        <w:autoSpaceDE w:val="0"/>
        <w:autoSpaceDN w:val="0"/>
        <w:adjustRightInd w:val="0"/>
        <w:spacing w:after="0"/>
        <w:ind w:left="567"/>
        <w:jc w:val="both"/>
        <w:rPr>
          <w:color w:val="000000"/>
          <w:szCs w:val="24"/>
        </w:rPr>
      </w:pPr>
      <w:r>
        <w:t>Usunięcie z Listy indykatywnych projektów kluczowych</w:t>
      </w:r>
      <w:r w:rsidRPr="00CE249D">
        <w:t xml:space="preserve"> </w:t>
      </w:r>
      <w:r w:rsidRPr="001F7292">
        <w:t xml:space="preserve">projektu </w:t>
      </w:r>
      <w:r w:rsidRPr="005E3EAD">
        <w:rPr>
          <w:i/>
        </w:rPr>
        <w:t>Infrastruktura okołolotniskowa Międzynarodowego Portu Lotniczego Katowice w Pyrzowicach - centrum logistyczne</w:t>
      </w:r>
      <w:r>
        <w:t>, z powodu rezygnacji beneficjenta</w:t>
      </w:r>
      <w:r w:rsidRPr="001F7292">
        <w:t xml:space="preserve"> </w:t>
      </w:r>
      <w:r>
        <w:t xml:space="preserve">z realizacji projektu. Środki przeznaczone na realizację ww. projektu kluczowego zostały przesunięte na </w:t>
      </w:r>
      <w:r w:rsidRPr="005E3EAD">
        <w:rPr>
          <w:i/>
        </w:rPr>
        <w:t xml:space="preserve">działanie 1.2.4 Mikroprzedsiębiorstwa i MSP </w:t>
      </w:r>
      <w:r>
        <w:t>wdrażane przez Śląskie Centrum Przedsiębiorczości.</w:t>
      </w:r>
    </w:p>
    <w:p w14:paraId="28B50D9B" w14:textId="77777777" w:rsidR="00CF7E0B" w:rsidRPr="006D71C7" w:rsidRDefault="00CF7E0B" w:rsidP="00CF7E0B">
      <w:pPr>
        <w:pStyle w:val="Tekstpodstawowywcity"/>
        <w:numPr>
          <w:ilvl w:val="0"/>
          <w:numId w:val="83"/>
        </w:numPr>
        <w:spacing w:after="0"/>
        <w:ind w:left="567" w:hanging="357"/>
        <w:jc w:val="both"/>
      </w:pPr>
      <w:r w:rsidRPr="006D71C7">
        <w:t xml:space="preserve">5 lipca 2011 r. wprowadzono do dokumentu zmiany wynikające z uchwały podjętej przez Radę Ministrów z dnia 27 maja 2011 r. w sprawie zakresu i warunków dofinansowania RPO WSL oraz zmian w </w:t>
      </w:r>
      <w:r w:rsidRPr="006D71C7">
        <w:rPr>
          <w:i/>
        </w:rPr>
        <w:t>Kontrakcie wojewódzkim dla Województwa Śląskiego</w:t>
      </w:r>
      <w:r w:rsidRPr="006D71C7">
        <w:t xml:space="preserve">. Zgodnie z treścią powyższych dokumentów Województwo Śląskie otrzymało dodatkową pulę środków w ramach „dostosowania technicznego" na realizację uzgodnionych z Ministerstwem Rozwoju Regionalnego projektów z zakresu usuwania skutków powodzi. Zgodnie z rekomendacją MRR, ww. inwestycje będą realizowane w trybie projektów kluczowych. Ponadto ze środków KRW na realizację priorytetu VII </w:t>
      </w:r>
      <w:r w:rsidRPr="006D71C7">
        <w:rPr>
          <w:rStyle w:val="Uwydatnienie"/>
        </w:rPr>
        <w:t>Transport</w:t>
      </w:r>
      <w:r w:rsidRPr="006D71C7">
        <w:t xml:space="preserve">, działanie 7.1 </w:t>
      </w:r>
      <w:r w:rsidRPr="006D71C7">
        <w:rPr>
          <w:rStyle w:val="Uwydatnienie"/>
        </w:rPr>
        <w:t>Modernizacja i rozbudowa sieci drogowej</w:t>
      </w:r>
      <w:r w:rsidRPr="006D71C7">
        <w:t xml:space="preserve">, poddziałanie 7.1.2 </w:t>
      </w:r>
      <w:r w:rsidRPr="006D71C7">
        <w:rPr>
          <w:rStyle w:val="Uwydatnienie"/>
        </w:rPr>
        <w:t>Modernizacja i rozbudowa infrastruktury uzupełniającej kluczową  sieć drogową</w:t>
      </w:r>
      <w:r w:rsidRPr="006D71C7">
        <w:t xml:space="preserve"> przeznaczono dodatkową kwotę w wysokości: środki EFRR - 8 757 251 EUR, środki wkładu krajowego - 1 545 397 EUR,</w:t>
      </w:r>
    </w:p>
    <w:p w14:paraId="44D7BB51" w14:textId="77777777" w:rsidR="00CF7E0B" w:rsidRPr="00567379" w:rsidRDefault="00CF7E0B" w:rsidP="00CF7E0B">
      <w:pPr>
        <w:pStyle w:val="Tekstpodstawowywcity"/>
        <w:numPr>
          <w:ilvl w:val="0"/>
          <w:numId w:val="83"/>
        </w:numPr>
        <w:spacing w:after="0"/>
        <w:ind w:left="567" w:hanging="357"/>
        <w:jc w:val="both"/>
      </w:pPr>
      <w:r w:rsidRPr="006D71C7">
        <w:t>29 listopada 2011 r. uzupełniono listę rezerwową  projektów realizowanych w celu odbudowy infrastruktury zniszczonej na skutek powodzi, zaakceptowaną przez MRR, zgodnie z pismem z 2 listopada 2011 r. o sygn. DKR-II-82625-12-MSZ/11.</w:t>
      </w:r>
    </w:p>
    <w:p w14:paraId="2339DB42" w14:textId="77777777" w:rsidR="00CF7E0B" w:rsidRDefault="00CF7E0B" w:rsidP="00CF7E0B">
      <w:pPr>
        <w:pStyle w:val="Akapitzlist"/>
        <w:numPr>
          <w:ilvl w:val="0"/>
          <w:numId w:val="82"/>
        </w:numPr>
        <w:autoSpaceDE w:val="0"/>
        <w:autoSpaceDN w:val="0"/>
        <w:adjustRightInd w:val="0"/>
        <w:spacing w:after="0"/>
        <w:ind w:left="567" w:hanging="357"/>
        <w:jc w:val="both"/>
        <w:rPr>
          <w:rFonts w:eastAsia="Calibri"/>
          <w:color w:val="000000"/>
          <w:szCs w:val="24"/>
        </w:rPr>
      </w:pPr>
      <w:r>
        <w:rPr>
          <w:rFonts w:eastAsia="Calibri"/>
          <w:color w:val="000000"/>
          <w:szCs w:val="24"/>
        </w:rPr>
        <w:t>12 kwietnia 2012 r. c</w:t>
      </w:r>
      <w:r w:rsidRPr="005B0AC8">
        <w:rPr>
          <w:rFonts w:eastAsia="Calibri"/>
          <w:color w:val="000000"/>
          <w:szCs w:val="24"/>
        </w:rPr>
        <w:t xml:space="preserve">elem zagospodarowania oszczędności w ramach środków Powiatu Bieruńsko-Lędzińskiego przeznaczonych na usuwanie skutków powodzi, </w:t>
      </w:r>
      <w:r>
        <w:rPr>
          <w:rFonts w:eastAsia="Calibri"/>
          <w:color w:val="000000"/>
          <w:szCs w:val="24"/>
        </w:rPr>
        <w:t>przesunięto</w:t>
      </w:r>
      <w:r w:rsidRPr="005B0AC8">
        <w:rPr>
          <w:rFonts w:eastAsia="Calibri"/>
          <w:color w:val="000000"/>
          <w:szCs w:val="24"/>
        </w:rPr>
        <w:t xml:space="preserve"> projekt pn. </w:t>
      </w:r>
      <w:r w:rsidRPr="005B0AC8">
        <w:rPr>
          <w:rFonts w:eastAsia="Calibri"/>
          <w:i/>
          <w:color w:val="000000"/>
          <w:szCs w:val="24"/>
        </w:rPr>
        <w:t>Przebudowa drogi powiatowej 5905S</w:t>
      </w:r>
      <w:r>
        <w:rPr>
          <w:rFonts w:eastAsia="Calibri"/>
          <w:i/>
          <w:color w:val="000000"/>
          <w:szCs w:val="24"/>
        </w:rPr>
        <w:t xml:space="preserve">, ul. Bojszowskiej w Bieruniu </w:t>
      </w:r>
      <w:r>
        <w:rPr>
          <w:rFonts w:eastAsia="Calibri"/>
          <w:i/>
          <w:color w:val="000000"/>
          <w:szCs w:val="24"/>
        </w:rPr>
        <w:lastRenderedPageBreak/>
        <w:t>z </w:t>
      </w:r>
      <w:r w:rsidRPr="005B0AC8">
        <w:rPr>
          <w:rFonts w:eastAsia="Calibri"/>
          <w:i/>
          <w:color w:val="000000"/>
          <w:szCs w:val="24"/>
        </w:rPr>
        <w:t>zastosowaniem „cichych asfaltów”</w:t>
      </w:r>
      <w:r>
        <w:rPr>
          <w:rFonts w:eastAsia="Calibri"/>
          <w:color w:val="000000"/>
          <w:szCs w:val="24"/>
        </w:rPr>
        <w:t xml:space="preserve"> z listy projektów rezerwowych na l</w:t>
      </w:r>
      <w:r w:rsidRPr="005B0AC8">
        <w:rPr>
          <w:rFonts w:eastAsia="Calibri"/>
          <w:color w:val="000000"/>
          <w:szCs w:val="24"/>
        </w:rPr>
        <w:t>istę projektów realizowanych w celu odbudowy infrastruktur</w:t>
      </w:r>
      <w:r>
        <w:rPr>
          <w:rFonts w:eastAsia="Calibri"/>
          <w:color w:val="000000"/>
          <w:szCs w:val="24"/>
        </w:rPr>
        <w:t>y zniszczonej na skutek powodzi,</w:t>
      </w:r>
      <w:r w:rsidRPr="005B0AC8">
        <w:rPr>
          <w:rFonts w:eastAsia="Calibri"/>
          <w:color w:val="000000"/>
          <w:szCs w:val="24"/>
        </w:rPr>
        <w:t xml:space="preserve"> </w:t>
      </w:r>
    </w:p>
    <w:p w14:paraId="7D9D3BBA" w14:textId="77777777" w:rsidR="00CF7E0B" w:rsidRPr="00567379" w:rsidRDefault="00CF7E0B" w:rsidP="00CF7E0B">
      <w:pPr>
        <w:pStyle w:val="Akapitzlist"/>
        <w:numPr>
          <w:ilvl w:val="0"/>
          <w:numId w:val="82"/>
        </w:numPr>
        <w:autoSpaceDE w:val="0"/>
        <w:autoSpaceDN w:val="0"/>
        <w:adjustRightInd w:val="0"/>
        <w:spacing w:after="0"/>
        <w:ind w:left="567" w:hanging="357"/>
        <w:jc w:val="both"/>
        <w:rPr>
          <w:rFonts w:eastAsia="Calibri"/>
          <w:color w:val="000000"/>
          <w:szCs w:val="24"/>
        </w:rPr>
      </w:pPr>
      <w:r w:rsidRPr="005B0AC8">
        <w:t xml:space="preserve">23 października 2012 r. </w:t>
      </w:r>
      <w:r w:rsidRPr="00567379">
        <w:rPr>
          <w:rFonts w:eastAsia="Calibri"/>
        </w:rPr>
        <w:t xml:space="preserve">w związku z oszczędnościami w ramach środków Powiatu Bieruńsko-Lędzińskiego przeznaczonych na usuwanie skutków powodzi, przesunięto projekt pn. </w:t>
      </w:r>
      <w:r w:rsidRPr="00567379">
        <w:rPr>
          <w:rFonts w:eastAsia="Calibri"/>
          <w:i/>
        </w:rPr>
        <w:t>Przebudowa drogi powiatowej 5908S, ul. Lędzińskiej w Bieruniu z zastosowaniem „cichych asfaltów”</w:t>
      </w:r>
      <w:r w:rsidRPr="00567379">
        <w:rPr>
          <w:rFonts w:eastAsia="Calibri"/>
        </w:rPr>
        <w:t xml:space="preserve"> z listy projektów rezerwowych na listę projektów realizowanych w celu odbudowy infrastruktury</w:t>
      </w:r>
      <w:r>
        <w:rPr>
          <w:rFonts w:eastAsia="Calibri"/>
        </w:rPr>
        <w:t xml:space="preserve"> zniszczonej na skutek powodzi,</w:t>
      </w:r>
    </w:p>
    <w:p w14:paraId="01CF1E3B" w14:textId="77777777" w:rsidR="0060435E" w:rsidRPr="0060435E" w:rsidRDefault="00CF7E0B" w:rsidP="0060435E">
      <w:pPr>
        <w:pStyle w:val="Akapitzlist"/>
        <w:numPr>
          <w:ilvl w:val="0"/>
          <w:numId w:val="82"/>
        </w:numPr>
        <w:autoSpaceDE w:val="0"/>
        <w:autoSpaceDN w:val="0"/>
        <w:adjustRightInd w:val="0"/>
        <w:spacing w:after="0"/>
        <w:ind w:left="567" w:hanging="357"/>
        <w:jc w:val="both"/>
        <w:rPr>
          <w:rFonts w:eastAsia="Calibri"/>
          <w:color w:val="000000"/>
          <w:szCs w:val="24"/>
        </w:rPr>
      </w:pPr>
      <w:r w:rsidRPr="00567379">
        <w:rPr>
          <w:rFonts w:eastAsia="Calibri"/>
          <w:szCs w:val="24"/>
          <w:lang w:eastAsia="en-US"/>
        </w:rPr>
        <w:t xml:space="preserve">28 lutego 2013r. zaktualizowano wartości projektów oraz usunięto z listy projekt kluczowy pn. </w:t>
      </w:r>
      <w:r w:rsidRPr="00567379">
        <w:rPr>
          <w:rFonts w:eastAsia="Calibri"/>
          <w:i/>
          <w:szCs w:val="24"/>
          <w:lang w:eastAsia="en-US"/>
        </w:rPr>
        <w:t>Budowa nowoczesnej hali widowiskowo-sportowej Podium</w:t>
      </w:r>
      <w:r>
        <w:rPr>
          <w:rFonts w:eastAsia="Calibri"/>
          <w:szCs w:val="24"/>
          <w:lang w:eastAsia="en-US"/>
        </w:rPr>
        <w:t>,</w:t>
      </w:r>
    </w:p>
    <w:p w14:paraId="4644DB0D" w14:textId="536033E0" w:rsidR="00CF7E0B" w:rsidRPr="0060435E" w:rsidRDefault="00CF7E0B" w:rsidP="0060435E">
      <w:pPr>
        <w:pStyle w:val="Akapitzlist"/>
        <w:numPr>
          <w:ilvl w:val="0"/>
          <w:numId w:val="82"/>
        </w:numPr>
        <w:autoSpaceDE w:val="0"/>
        <w:autoSpaceDN w:val="0"/>
        <w:adjustRightInd w:val="0"/>
        <w:spacing w:after="0"/>
        <w:ind w:left="567" w:hanging="357"/>
        <w:jc w:val="both"/>
        <w:rPr>
          <w:rFonts w:eastAsia="Calibri"/>
          <w:color w:val="000000"/>
          <w:szCs w:val="24"/>
        </w:rPr>
      </w:pPr>
      <w:r w:rsidRPr="0060435E">
        <w:rPr>
          <w:color w:val="000000"/>
          <w:szCs w:val="24"/>
        </w:rPr>
        <w:t>8  kwietnia 2014 r. trzy projekty zostały wprowadzone na listę podstawową oraz trzy na listę rezerwową.</w:t>
      </w:r>
      <w:r w:rsidR="001220BB" w:rsidRPr="0060435E">
        <w:rPr>
          <w:szCs w:val="24"/>
        </w:rPr>
        <w:t xml:space="preserve"> Ponadto </w:t>
      </w:r>
      <w:r w:rsidR="001220BB">
        <w:t>przesunięto</w:t>
      </w:r>
      <w:r w:rsidR="001220BB" w:rsidRPr="001220BB">
        <w:t xml:space="preserve"> z listy rezerwo</w:t>
      </w:r>
      <w:r w:rsidR="001220BB">
        <w:t>wej na listę podstawową projekt</w:t>
      </w:r>
      <w:r w:rsidR="001220BB" w:rsidRPr="001220BB">
        <w:t xml:space="preserve"> pn.: „Przebudowa skrzyżowania drogi powiatowej (4426 S) ul. Bielskiej z ulicami Zabrzeską, Bronowską i Wapienicką w Ligocie” – z uwagi na podjęcie decyzji o wyborze projektu do dofinansowania</w:t>
      </w:r>
      <w:r w:rsidR="001220BB">
        <w:t xml:space="preserve"> oraz </w:t>
      </w:r>
      <w:r w:rsidR="001220BB" w:rsidRPr="0060435E">
        <w:rPr>
          <w:szCs w:val="24"/>
        </w:rPr>
        <w:t>wykreślono z listy rezerwowej projekt pn.: „Przebudowa ul. Kopernika 4450S w Czechowicach – Dziedzicach” w związku z rezygnacją Wnios</w:t>
      </w:r>
      <w:r w:rsidR="0060435E" w:rsidRPr="0060435E">
        <w:rPr>
          <w:szCs w:val="24"/>
        </w:rPr>
        <w:t xml:space="preserve">kodawcy z realizacji inwestycji. </w:t>
      </w:r>
      <w:r w:rsidR="0060435E">
        <w:rPr>
          <w:szCs w:val="24"/>
        </w:rPr>
        <w:t>Doprecyzowano</w:t>
      </w:r>
      <w:r w:rsidR="0060435E" w:rsidRPr="0060435E">
        <w:rPr>
          <w:szCs w:val="24"/>
        </w:rPr>
        <w:t xml:space="preserve">, jaki odcinek projektu </w:t>
      </w:r>
      <w:r w:rsidR="0060435E">
        <w:rPr>
          <w:i/>
          <w:szCs w:val="24"/>
        </w:rPr>
        <w:t>K</w:t>
      </w:r>
      <w:r w:rsidR="0060435E" w:rsidRPr="0060435E">
        <w:rPr>
          <w:i/>
          <w:szCs w:val="24"/>
        </w:rPr>
        <w:t>ontynuacja budowy</w:t>
      </w:r>
      <w:r w:rsidR="0060435E" w:rsidRPr="0060435E">
        <w:rPr>
          <w:b/>
          <w:szCs w:val="24"/>
        </w:rPr>
        <w:t xml:space="preserve"> </w:t>
      </w:r>
      <w:r w:rsidR="0060435E" w:rsidRPr="0060435E">
        <w:rPr>
          <w:i/>
          <w:szCs w:val="24"/>
        </w:rPr>
        <w:t xml:space="preserve">drogowej trasy średnicowej „zachód” – odcinek Zabrze – </w:t>
      </w:r>
      <w:r w:rsidR="0060435E">
        <w:rPr>
          <w:i/>
          <w:szCs w:val="24"/>
        </w:rPr>
        <w:t xml:space="preserve">Gliwice </w:t>
      </w:r>
      <w:r w:rsidR="0060435E" w:rsidRPr="0060435E">
        <w:rPr>
          <w:szCs w:val="24"/>
        </w:rPr>
        <w:t>realizowany będzie w ramach RPO WSL,</w:t>
      </w:r>
    </w:p>
    <w:p w14:paraId="7A49418F" w14:textId="79707B61" w:rsidR="00CF7E0B" w:rsidRPr="00567379" w:rsidRDefault="00CF7E0B" w:rsidP="00CF7E0B">
      <w:pPr>
        <w:pStyle w:val="Akapitzlist"/>
        <w:numPr>
          <w:ilvl w:val="0"/>
          <w:numId w:val="82"/>
        </w:numPr>
        <w:autoSpaceDE w:val="0"/>
        <w:autoSpaceDN w:val="0"/>
        <w:adjustRightInd w:val="0"/>
        <w:spacing w:after="120"/>
        <w:ind w:left="567" w:hanging="357"/>
        <w:jc w:val="both"/>
        <w:rPr>
          <w:rFonts w:eastAsia="Calibri"/>
          <w:color w:val="000000"/>
          <w:szCs w:val="24"/>
        </w:rPr>
      </w:pPr>
      <w:r>
        <w:rPr>
          <w:color w:val="000000"/>
          <w:szCs w:val="24"/>
        </w:rPr>
        <w:t xml:space="preserve">15 września 2015 r. </w:t>
      </w:r>
      <w:r>
        <w:t xml:space="preserve">wykreślono projekt </w:t>
      </w:r>
      <w:r w:rsidRPr="00CF7E0B">
        <w:rPr>
          <w:i/>
        </w:rPr>
        <w:t>Przebudowa oraz rozbudowa ul. Równoległej 1193 m w km 0+000 do 0+1193</w:t>
      </w:r>
      <w:r>
        <w:t xml:space="preserve"> z listy rezerwowej projektów realizowanych w celu odbudowy infrastruktury zniszczonej na skutek powodzi.</w:t>
      </w:r>
    </w:p>
    <w:p w14:paraId="7AFE45EB" w14:textId="77777777" w:rsidR="00240B07" w:rsidRPr="005D7E36" w:rsidRDefault="00240B07" w:rsidP="0094320D">
      <w:pPr>
        <w:pStyle w:val="Tekstpodstawowywcity"/>
        <w:spacing w:after="0"/>
        <w:ind w:left="0"/>
        <w:jc w:val="both"/>
        <w:rPr>
          <w:b/>
          <w:szCs w:val="24"/>
        </w:rPr>
      </w:pPr>
      <w:r w:rsidRPr="005D7E36">
        <w:rPr>
          <w:b/>
          <w:szCs w:val="24"/>
        </w:rPr>
        <w:t xml:space="preserve">Porozumienie </w:t>
      </w:r>
    </w:p>
    <w:p w14:paraId="29318106" w14:textId="446ACF9F" w:rsidR="00E82270" w:rsidRPr="00E82270" w:rsidRDefault="00240B07" w:rsidP="00E82270">
      <w:pPr>
        <w:tabs>
          <w:tab w:val="num" w:pos="0"/>
        </w:tabs>
        <w:spacing w:after="120"/>
        <w:jc w:val="both"/>
        <w:rPr>
          <w:szCs w:val="24"/>
        </w:rPr>
      </w:pPr>
      <w:r w:rsidRPr="005D7E36">
        <w:rPr>
          <w:i/>
          <w:szCs w:val="24"/>
        </w:rPr>
        <w:t>Porozumienie nr 115/RR/2007 z dnia 31 października 2007 roku zawarte pomiędzy Zarządem Województwa Śląskiego a Śląskim Centrum Przedsiębiorczości w sprawie zasad realizacji RPO WSL (</w:t>
      </w:r>
      <w:r w:rsidR="009B0879" w:rsidRPr="005D7E36">
        <w:rPr>
          <w:szCs w:val="24"/>
        </w:rPr>
        <w:t>zwane</w:t>
      </w:r>
      <w:r w:rsidRPr="005D7E36">
        <w:rPr>
          <w:szCs w:val="24"/>
        </w:rPr>
        <w:t xml:space="preserve"> dalej</w:t>
      </w:r>
      <w:r w:rsidRPr="005D7E36">
        <w:rPr>
          <w:i/>
          <w:szCs w:val="24"/>
        </w:rPr>
        <w:t xml:space="preserve"> Porozumieniem),</w:t>
      </w:r>
      <w:r w:rsidRPr="005D7E36">
        <w:rPr>
          <w:szCs w:val="24"/>
        </w:rPr>
        <w:t xml:space="preserve"> określa szczegółowe zadania IP2 RPO WSL objęte środkami </w:t>
      </w:r>
      <w:r w:rsidRPr="005D7E36">
        <w:rPr>
          <w:i/>
          <w:szCs w:val="24"/>
        </w:rPr>
        <w:t>Programu</w:t>
      </w:r>
      <w:r w:rsidRPr="005D7E36">
        <w:rPr>
          <w:szCs w:val="24"/>
        </w:rPr>
        <w:t>, warunki przekazania środków o</w:t>
      </w:r>
      <w:r w:rsidR="00460F53" w:rsidRPr="005D7E36">
        <w:rPr>
          <w:szCs w:val="24"/>
        </w:rPr>
        <w:t>raz sposób wykonywania przez IZ </w:t>
      </w:r>
      <w:r w:rsidRPr="005D7E36">
        <w:rPr>
          <w:szCs w:val="24"/>
        </w:rPr>
        <w:t xml:space="preserve">RPO WSL nadzoru nad prawidłowością wykorzystania przekazanych środków. </w:t>
      </w:r>
      <w:r w:rsidR="00E82270" w:rsidRPr="000F4C93">
        <w:t xml:space="preserve">W okresie </w:t>
      </w:r>
      <w:r w:rsidR="00E82270">
        <w:t>wdrażania</w:t>
      </w:r>
      <w:r w:rsidR="00E82270" w:rsidRPr="000F4C93">
        <w:t xml:space="preserve"> RPO WSL 2007-2013 </w:t>
      </w:r>
      <w:r w:rsidR="00E82270" w:rsidRPr="00E82270">
        <w:rPr>
          <w:i/>
        </w:rPr>
        <w:t>Porozumienie</w:t>
      </w:r>
      <w:r w:rsidR="00E82270" w:rsidRPr="000F4C93">
        <w:t xml:space="preserve"> było zmieniane poprzez podpisanie </w:t>
      </w:r>
      <w:r w:rsidR="00E82270">
        <w:t>kolejnych</w:t>
      </w:r>
      <w:r w:rsidR="00E82270" w:rsidRPr="000F4C93">
        <w:t xml:space="preserve"> aneksów</w:t>
      </w:r>
      <w:r w:rsidR="001F367B">
        <w:t xml:space="preserve"> a najważniejsze zmiany zostały wskazane poniżej</w:t>
      </w:r>
      <w:r w:rsidR="00E82270" w:rsidRPr="000F4C93">
        <w:t>:</w:t>
      </w:r>
    </w:p>
    <w:p w14:paraId="6B2F94D9" w14:textId="0AF9A5A8" w:rsidR="00E82270" w:rsidRPr="00E82270" w:rsidRDefault="00E8029D" w:rsidP="004914D8">
      <w:pPr>
        <w:pStyle w:val="Default"/>
        <w:numPr>
          <w:ilvl w:val="0"/>
          <w:numId w:val="57"/>
        </w:numPr>
        <w:spacing w:line="276" w:lineRule="auto"/>
        <w:jc w:val="both"/>
      </w:pPr>
      <w:r>
        <w:t>aneks nr 1</w:t>
      </w:r>
      <w:r w:rsidR="00E82270" w:rsidRPr="00E82270">
        <w:t xml:space="preserve"> </w:t>
      </w:r>
      <w:r>
        <w:t xml:space="preserve">(został podpisany </w:t>
      </w:r>
      <w:r w:rsidR="00E82270" w:rsidRPr="00E82270">
        <w:t>12 sierpnia 2009 roku</w:t>
      </w:r>
      <w:r>
        <w:t>)</w:t>
      </w:r>
      <w:r w:rsidR="00E82270" w:rsidRPr="00E82270">
        <w:t>, w którym IZ RPO WSL powierzyło ŚCP realizację poddziałania 1.2.4 i dookreśliło zakres zadań</w:t>
      </w:r>
      <w:r>
        <w:t>,</w:t>
      </w:r>
      <w:r w:rsidR="00E82270" w:rsidRPr="00E82270">
        <w:t xml:space="preserve"> jakie zostały przekazane do wykonania, </w:t>
      </w:r>
    </w:p>
    <w:p w14:paraId="1B6E4896" w14:textId="5645B9B2" w:rsidR="00E82270" w:rsidRPr="00E82270" w:rsidRDefault="00E8029D" w:rsidP="004914D8">
      <w:pPr>
        <w:pStyle w:val="Akapitzlist"/>
        <w:numPr>
          <w:ilvl w:val="0"/>
          <w:numId w:val="57"/>
        </w:numPr>
        <w:spacing w:after="0"/>
        <w:jc w:val="both"/>
        <w:rPr>
          <w:szCs w:val="24"/>
        </w:rPr>
      </w:pPr>
      <w:r>
        <w:rPr>
          <w:szCs w:val="24"/>
        </w:rPr>
        <w:t>aneks nr 2 (</w:t>
      </w:r>
      <w:r w:rsidR="00591C17">
        <w:rPr>
          <w:szCs w:val="24"/>
        </w:rPr>
        <w:t>26</w:t>
      </w:r>
      <w:r>
        <w:rPr>
          <w:szCs w:val="24"/>
        </w:rPr>
        <w:t xml:space="preserve"> lutego 2010 r.)</w:t>
      </w:r>
      <w:r w:rsidR="00E82270" w:rsidRPr="00E82270">
        <w:rPr>
          <w:szCs w:val="24"/>
        </w:rPr>
        <w:t>, który obejmował zmiany dotyczące przede wszystkim sposobu realizacji procedur finansowych, które były konsekwencją nowelizacji przepisów ustawy o finansach publicznych,</w:t>
      </w:r>
    </w:p>
    <w:p w14:paraId="70E370CA" w14:textId="04B1847F" w:rsidR="00E82270" w:rsidRPr="00591C17" w:rsidRDefault="00E8029D" w:rsidP="004914D8">
      <w:pPr>
        <w:pStyle w:val="Default"/>
        <w:numPr>
          <w:ilvl w:val="0"/>
          <w:numId w:val="57"/>
        </w:numPr>
        <w:spacing w:line="276" w:lineRule="auto"/>
        <w:jc w:val="both"/>
      </w:pPr>
      <w:r>
        <w:t>aneks nr 3 (</w:t>
      </w:r>
      <w:r w:rsidR="00591C17" w:rsidRPr="00591C17">
        <w:t>28 czerw</w:t>
      </w:r>
      <w:r w:rsidR="00591C17">
        <w:t>ca 2010 r.</w:t>
      </w:r>
      <w:r>
        <w:t>), gdzie z</w:t>
      </w:r>
      <w:r w:rsidR="00591C17">
        <w:t xml:space="preserve">większono alokację dla </w:t>
      </w:r>
      <w:r w:rsidR="00FA754D">
        <w:t>pod</w:t>
      </w:r>
      <w:r w:rsidR="00591C17">
        <w:t>d</w:t>
      </w:r>
      <w:r w:rsidR="00591C17" w:rsidRPr="00591C17">
        <w:t>ział</w:t>
      </w:r>
      <w:r>
        <w:t>ania 1.2.4 o </w:t>
      </w:r>
      <w:r w:rsidR="00591C17">
        <w:t>13 235 294 mln EUR</w:t>
      </w:r>
      <w:r w:rsidR="00E82270" w:rsidRPr="00591C17">
        <w:t>,</w:t>
      </w:r>
    </w:p>
    <w:p w14:paraId="606AEE77" w14:textId="43A07460" w:rsidR="00E82270" w:rsidRPr="00E82270" w:rsidRDefault="00E8029D" w:rsidP="004914D8">
      <w:pPr>
        <w:pStyle w:val="Akapitzlist"/>
        <w:numPr>
          <w:ilvl w:val="0"/>
          <w:numId w:val="57"/>
        </w:numPr>
        <w:spacing w:after="0"/>
        <w:jc w:val="both"/>
        <w:rPr>
          <w:szCs w:val="24"/>
        </w:rPr>
      </w:pPr>
      <w:r>
        <w:rPr>
          <w:szCs w:val="24"/>
        </w:rPr>
        <w:t>aneks nr 4 (23 marca 2011 r.)</w:t>
      </w:r>
      <w:r w:rsidR="00E82270" w:rsidRPr="00E82270">
        <w:rPr>
          <w:szCs w:val="24"/>
        </w:rPr>
        <w:t>, w którym w związku z nierozdysponowaniem wszystkich środków w konkursie dla poddziałania 1.1.1 Infrastruktura rozwoju gospodarczego, podjęto decyzję o przesunięciu ww. środków do p</w:t>
      </w:r>
      <w:r>
        <w:rPr>
          <w:szCs w:val="24"/>
        </w:rPr>
        <w:t>oddziałania 1.2.4 Mikro, małe i </w:t>
      </w:r>
      <w:r w:rsidR="00E82270" w:rsidRPr="00E82270">
        <w:rPr>
          <w:szCs w:val="24"/>
        </w:rPr>
        <w:t>średnie przedsiębiorstwa,</w:t>
      </w:r>
    </w:p>
    <w:p w14:paraId="014B3974" w14:textId="3B8AF054" w:rsidR="00E82270" w:rsidRPr="00E82270" w:rsidRDefault="00E8029D" w:rsidP="004914D8">
      <w:pPr>
        <w:pStyle w:val="Akapitzlist"/>
        <w:numPr>
          <w:ilvl w:val="0"/>
          <w:numId w:val="57"/>
        </w:numPr>
        <w:spacing w:after="0"/>
        <w:jc w:val="both"/>
        <w:rPr>
          <w:szCs w:val="24"/>
        </w:rPr>
      </w:pPr>
      <w:r>
        <w:rPr>
          <w:szCs w:val="24"/>
        </w:rPr>
        <w:t>aneks nr 5 (29 listopada 2011 r.)</w:t>
      </w:r>
      <w:r w:rsidR="00E82270" w:rsidRPr="00E82270">
        <w:rPr>
          <w:szCs w:val="24"/>
        </w:rPr>
        <w:t xml:space="preserve">, w którym w związku z nierozdysponowaniem wszystkich środków w konkursie dla poddziałania 1.2.1 Mikroprzedsiębiorstwa, </w:t>
      </w:r>
      <w:r w:rsidR="00E82270" w:rsidRPr="00E82270">
        <w:rPr>
          <w:szCs w:val="24"/>
        </w:rPr>
        <w:lastRenderedPageBreak/>
        <w:t>podjęto decyzję o przesunięciu ww. środków do poddziałania 1.2.4 Mikro, małe i średnie przedsiębiorstwa oraz wprowadzono zmiany w treści §9 Porozumienia wynikające z konieczności ujednolicenia zapisów z Wytycznymi IZ RPO WSL dla IP2 RPO WSL oraz Podręcznika procedur wdrażania IP2 RPO WSL,</w:t>
      </w:r>
    </w:p>
    <w:p w14:paraId="3DE7D209" w14:textId="574E2362" w:rsidR="00E82270" w:rsidRPr="00591C17" w:rsidRDefault="00E8029D" w:rsidP="004914D8">
      <w:pPr>
        <w:pStyle w:val="Akapitzlist"/>
        <w:numPr>
          <w:ilvl w:val="0"/>
          <w:numId w:val="57"/>
        </w:numPr>
        <w:spacing w:after="120"/>
        <w:jc w:val="both"/>
        <w:rPr>
          <w:i/>
          <w:szCs w:val="24"/>
        </w:rPr>
      </w:pPr>
      <w:r>
        <w:rPr>
          <w:szCs w:val="24"/>
        </w:rPr>
        <w:t>aneks nr 6 (26 marca 2012 r.)</w:t>
      </w:r>
      <w:r w:rsidR="00E82270" w:rsidRPr="00E82270">
        <w:rPr>
          <w:szCs w:val="24"/>
        </w:rPr>
        <w:t xml:space="preserve">, </w:t>
      </w:r>
      <w:r w:rsidR="00E82270" w:rsidRPr="00E8029D">
        <w:rPr>
          <w:szCs w:val="24"/>
        </w:rPr>
        <w:t>w którym przesunięto uwolnione środki z poddziałania 1.2.2 MSP do poddziałania 1.2.4 Mikro, małe i średnie przedsiębiorstwa, zwiększono środki na pomoc techniczną przeznaczone na</w:t>
      </w:r>
      <w:r w:rsidR="00E82270" w:rsidRPr="00E82270">
        <w:rPr>
          <w:szCs w:val="24"/>
        </w:rPr>
        <w:t xml:space="preserve"> funkcjonowanie Śląsk</w:t>
      </w:r>
      <w:r w:rsidR="00591C17">
        <w:rPr>
          <w:szCs w:val="24"/>
        </w:rPr>
        <w:t>iego Centrum Przedsiębiorczości oraz</w:t>
      </w:r>
      <w:r w:rsidR="00591C17" w:rsidRPr="00591C17">
        <w:rPr>
          <w:rFonts w:ascii="Arial" w:hAnsi="Arial" w:cs="Arial"/>
          <w:color w:val="000000"/>
        </w:rPr>
        <w:t xml:space="preserve"> </w:t>
      </w:r>
      <w:r w:rsidR="00591C17" w:rsidRPr="00591C17">
        <w:rPr>
          <w:color w:val="000000"/>
          <w:szCs w:val="24"/>
        </w:rPr>
        <w:t xml:space="preserve">dokonano zmiany w zapisie </w:t>
      </w:r>
      <w:r w:rsidR="00591C17" w:rsidRPr="00591C17">
        <w:rPr>
          <w:i/>
          <w:color w:val="000000"/>
          <w:szCs w:val="24"/>
        </w:rPr>
        <w:t>Algorytmu przeliczania środków budżetu Państwa,</w:t>
      </w:r>
    </w:p>
    <w:p w14:paraId="01717446" w14:textId="49A4FDD1" w:rsidR="00E82270" w:rsidRPr="00E82270" w:rsidRDefault="00E8029D" w:rsidP="004914D8">
      <w:pPr>
        <w:pStyle w:val="Akapitzlist"/>
        <w:numPr>
          <w:ilvl w:val="0"/>
          <w:numId w:val="57"/>
        </w:numPr>
        <w:spacing w:after="240"/>
        <w:jc w:val="both"/>
        <w:rPr>
          <w:b/>
          <w:szCs w:val="24"/>
        </w:rPr>
      </w:pPr>
      <w:r>
        <w:rPr>
          <w:szCs w:val="24"/>
        </w:rPr>
        <w:t>aneks nr 7 (10 września 2012 r.)</w:t>
      </w:r>
      <w:r w:rsidR="00E82270" w:rsidRPr="00E82270">
        <w:rPr>
          <w:szCs w:val="24"/>
        </w:rPr>
        <w:t xml:space="preserve">, </w:t>
      </w:r>
      <w:r w:rsidR="00E82270" w:rsidRPr="00E8029D">
        <w:rPr>
          <w:szCs w:val="24"/>
        </w:rPr>
        <w:t>w którym przesunięto uwolnione środki z poddziałania 1.2.1 Mikroprzedsiębiorstwa do poddziałania 1.2.4 Mikro, małe i średnie przedsiębiorstwa, ponadto w treści Porozumienia dodano zapisy dotyczące wydawania przez Śląskie Centrum Przedsiębiorczości</w:t>
      </w:r>
      <w:r w:rsidR="00E82270" w:rsidRPr="00E82270">
        <w:rPr>
          <w:szCs w:val="24"/>
        </w:rPr>
        <w:t xml:space="preserve"> decyzji administracyjnych o zwrocie środków wykorzystanych niezgodnie z przeznaczeniem lub z naruszeniem procedur, jak również odzyskiwanie</w:t>
      </w:r>
      <w:r>
        <w:rPr>
          <w:szCs w:val="24"/>
        </w:rPr>
        <w:t>m</w:t>
      </w:r>
      <w:r w:rsidR="00E82270" w:rsidRPr="00E82270">
        <w:rPr>
          <w:szCs w:val="24"/>
        </w:rPr>
        <w:t xml:space="preserve"> kwot nienależnie wypłaconych beneficjentom,</w:t>
      </w:r>
    </w:p>
    <w:p w14:paraId="78864791" w14:textId="749CFD85" w:rsidR="00E82270" w:rsidRPr="00E82270" w:rsidRDefault="00E82270" w:rsidP="004914D8">
      <w:pPr>
        <w:pStyle w:val="Akapitzlist"/>
        <w:numPr>
          <w:ilvl w:val="0"/>
          <w:numId w:val="57"/>
        </w:numPr>
        <w:spacing w:after="0"/>
        <w:jc w:val="both"/>
        <w:rPr>
          <w:szCs w:val="24"/>
        </w:rPr>
      </w:pPr>
      <w:r w:rsidRPr="00E82270">
        <w:rPr>
          <w:szCs w:val="24"/>
        </w:rPr>
        <w:t>aneks nr</w:t>
      </w:r>
      <w:r w:rsidR="00E8029D">
        <w:rPr>
          <w:szCs w:val="24"/>
        </w:rPr>
        <w:t xml:space="preserve"> 8 (28 lutego 2013 r.)</w:t>
      </w:r>
      <w:r w:rsidRPr="00E82270">
        <w:rPr>
          <w:szCs w:val="24"/>
        </w:rPr>
        <w:t>, w którym usunięto zapisy stanowiące o kwotach przeznaczonych na poszczególne poddziałania realizowane przez IP2 RPO WSL, ponadto dodano zapisy doprecyzowujące uprawnienia i obowiązki wydawania przez Śląskie Centrum Przedsiębiorczości decyzji administracyjnych o zwrocie środków wykorzystanych niezgodnie z przeznaczeniem lub z naruszeniem procedur, jak również odzyskiwanie</w:t>
      </w:r>
      <w:r w:rsidR="003973CE">
        <w:rPr>
          <w:szCs w:val="24"/>
        </w:rPr>
        <w:t>m</w:t>
      </w:r>
      <w:r w:rsidRPr="00E82270">
        <w:rPr>
          <w:szCs w:val="24"/>
        </w:rPr>
        <w:t xml:space="preserve"> kwot nienależnie wypłaconych beneficjentom,</w:t>
      </w:r>
    </w:p>
    <w:p w14:paraId="527470F9" w14:textId="2874EB9F" w:rsidR="00E82270" w:rsidRPr="003973CE" w:rsidRDefault="003973CE" w:rsidP="00951D3C">
      <w:pPr>
        <w:pStyle w:val="Akapitzlist"/>
        <w:numPr>
          <w:ilvl w:val="0"/>
          <w:numId w:val="57"/>
        </w:numPr>
        <w:spacing w:after="120"/>
        <w:ind w:left="714" w:hanging="357"/>
        <w:jc w:val="both"/>
        <w:rPr>
          <w:szCs w:val="24"/>
        </w:rPr>
      </w:pPr>
      <w:r>
        <w:rPr>
          <w:szCs w:val="24"/>
        </w:rPr>
        <w:t>aneks nr 9 (27 września 2013 r.)</w:t>
      </w:r>
      <w:r w:rsidR="00E82270" w:rsidRPr="00E82270">
        <w:rPr>
          <w:szCs w:val="24"/>
        </w:rPr>
        <w:t xml:space="preserve">, w którym zwiększono </w:t>
      </w:r>
      <w:r w:rsidR="00E82270" w:rsidRPr="003973CE">
        <w:rPr>
          <w:szCs w:val="24"/>
        </w:rPr>
        <w:t>alokację na działanie 1.2 Mikroprzedsiębiorstwa i MSP.</w:t>
      </w:r>
    </w:p>
    <w:p w14:paraId="65CE2A88" w14:textId="77777777" w:rsidR="00240B07" w:rsidRPr="005D7E36" w:rsidRDefault="00240B07" w:rsidP="00E82270">
      <w:pPr>
        <w:spacing w:after="0"/>
        <w:jc w:val="both"/>
        <w:rPr>
          <w:b/>
          <w:szCs w:val="24"/>
        </w:rPr>
      </w:pPr>
      <w:r w:rsidRPr="005D7E36">
        <w:rPr>
          <w:b/>
          <w:szCs w:val="24"/>
        </w:rPr>
        <w:t>Opis Systemu Zarządzania i Kontroli RPO WSL</w:t>
      </w:r>
    </w:p>
    <w:p w14:paraId="5CE5F64C" w14:textId="287FEDE2" w:rsidR="00EC634E" w:rsidRDefault="00240B07" w:rsidP="00E82270">
      <w:pPr>
        <w:jc w:val="both"/>
      </w:pPr>
      <w:r w:rsidRPr="005D7E36">
        <w:rPr>
          <w:szCs w:val="24"/>
        </w:rPr>
        <w:t>Pierwsza wersja dokumentu przyjęta została uchwałą Zarząd</w:t>
      </w:r>
      <w:r w:rsidR="006F2CDD" w:rsidRPr="005D7E36">
        <w:rPr>
          <w:szCs w:val="24"/>
        </w:rPr>
        <w:t>u Województwa Śląskiego</w:t>
      </w:r>
      <w:r w:rsidR="003973CE">
        <w:rPr>
          <w:szCs w:val="24"/>
        </w:rPr>
        <w:t xml:space="preserve"> z</w:t>
      </w:r>
      <w:r w:rsidR="006F2CDD" w:rsidRPr="005D7E36">
        <w:rPr>
          <w:szCs w:val="24"/>
        </w:rPr>
        <w:t xml:space="preserve"> dnia 27 </w:t>
      </w:r>
      <w:r w:rsidRPr="005D7E36">
        <w:rPr>
          <w:szCs w:val="24"/>
        </w:rPr>
        <w:t xml:space="preserve">grudnia 2007 roku. </w:t>
      </w:r>
      <w:r w:rsidR="00EC634E" w:rsidRPr="000F4C93">
        <w:t xml:space="preserve">W okresie </w:t>
      </w:r>
      <w:r w:rsidR="00EC634E">
        <w:t>wdrażania RPO WSL 2007-2013 dokument był aktualizowany, a do najważniejszych zmian należy zaliczyć:</w:t>
      </w:r>
    </w:p>
    <w:p w14:paraId="13FB0CA7" w14:textId="16ECF542" w:rsidR="00E82270" w:rsidRDefault="00EC634E" w:rsidP="004914D8">
      <w:pPr>
        <w:pStyle w:val="Akapitzlist"/>
        <w:numPr>
          <w:ilvl w:val="0"/>
          <w:numId w:val="56"/>
        </w:numPr>
        <w:spacing w:after="160"/>
        <w:jc w:val="both"/>
      </w:pPr>
      <w:r>
        <w:t>zmiany zapisów w związku z doprecyzowaniem zadań i funkcji realizowanych przez IZ RPO WSL, IP2 RPO W</w:t>
      </w:r>
      <w:r w:rsidR="00E82270">
        <w:t>SL, IC oraz Instytucję Audytową</w:t>
      </w:r>
      <w:r>
        <w:t xml:space="preserve"> </w:t>
      </w:r>
      <w:r w:rsidR="00E82270">
        <w:t>(zmiany</w:t>
      </w:r>
      <w:r>
        <w:t xml:space="preserve"> </w:t>
      </w:r>
      <w:r w:rsidRPr="00E82270">
        <w:rPr>
          <w:i/>
        </w:rPr>
        <w:t xml:space="preserve">Regulaminu Organizacyjnego Instytucji Zarządzającej RPO WSL </w:t>
      </w:r>
      <w:r>
        <w:t xml:space="preserve">i </w:t>
      </w:r>
      <w:r w:rsidRPr="00E82270">
        <w:rPr>
          <w:i/>
        </w:rPr>
        <w:t>Regulaminu Organizacyjnego Instytucji Pośredniczącej Drugiego Stopnia RPO WSL</w:t>
      </w:r>
      <w:r w:rsidR="00E82270">
        <w:t>,</w:t>
      </w:r>
    </w:p>
    <w:p w14:paraId="5011BAD3" w14:textId="51B47D4D" w:rsidR="00EC634E" w:rsidRDefault="00E82270" w:rsidP="004914D8">
      <w:pPr>
        <w:pStyle w:val="Akapitzlist"/>
        <w:numPr>
          <w:ilvl w:val="0"/>
          <w:numId w:val="56"/>
        </w:numPr>
        <w:spacing w:after="160"/>
        <w:jc w:val="both"/>
      </w:pPr>
      <w:r>
        <w:t>zmiany</w:t>
      </w:r>
      <w:r w:rsidR="00EC634E">
        <w:t xml:space="preserve"> elementów systemu zarządzania i kontroli RPO WSL, które doprowadziły do</w:t>
      </w:r>
      <w:r w:rsidR="00D644E1">
        <w:t> </w:t>
      </w:r>
      <w:r w:rsidR="00EC634E">
        <w:t>konieczności dostosowania OSZiK do innych dokumentów programowych,</w:t>
      </w:r>
    </w:p>
    <w:p w14:paraId="53390CE3" w14:textId="1C0216AB" w:rsidR="00EC634E" w:rsidRDefault="00EC634E" w:rsidP="004914D8">
      <w:pPr>
        <w:pStyle w:val="Akapitzlist"/>
        <w:numPr>
          <w:ilvl w:val="0"/>
          <w:numId w:val="56"/>
        </w:numPr>
        <w:spacing w:after="160"/>
        <w:jc w:val="both"/>
      </w:pPr>
      <w:r>
        <w:t xml:space="preserve">wprowadzenie informacji dotyczących wdrażania </w:t>
      </w:r>
      <w:r w:rsidR="00E82270">
        <w:t>IIF</w:t>
      </w:r>
      <w:r>
        <w:t>,</w:t>
      </w:r>
    </w:p>
    <w:p w14:paraId="04657124" w14:textId="2BE7579C" w:rsidR="005A5A41" w:rsidRPr="00E82270" w:rsidRDefault="003973CE" w:rsidP="004914D8">
      <w:pPr>
        <w:pStyle w:val="Akapitzlist"/>
        <w:numPr>
          <w:ilvl w:val="0"/>
          <w:numId w:val="56"/>
        </w:numPr>
        <w:spacing w:after="160"/>
        <w:ind w:left="714" w:hanging="357"/>
        <w:jc w:val="both"/>
      </w:pPr>
      <w:r>
        <w:t>zmian</w:t>
      </w:r>
      <w:r w:rsidR="00263C92">
        <w:t>y</w:t>
      </w:r>
      <w:r>
        <w:t xml:space="preserve"> wynikające ze zmian</w:t>
      </w:r>
      <w:r w:rsidR="00263C92" w:rsidRPr="00263C92">
        <w:t xml:space="preserve"> wytycznych oraz ustaw (dopre</w:t>
      </w:r>
      <w:r w:rsidR="00263C92">
        <w:t>cyzowanie procedur związanych z </w:t>
      </w:r>
      <w:r w:rsidR="00263C92" w:rsidRPr="00263C92">
        <w:t>rozpatrywaniem protestów, ogłaszaniem konku</w:t>
      </w:r>
      <w:r w:rsidR="00263C92">
        <w:t>rsów, weryfikowaniem wniosków o </w:t>
      </w:r>
      <w:r w:rsidR="00263C92" w:rsidRPr="00263C92">
        <w:t>płatności oraz przeprowadzaniem kontroli)</w:t>
      </w:r>
      <w:r w:rsidR="00E82270">
        <w:t>.</w:t>
      </w:r>
    </w:p>
    <w:p w14:paraId="42B220C2" w14:textId="77777777" w:rsidR="00240B07" w:rsidRPr="005D7E36" w:rsidRDefault="00240B07" w:rsidP="00263C92">
      <w:pPr>
        <w:spacing w:after="0"/>
        <w:jc w:val="both"/>
        <w:rPr>
          <w:b/>
          <w:szCs w:val="24"/>
        </w:rPr>
      </w:pPr>
      <w:r w:rsidRPr="005D7E36">
        <w:rPr>
          <w:b/>
          <w:szCs w:val="24"/>
        </w:rPr>
        <w:t>Podręcznik Procedur Wdrażania RPO WSL</w:t>
      </w:r>
    </w:p>
    <w:p w14:paraId="72E38681" w14:textId="1DABF309" w:rsidR="00FD7C4B" w:rsidRDefault="00240B07" w:rsidP="00FD7C4B">
      <w:pPr>
        <w:jc w:val="both"/>
        <w:rPr>
          <w:bCs/>
          <w:szCs w:val="24"/>
        </w:rPr>
      </w:pPr>
      <w:r w:rsidRPr="005D7E36">
        <w:rPr>
          <w:szCs w:val="24"/>
        </w:rPr>
        <w:t xml:space="preserve">Pierwsza wersja dokumentu została przyjęta przez Zarząd Województwa Śląskiego 8 stycznia 2008 roku. </w:t>
      </w:r>
      <w:r w:rsidR="00FD7C4B" w:rsidRPr="005B6135">
        <w:rPr>
          <w:bCs/>
          <w:szCs w:val="24"/>
        </w:rPr>
        <w:t>Aktualizacji dokumentu dokonano poprzez przyjęcie kolejnych uchwał Zarządu Województwa Śląskiego</w:t>
      </w:r>
      <w:r w:rsidR="00FD7C4B">
        <w:rPr>
          <w:bCs/>
          <w:szCs w:val="24"/>
        </w:rPr>
        <w:t>. Najważniejsze zmiany dotyczyły:</w:t>
      </w:r>
    </w:p>
    <w:p w14:paraId="26F04157" w14:textId="4BF837C2" w:rsidR="00263C92" w:rsidRPr="00263C92" w:rsidRDefault="00263C92" w:rsidP="004914D8">
      <w:pPr>
        <w:pStyle w:val="Akapitzlist"/>
        <w:numPr>
          <w:ilvl w:val="0"/>
          <w:numId w:val="46"/>
        </w:numPr>
        <w:spacing w:before="120" w:after="120"/>
        <w:jc w:val="both"/>
      </w:pPr>
      <w:r>
        <w:lastRenderedPageBreak/>
        <w:t>aktualizacji i doprecyzowania</w:t>
      </w:r>
      <w:r w:rsidRPr="00263C92">
        <w:t xml:space="preserve"> zapisów dokumentu w związku ze zmianą </w:t>
      </w:r>
      <w:r w:rsidRPr="00263C92">
        <w:rPr>
          <w:i/>
        </w:rPr>
        <w:t>Regulaminu Organizacyjnego UM WSL</w:t>
      </w:r>
      <w:r w:rsidRPr="00263C92">
        <w:t>,</w:t>
      </w:r>
    </w:p>
    <w:p w14:paraId="3AF75CAF" w14:textId="642234DB" w:rsidR="00263C92" w:rsidRPr="00263C92" w:rsidRDefault="00263C92" w:rsidP="004914D8">
      <w:pPr>
        <w:pStyle w:val="Akapitzlist"/>
        <w:numPr>
          <w:ilvl w:val="0"/>
          <w:numId w:val="46"/>
        </w:numPr>
        <w:spacing w:before="120" w:after="120"/>
        <w:jc w:val="both"/>
      </w:pPr>
      <w:r>
        <w:t>aktualizacji</w:t>
      </w:r>
      <w:r w:rsidRPr="00263C92">
        <w:t xml:space="preserve"> w związku z otrzymanymi zaleceniam</w:t>
      </w:r>
      <w:r>
        <w:t>i pokontrolnymi od IPOC I UKS i </w:t>
      </w:r>
      <w:r w:rsidRPr="00263C92">
        <w:t>zmianami wytycznych oraz ustaw (dopre</w:t>
      </w:r>
      <w:r>
        <w:t>cyzowanie procedur związanych z </w:t>
      </w:r>
      <w:r w:rsidRPr="00263C92">
        <w:t>rozpatrywaniem protestów, ogłaszaniem konku</w:t>
      </w:r>
      <w:r>
        <w:t>rsów, weryfikowaniem wniosków o </w:t>
      </w:r>
      <w:r w:rsidRPr="00263C92">
        <w:t>płatności oraz przeprowadzaniem kontroli),</w:t>
      </w:r>
    </w:p>
    <w:p w14:paraId="3EAB7CA4" w14:textId="707329C5" w:rsidR="00263C92" w:rsidRPr="00263C92" w:rsidRDefault="00263C92" w:rsidP="004914D8">
      <w:pPr>
        <w:pStyle w:val="Akapitzlist"/>
        <w:numPr>
          <w:ilvl w:val="0"/>
          <w:numId w:val="46"/>
        </w:numPr>
        <w:spacing w:before="120" w:after="120"/>
        <w:jc w:val="both"/>
      </w:pPr>
      <w:r w:rsidRPr="00263C92">
        <w:t>d</w:t>
      </w:r>
      <w:r>
        <w:t>oprecyzowania</w:t>
      </w:r>
      <w:r w:rsidRPr="00263C92">
        <w:t xml:space="preserve"> procedury w zakresie analizy pod kątem pomocy publicznej, w trakcie poszczególnych etapów wdrażania,</w:t>
      </w:r>
    </w:p>
    <w:p w14:paraId="53D97BF7" w14:textId="30C2D10A" w:rsidR="00263C92" w:rsidRPr="00263C92" w:rsidRDefault="00263C92" w:rsidP="004914D8">
      <w:pPr>
        <w:pStyle w:val="Akapitzlist"/>
        <w:numPr>
          <w:ilvl w:val="0"/>
          <w:numId w:val="46"/>
        </w:numPr>
        <w:spacing w:before="120" w:after="120"/>
        <w:jc w:val="both"/>
      </w:pPr>
      <w:r>
        <w:t>doprecyzowania</w:t>
      </w:r>
      <w:r w:rsidRPr="00263C92">
        <w:t xml:space="preserve"> procedury w zakresie zapobiegania podwójnemu finansowaniu tych samych wydatków,</w:t>
      </w:r>
    </w:p>
    <w:p w14:paraId="59758B25" w14:textId="18C0B051" w:rsidR="00263C92" w:rsidRPr="00263C92" w:rsidRDefault="00263C92" w:rsidP="004914D8">
      <w:pPr>
        <w:pStyle w:val="Akapitzlist"/>
        <w:numPr>
          <w:ilvl w:val="0"/>
          <w:numId w:val="46"/>
        </w:numPr>
        <w:spacing w:before="120" w:after="120"/>
        <w:jc w:val="both"/>
      </w:pPr>
      <w:r>
        <w:t>zmiany</w:t>
      </w:r>
      <w:r w:rsidRPr="00263C92">
        <w:t xml:space="preserve"> procedury weryfikacji zamówień publicznych,</w:t>
      </w:r>
    </w:p>
    <w:p w14:paraId="022AD3E3" w14:textId="4F8FD1AE" w:rsidR="00263C92" w:rsidRPr="00263C92" w:rsidRDefault="003973CE" w:rsidP="004914D8">
      <w:pPr>
        <w:pStyle w:val="Akapitzlist"/>
        <w:numPr>
          <w:ilvl w:val="0"/>
          <w:numId w:val="46"/>
        </w:numPr>
        <w:spacing w:before="120" w:after="120"/>
        <w:jc w:val="both"/>
      </w:pPr>
      <w:r>
        <w:t>wprowadzenia</w:t>
      </w:r>
      <w:r w:rsidR="00263C92" w:rsidRPr="00263C92">
        <w:t xml:space="preserve"> zapisów dotyczących</w:t>
      </w:r>
      <w:r w:rsidR="00263C92">
        <w:t xml:space="preserve"> IIF w tym</w:t>
      </w:r>
      <w:r w:rsidR="00263C92" w:rsidRPr="00263C92">
        <w:t xml:space="preserve"> JESSICA,</w:t>
      </w:r>
    </w:p>
    <w:p w14:paraId="469F9289" w14:textId="552F24E0" w:rsidR="001370FA" w:rsidRPr="00263C92" w:rsidRDefault="00263C92" w:rsidP="004914D8">
      <w:pPr>
        <w:pStyle w:val="Akapitzlist"/>
        <w:numPr>
          <w:ilvl w:val="0"/>
          <w:numId w:val="46"/>
        </w:numPr>
        <w:spacing w:before="120" w:after="160"/>
        <w:ind w:left="714" w:hanging="357"/>
        <w:jc w:val="both"/>
      </w:pPr>
      <w:r>
        <w:t>doprecyzowania procedur wdrażania RPO WSL.</w:t>
      </w:r>
    </w:p>
    <w:p w14:paraId="42A811F0" w14:textId="77777777" w:rsidR="000116F7" w:rsidRDefault="000116F7" w:rsidP="00263C92">
      <w:pPr>
        <w:autoSpaceDE w:val="0"/>
        <w:autoSpaceDN w:val="0"/>
        <w:adjustRightInd w:val="0"/>
        <w:spacing w:before="120" w:after="0"/>
        <w:jc w:val="both"/>
        <w:rPr>
          <w:b/>
          <w:szCs w:val="24"/>
        </w:rPr>
      </w:pPr>
      <w:r w:rsidRPr="00FD7C4B">
        <w:rPr>
          <w:b/>
          <w:szCs w:val="24"/>
        </w:rPr>
        <w:t>Wytyczne IZ RPO WSL</w:t>
      </w:r>
    </w:p>
    <w:p w14:paraId="06C0AA82" w14:textId="5F4BD6AE" w:rsidR="00694741" w:rsidRDefault="00694741" w:rsidP="00951D3C">
      <w:pPr>
        <w:spacing w:after="0"/>
        <w:jc w:val="both"/>
      </w:pPr>
      <w:r>
        <w:t>W okresie wdrażania RPO WSL 2007-2013 poniższe wytyczne IZ były aktualizowane w celu efektyw</w:t>
      </w:r>
      <w:r w:rsidR="00951D3C">
        <w:t>niejszego wdrażania Programu:</w:t>
      </w:r>
      <w:r>
        <w:t xml:space="preserve"> </w:t>
      </w:r>
    </w:p>
    <w:p w14:paraId="7DBD3E9A" w14:textId="2859FE7E" w:rsidR="00694741" w:rsidRDefault="00694741" w:rsidP="004914D8">
      <w:pPr>
        <w:pStyle w:val="Akapitzlist"/>
        <w:numPr>
          <w:ilvl w:val="0"/>
          <w:numId w:val="59"/>
        </w:numPr>
        <w:spacing w:after="120"/>
        <w:jc w:val="both"/>
      </w:pPr>
      <w:r>
        <w:t>Wytyczne do Lokalnych Programów Rewitalizacji,</w:t>
      </w:r>
    </w:p>
    <w:p w14:paraId="60179CFE" w14:textId="77777777" w:rsidR="00694741" w:rsidRDefault="00694741" w:rsidP="004914D8">
      <w:pPr>
        <w:pStyle w:val="Akapitzlist"/>
        <w:numPr>
          <w:ilvl w:val="0"/>
          <w:numId w:val="58"/>
        </w:numPr>
        <w:spacing w:after="120"/>
        <w:jc w:val="both"/>
      </w:pPr>
      <w:r>
        <w:t>Wytyczne IZ RPO WSL w sprawie kwalifikowalności wydatków,</w:t>
      </w:r>
    </w:p>
    <w:p w14:paraId="04EEB0A4" w14:textId="77777777" w:rsidR="00694741" w:rsidRDefault="00694741" w:rsidP="004914D8">
      <w:pPr>
        <w:pStyle w:val="Akapitzlist"/>
        <w:numPr>
          <w:ilvl w:val="0"/>
          <w:numId w:val="58"/>
        </w:numPr>
        <w:spacing w:after="120"/>
        <w:jc w:val="both"/>
      </w:pPr>
      <w:r>
        <w:t>Wytyczne IZ RPO WSL dotyczące informacji i promocji,</w:t>
      </w:r>
    </w:p>
    <w:p w14:paraId="53FB3A6D" w14:textId="77777777" w:rsidR="00694741" w:rsidRDefault="00694741" w:rsidP="004914D8">
      <w:pPr>
        <w:pStyle w:val="Akapitzlist"/>
        <w:numPr>
          <w:ilvl w:val="0"/>
          <w:numId w:val="58"/>
        </w:numPr>
        <w:spacing w:after="120"/>
        <w:jc w:val="both"/>
      </w:pPr>
      <w:r>
        <w:t>Wytyczne IZ RPO WSL dla beneficjentów, których projekty realizowane były przez kilka podmiotów,</w:t>
      </w:r>
    </w:p>
    <w:p w14:paraId="67FD3FF0" w14:textId="77777777" w:rsidR="00694741" w:rsidRDefault="00694741" w:rsidP="004914D8">
      <w:pPr>
        <w:pStyle w:val="Akapitzlist"/>
        <w:numPr>
          <w:ilvl w:val="0"/>
          <w:numId w:val="58"/>
        </w:numPr>
        <w:spacing w:after="120"/>
        <w:jc w:val="both"/>
      </w:pPr>
      <w:r>
        <w:t>Wytyczne IZ RPO WSL do procedury Projektów kluczowych oraz Programów Rozwoju Subregionów,</w:t>
      </w:r>
    </w:p>
    <w:p w14:paraId="798AB9F1" w14:textId="77777777" w:rsidR="00694741" w:rsidRDefault="00694741" w:rsidP="004914D8">
      <w:pPr>
        <w:pStyle w:val="Akapitzlist"/>
        <w:numPr>
          <w:ilvl w:val="0"/>
          <w:numId w:val="58"/>
        </w:numPr>
        <w:spacing w:after="120"/>
        <w:jc w:val="both"/>
      </w:pPr>
      <w:r>
        <w:t>Wytyczne IZ RPO WSL ewidencja księgowa projektów,</w:t>
      </w:r>
    </w:p>
    <w:p w14:paraId="5A0C57FF" w14:textId="397F4B44" w:rsidR="00694741" w:rsidRDefault="00694741" w:rsidP="004914D8">
      <w:pPr>
        <w:pStyle w:val="Akapitzlist"/>
        <w:numPr>
          <w:ilvl w:val="0"/>
          <w:numId w:val="58"/>
        </w:numPr>
        <w:spacing w:after="120"/>
        <w:jc w:val="both"/>
      </w:pPr>
      <w:r>
        <w:t>Wytyczne do opracowania Studiów Wykonalności z zakresu: modernizacji i rozbudowy sieci drogowej, infrastruktury edukacyjnej, projektów z zakresu kultury i jej promocji, infrastruktury społeczeństwa informacyjnego, czystego powietrza i odnawialnych źródeł energii, rewitalizacji, infrastruktury lecznictwa zamkniętego, transferu technologii i innowacji, turystyki oraz infrast</w:t>
      </w:r>
      <w:r w:rsidR="00951D3C">
        <w:t>ruktury rozwoju gospodarczego i </w:t>
      </w:r>
      <w:r>
        <w:t>rewitalizacji,</w:t>
      </w:r>
    </w:p>
    <w:p w14:paraId="2698BECF" w14:textId="77777777" w:rsidR="00694741" w:rsidRDefault="00694741" w:rsidP="004914D8">
      <w:pPr>
        <w:pStyle w:val="Akapitzlist"/>
        <w:numPr>
          <w:ilvl w:val="0"/>
          <w:numId w:val="58"/>
        </w:numPr>
        <w:spacing w:after="120"/>
        <w:jc w:val="both"/>
      </w:pPr>
      <w:r>
        <w:t>Wytyczne ogólne opracowania studiów wykonalności,</w:t>
      </w:r>
    </w:p>
    <w:p w14:paraId="4CDCD7A0" w14:textId="77777777" w:rsidR="00694741" w:rsidRDefault="00694741" w:rsidP="004914D8">
      <w:pPr>
        <w:pStyle w:val="Akapitzlist"/>
        <w:numPr>
          <w:ilvl w:val="0"/>
          <w:numId w:val="58"/>
        </w:numPr>
        <w:spacing w:after="120"/>
        <w:jc w:val="both"/>
      </w:pPr>
      <w:r>
        <w:t>Wytyczne szczegółowe do SW z zakresu: turystyki, kultury, modernizacji i rozbudowy sieci drogowej, edukacji oraz lecznictwa zamkniętego i otwartego, transportu publicznego, promocji inwestycji, gospodarki odpadami oraz infrastruktury lecznictwa zamkniętego,</w:t>
      </w:r>
    </w:p>
    <w:p w14:paraId="4F48F974" w14:textId="77777777" w:rsidR="00694741" w:rsidRDefault="00694741" w:rsidP="004914D8">
      <w:pPr>
        <w:pStyle w:val="Akapitzlist"/>
        <w:numPr>
          <w:ilvl w:val="0"/>
          <w:numId w:val="58"/>
        </w:numPr>
        <w:spacing w:after="120"/>
        <w:jc w:val="both"/>
      </w:pPr>
      <w:r>
        <w:t>Wytyczne IZ RPO WSL w sprawie udzielania zamówień dla projektów współfinansowanych ze środków RPO WSL 2007-2013,</w:t>
      </w:r>
    </w:p>
    <w:p w14:paraId="3D96B94C" w14:textId="0061E069" w:rsidR="00694741" w:rsidRDefault="00694741" w:rsidP="004914D8">
      <w:pPr>
        <w:pStyle w:val="Akapitzlist"/>
        <w:numPr>
          <w:ilvl w:val="0"/>
          <w:numId w:val="58"/>
        </w:numPr>
        <w:spacing w:after="120"/>
        <w:jc w:val="both"/>
      </w:pPr>
      <w:r>
        <w:t>Wytyczne IZ RPO WSL na lata 2007-2013 dla beneficjentów w zakresie informacji i promocji,</w:t>
      </w:r>
    </w:p>
    <w:p w14:paraId="5A4F7080" w14:textId="77777777" w:rsidR="00694741" w:rsidRPr="00113076" w:rsidRDefault="00694741" w:rsidP="004914D8">
      <w:pPr>
        <w:pStyle w:val="Akapitzlist"/>
        <w:numPr>
          <w:ilvl w:val="0"/>
          <w:numId w:val="58"/>
        </w:numPr>
        <w:spacing w:after="120"/>
        <w:jc w:val="both"/>
        <w:rPr>
          <w:b/>
        </w:rPr>
      </w:pPr>
      <w:r>
        <w:t xml:space="preserve">Wytyczne szczegółowe do SW z zakresu działania 2.2 </w:t>
      </w:r>
      <w:r>
        <w:rPr>
          <w:i/>
        </w:rPr>
        <w:t>Rozwój elektronicznych usług publicznych</w:t>
      </w:r>
      <w:r>
        <w:t>,</w:t>
      </w:r>
    </w:p>
    <w:p w14:paraId="349BBAD0" w14:textId="77777777" w:rsidR="00694741" w:rsidRPr="00113076" w:rsidRDefault="00694741" w:rsidP="004914D8">
      <w:pPr>
        <w:pStyle w:val="Akapitzlist"/>
        <w:numPr>
          <w:ilvl w:val="0"/>
          <w:numId w:val="58"/>
        </w:numPr>
        <w:spacing w:after="120"/>
        <w:jc w:val="both"/>
        <w:rPr>
          <w:b/>
        </w:rPr>
      </w:pPr>
      <w:r>
        <w:t xml:space="preserve">Wytyczne szczegółowe do SW z zakresu działania 6.1 </w:t>
      </w:r>
      <w:r>
        <w:rPr>
          <w:i/>
        </w:rPr>
        <w:t>Wzmocnienie regionalnych ośrodków wzrostu</w:t>
      </w:r>
      <w:r>
        <w:t>,</w:t>
      </w:r>
    </w:p>
    <w:p w14:paraId="1FE02A59" w14:textId="160EAF14" w:rsidR="00694741" w:rsidRPr="00694741" w:rsidRDefault="00694741" w:rsidP="004914D8">
      <w:pPr>
        <w:pStyle w:val="Akapitzlist"/>
        <w:numPr>
          <w:ilvl w:val="0"/>
          <w:numId w:val="58"/>
        </w:numPr>
        <w:spacing w:after="120"/>
        <w:jc w:val="both"/>
      </w:pPr>
      <w:r w:rsidRPr="00775EF4">
        <w:lastRenderedPageBreak/>
        <w:t>Wytyczne IZ RPO WSL w zakresie Zasad udzielania wsparc</w:t>
      </w:r>
      <w:r>
        <w:t>ia w formie zaliczek.</w:t>
      </w:r>
    </w:p>
    <w:p w14:paraId="52E234C5" w14:textId="77777777" w:rsidR="000116F7" w:rsidRDefault="007D4EE1" w:rsidP="0094320D">
      <w:pPr>
        <w:spacing w:after="120"/>
        <w:jc w:val="both"/>
        <w:rPr>
          <w:b/>
          <w:szCs w:val="24"/>
        </w:rPr>
      </w:pPr>
      <w:r w:rsidRPr="005D7E36">
        <w:rPr>
          <w:b/>
          <w:szCs w:val="24"/>
        </w:rPr>
        <w:t>Kryteria wyboru projektów</w:t>
      </w:r>
    </w:p>
    <w:p w14:paraId="38593627" w14:textId="08C054CA" w:rsidR="009747FF" w:rsidRPr="001C2380" w:rsidRDefault="009747FF" w:rsidP="00951D3C">
      <w:pPr>
        <w:spacing w:after="0"/>
        <w:jc w:val="both"/>
        <w:rPr>
          <w:szCs w:val="24"/>
        </w:rPr>
      </w:pPr>
      <w:r w:rsidRPr="001C2380">
        <w:rPr>
          <w:szCs w:val="24"/>
        </w:rPr>
        <w:t>Kryteria wyboru w okresie wdrażania Programu były aktualizowane</w:t>
      </w:r>
      <w:r w:rsidR="001C2380">
        <w:rPr>
          <w:szCs w:val="24"/>
        </w:rPr>
        <w:t>, a do głównych przyczyn należały:</w:t>
      </w:r>
    </w:p>
    <w:p w14:paraId="02E60C32" w14:textId="77777777" w:rsidR="009747FF" w:rsidRPr="009747FF" w:rsidRDefault="009747FF" w:rsidP="004914D8">
      <w:pPr>
        <w:pStyle w:val="Akapitzlist"/>
        <w:numPr>
          <w:ilvl w:val="0"/>
          <w:numId w:val="65"/>
        </w:numPr>
        <w:spacing w:after="0"/>
        <w:ind w:left="709" w:hanging="425"/>
        <w:contextualSpacing w:val="0"/>
        <w:jc w:val="both"/>
        <w:rPr>
          <w:sz w:val="22"/>
        </w:rPr>
      </w:pPr>
      <w:r w:rsidRPr="009747FF">
        <w:t>zmiany wag kryteriów merytorycznych,</w:t>
      </w:r>
    </w:p>
    <w:p w14:paraId="4E6E8E9D" w14:textId="77777777" w:rsidR="009747FF" w:rsidRPr="009747FF" w:rsidRDefault="009747FF" w:rsidP="004914D8">
      <w:pPr>
        <w:pStyle w:val="Akapitzlist"/>
        <w:numPr>
          <w:ilvl w:val="0"/>
          <w:numId w:val="65"/>
        </w:numPr>
        <w:spacing w:after="0"/>
        <w:ind w:left="709" w:hanging="425"/>
        <w:contextualSpacing w:val="0"/>
        <w:jc w:val="both"/>
      </w:pPr>
      <w:r w:rsidRPr="009747FF">
        <w:t>usunięcia (w tym przesunięcia) kryteriów oraz podział kryteriów,</w:t>
      </w:r>
    </w:p>
    <w:p w14:paraId="0261FC93" w14:textId="77777777" w:rsidR="009747FF" w:rsidRPr="009747FF" w:rsidRDefault="009747FF" w:rsidP="004914D8">
      <w:pPr>
        <w:pStyle w:val="Akapitzlist"/>
        <w:numPr>
          <w:ilvl w:val="0"/>
          <w:numId w:val="65"/>
        </w:numPr>
        <w:spacing w:after="0"/>
        <w:ind w:left="709" w:hanging="425"/>
        <w:contextualSpacing w:val="0"/>
        <w:jc w:val="both"/>
      </w:pPr>
      <w:r w:rsidRPr="009747FF">
        <w:t>zmiany nazw kryteriów (wynikające m.in. ze zmiany nazw typów projektu)</w:t>
      </w:r>
    </w:p>
    <w:p w14:paraId="04234E3A" w14:textId="77777777" w:rsidR="009747FF" w:rsidRPr="009747FF" w:rsidRDefault="009747FF" w:rsidP="004914D8">
      <w:pPr>
        <w:pStyle w:val="Akapitzlist"/>
        <w:numPr>
          <w:ilvl w:val="0"/>
          <w:numId w:val="65"/>
        </w:numPr>
        <w:spacing w:after="0"/>
        <w:ind w:left="709" w:hanging="425"/>
        <w:contextualSpacing w:val="0"/>
        <w:jc w:val="both"/>
      </w:pPr>
      <w:r w:rsidRPr="009747FF">
        <w:t>dodanie nowych kryteriów,</w:t>
      </w:r>
    </w:p>
    <w:p w14:paraId="597CAABD" w14:textId="77777777" w:rsidR="009747FF" w:rsidRPr="009747FF" w:rsidRDefault="009747FF" w:rsidP="004914D8">
      <w:pPr>
        <w:pStyle w:val="Akapitzlist"/>
        <w:numPr>
          <w:ilvl w:val="0"/>
          <w:numId w:val="65"/>
        </w:numPr>
        <w:spacing w:after="0"/>
        <w:ind w:left="709" w:hanging="425"/>
        <w:contextualSpacing w:val="0"/>
        <w:jc w:val="both"/>
      </w:pPr>
      <w:r w:rsidRPr="009747FF">
        <w:t>doprecyzowanie zapisów (np. definicji)</w:t>
      </w:r>
    </w:p>
    <w:p w14:paraId="46CE1AA9" w14:textId="4FED6BB0" w:rsidR="009747FF" w:rsidRDefault="009747FF" w:rsidP="004914D8">
      <w:pPr>
        <w:pStyle w:val="Akapitzlist"/>
        <w:numPr>
          <w:ilvl w:val="0"/>
          <w:numId w:val="65"/>
        </w:numPr>
        <w:spacing w:after="0"/>
        <w:ind w:left="709" w:hanging="425"/>
        <w:contextualSpacing w:val="0"/>
        <w:jc w:val="both"/>
      </w:pPr>
      <w:r w:rsidRPr="009747FF">
        <w:t xml:space="preserve">zmiana proporcji pomiędzy grupami kryteriów. </w:t>
      </w:r>
    </w:p>
    <w:p w14:paraId="62492B82" w14:textId="77777777" w:rsidR="001C2380" w:rsidRPr="001C2380" w:rsidRDefault="001C2380" w:rsidP="001C2380">
      <w:pPr>
        <w:pStyle w:val="Akapitzlist"/>
        <w:spacing w:after="0"/>
        <w:ind w:left="709"/>
        <w:contextualSpacing w:val="0"/>
        <w:jc w:val="both"/>
      </w:pPr>
    </w:p>
    <w:p w14:paraId="6EE8D175" w14:textId="77777777" w:rsidR="007D4EE1" w:rsidRDefault="005C2F42" w:rsidP="0094320D">
      <w:pPr>
        <w:spacing w:after="120"/>
        <w:jc w:val="both"/>
        <w:rPr>
          <w:b/>
          <w:szCs w:val="24"/>
        </w:rPr>
      </w:pPr>
      <w:r w:rsidRPr="005D7E36">
        <w:rPr>
          <w:b/>
          <w:szCs w:val="24"/>
        </w:rPr>
        <w:t>Prace nad przygotowaniem</w:t>
      </w:r>
      <w:r w:rsidR="00743A66" w:rsidRPr="005D7E36">
        <w:rPr>
          <w:b/>
          <w:szCs w:val="24"/>
        </w:rPr>
        <w:t>/zmianą programów pomocowych</w:t>
      </w:r>
    </w:p>
    <w:p w14:paraId="56696E9F" w14:textId="77777777" w:rsidR="00694741" w:rsidRDefault="00694741" w:rsidP="00694741">
      <w:pPr>
        <w:spacing w:after="120"/>
        <w:jc w:val="both"/>
      </w:pPr>
      <w:r w:rsidRPr="000F4C93">
        <w:t>Przygotowan</w:t>
      </w:r>
      <w:r>
        <w:t>iem programów pomocowych zajmowało</w:t>
      </w:r>
      <w:r w:rsidRPr="000F4C93">
        <w:t xml:space="preserve"> się Ministerstwo Rozwoju, IZ RPO WSL w ramach konsultacji zgłaszała ewentualne uwagi do programów. </w:t>
      </w:r>
    </w:p>
    <w:p w14:paraId="25C5AE05" w14:textId="77777777" w:rsidR="00694741" w:rsidRDefault="00694741" w:rsidP="00694741">
      <w:pPr>
        <w:spacing w:after="0"/>
        <w:jc w:val="both"/>
      </w:pPr>
      <w:r>
        <w:t>IZ RPO WSL udzielała wsparcia zgodnie z poniższymi rozporządzeniami (programami pomocowymi):</w:t>
      </w:r>
    </w:p>
    <w:p w14:paraId="2BB1AAA4" w14:textId="77777777" w:rsidR="00694741" w:rsidRDefault="00694741" w:rsidP="004914D8">
      <w:pPr>
        <w:pStyle w:val="Akapitzlist"/>
        <w:numPr>
          <w:ilvl w:val="0"/>
          <w:numId w:val="60"/>
        </w:numPr>
        <w:spacing w:after="0"/>
        <w:jc w:val="both"/>
      </w:pPr>
      <w:r w:rsidRPr="00743A66">
        <w:t>Rozporządzenie Ministra Rozwoju Regionalnego z dnia 20 maja 2009 r. w sprawie udzielania pomocy na wzmacnianie potencjału instytucji otoczenia biznesu w ramach regionalnych programów operacyjnych</w:t>
      </w:r>
      <w:r>
        <w:t>,</w:t>
      </w:r>
    </w:p>
    <w:p w14:paraId="59EC3197" w14:textId="77777777" w:rsidR="00694741" w:rsidRDefault="00694741" w:rsidP="004914D8">
      <w:pPr>
        <w:pStyle w:val="Akapitzlist"/>
        <w:numPr>
          <w:ilvl w:val="0"/>
          <w:numId w:val="60"/>
        </w:numPr>
        <w:spacing w:after="0"/>
        <w:jc w:val="both"/>
      </w:pPr>
      <w:r w:rsidRPr="00743A66">
        <w:t>Rozporządzenie Ministra Rozwoju Regionalnego z dnia 7 grudnia 2009 r. w sprawie udzielania pomocy na inwestycje w zakresie: energetyki, infrastruktury telekomunikacyjnej, infrastruktury sfery badawczo-rozwojowej, lecznictwa uzdrowiskowego w ramach regionalnych programów operacyjnych</w:t>
      </w:r>
      <w:r>
        <w:t>,</w:t>
      </w:r>
    </w:p>
    <w:p w14:paraId="553749CB" w14:textId="77777777" w:rsidR="00694741" w:rsidRDefault="00694741" w:rsidP="004914D8">
      <w:pPr>
        <w:pStyle w:val="Akapitzlist"/>
        <w:numPr>
          <w:ilvl w:val="0"/>
          <w:numId w:val="60"/>
        </w:numPr>
        <w:spacing w:after="0"/>
        <w:jc w:val="both"/>
      </w:pPr>
      <w:r w:rsidRPr="00743A66">
        <w:t>Rozporządzenie Ministra Rozwoju Regionalnego z dnia 17 czerwca 2010 r. w sprawie udzielania pomocy na projekty w zakresie badań i rozwoju w ramach regionalnych programów operacyjnych</w:t>
      </w:r>
      <w:r>
        <w:t>,</w:t>
      </w:r>
    </w:p>
    <w:p w14:paraId="4516C5B7" w14:textId="77777777" w:rsidR="00694741" w:rsidRDefault="00694741" w:rsidP="004914D8">
      <w:pPr>
        <w:pStyle w:val="Akapitzlist"/>
        <w:numPr>
          <w:ilvl w:val="0"/>
          <w:numId w:val="60"/>
        </w:numPr>
        <w:spacing w:after="0"/>
        <w:jc w:val="both"/>
      </w:pPr>
      <w:r w:rsidRPr="00743A66">
        <w:t>Rozporządzenie Ministra Rozwoju Regionalnego z dnia 9 czerwca 2010 r. w sprawie udzielania pomocy na rewitalizację w ramach regionalnych programów operacyjnych</w:t>
      </w:r>
      <w:r>
        <w:t>,</w:t>
      </w:r>
    </w:p>
    <w:p w14:paraId="15ABD693" w14:textId="77777777" w:rsidR="00694741" w:rsidRDefault="00694741" w:rsidP="004914D8">
      <w:pPr>
        <w:pStyle w:val="Akapitzlist"/>
        <w:numPr>
          <w:ilvl w:val="0"/>
          <w:numId w:val="60"/>
        </w:numPr>
        <w:spacing w:after="0"/>
        <w:jc w:val="both"/>
      </w:pPr>
      <w:r w:rsidRPr="00743A66">
        <w:t>Rozporządzenie Ministra Rozwoju Regionalnego z dnia 15 czerwca 2009 r. w sprawie udzielania pomocy przez fundusze pożyczkowe i poręczeniowe w ramach regionalnych programów operacyjnych</w:t>
      </w:r>
      <w:r>
        <w:t>,</w:t>
      </w:r>
    </w:p>
    <w:p w14:paraId="7C5377C0" w14:textId="7F4A0BBF" w:rsidR="00694741" w:rsidRDefault="00694741" w:rsidP="004914D8">
      <w:pPr>
        <w:pStyle w:val="Akapitzlist"/>
        <w:numPr>
          <w:ilvl w:val="0"/>
          <w:numId w:val="60"/>
        </w:numPr>
        <w:spacing w:after="0"/>
        <w:jc w:val="both"/>
      </w:pPr>
      <w:r w:rsidRPr="00743A66">
        <w:t>Rozporządzenie Ministra Rozwoju Regionalnego z dnia 15 grudnia 2010 r. w sprawie udzielania regionalnej pomocy inwestycyjnej w ramach regionalnych programów operacyjnych</w:t>
      </w:r>
      <w:r>
        <w:t>,</w:t>
      </w:r>
    </w:p>
    <w:p w14:paraId="2926035A" w14:textId="77777777" w:rsidR="00694741" w:rsidRDefault="00694741" w:rsidP="004914D8">
      <w:pPr>
        <w:pStyle w:val="Akapitzlist"/>
        <w:numPr>
          <w:ilvl w:val="0"/>
          <w:numId w:val="60"/>
        </w:numPr>
        <w:spacing w:after="0"/>
        <w:jc w:val="both"/>
      </w:pPr>
      <w:r w:rsidRPr="00743A66">
        <w:t>Rozporządzenie Ministra Rozwoju Regionalnego z dnia 8 grudnia 2010 r. w sprawie udzielania pomocy de minimis w ramach regionalnych programów operacyjnych</w:t>
      </w:r>
      <w:r>
        <w:t>,</w:t>
      </w:r>
    </w:p>
    <w:p w14:paraId="325B5E40" w14:textId="77777777" w:rsidR="00694741" w:rsidRDefault="00694741" w:rsidP="004914D8">
      <w:pPr>
        <w:pStyle w:val="Akapitzlist"/>
        <w:numPr>
          <w:ilvl w:val="0"/>
          <w:numId w:val="60"/>
        </w:numPr>
        <w:spacing w:after="0"/>
        <w:jc w:val="both"/>
      </w:pPr>
      <w:r w:rsidRPr="00743A66">
        <w:t>Rozporządzenie Ministra Rozwoju Regionalnego z dnia 21 grudnia 2010 r. w sprawie udzielania regionalnej pomocy inwestycyjnej przez fundusze rozwoju obszarów miejskich w ramach regionalnych programów operacyjnych</w:t>
      </w:r>
      <w:r>
        <w:t>,</w:t>
      </w:r>
    </w:p>
    <w:p w14:paraId="687472EA" w14:textId="30095C3A" w:rsidR="00694741" w:rsidRPr="00694741" w:rsidRDefault="00694741" w:rsidP="004914D8">
      <w:pPr>
        <w:pStyle w:val="Akapitzlist"/>
        <w:numPr>
          <w:ilvl w:val="0"/>
          <w:numId w:val="60"/>
        </w:numPr>
        <w:spacing w:after="0"/>
        <w:jc w:val="both"/>
      </w:pPr>
      <w:r w:rsidRPr="00743A66">
        <w:t>Rozporządzenie Ministra Rozwoju Regionalnego z dnia 1 grudnia 2010 r. w sprawie udzielania pomocy na usługi doradcze dla mi</w:t>
      </w:r>
      <w:r>
        <w:t>koprzedsiębiorców oraz małych i </w:t>
      </w:r>
      <w:r w:rsidRPr="00743A66">
        <w:t>średnich przedsiębiorców w ramach regionalnych programów operacyjnych</w:t>
      </w:r>
      <w:r>
        <w:t>.</w:t>
      </w:r>
    </w:p>
    <w:p w14:paraId="6147383E" w14:textId="3B07DC12" w:rsidR="004538E5" w:rsidRDefault="001E62D6" w:rsidP="0094320D">
      <w:pPr>
        <w:pStyle w:val="Nagwek1"/>
        <w:numPr>
          <w:ilvl w:val="3"/>
          <w:numId w:val="17"/>
        </w:numPr>
        <w:tabs>
          <w:tab w:val="left" w:pos="1276"/>
          <w:tab w:val="left" w:pos="1843"/>
          <w:tab w:val="left" w:pos="1985"/>
        </w:tabs>
        <w:spacing w:before="120" w:after="120"/>
        <w:ind w:left="1701" w:hanging="425"/>
        <w:jc w:val="both"/>
        <w:rPr>
          <w:szCs w:val="24"/>
        </w:rPr>
      </w:pPr>
      <w:bookmarkStart w:id="79" w:name="_Toc292789245"/>
      <w:bookmarkStart w:id="80" w:name="_Toc292793530"/>
      <w:bookmarkStart w:id="81" w:name="_Toc391466341"/>
      <w:bookmarkStart w:id="82" w:name="_Toc423351757"/>
      <w:bookmarkStart w:id="83" w:name="_Toc473117310"/>
      <w:bookmarkStart w:id="84" w:name="_Toc477779744"/>
      <w:r w:rsidRPr="0094320D">
        <w:rPr>
          <w:szCs w:val="24"/>
        </w:rPr>
        <w:lastRenderedPageBreak/>
        <w:t>Analiza postępu finansowego i rzeczow</w:t>
      </w:r>
      <w:bookmarkEnd w:id="79"/>
      <w:bookmarkEnd w:id="80"/>
      <w:r w:rsidRPr="0094320D">
        <w:rPr>
          <w:szCs w:val="24"/>
        </w:rPr>
        <w:t>ego</w:t>
      </w:r>
      <w:bookmarkEnd w:id="81"/>
      <w:bookmarkEnd w:id="82"/>
      <w:bookmarkEnd w:id="83"/>
      <w:bookmarkEnd w:id="84"/>
    </w:p>
    <w:p w14:paraId="35B00701" w14:textId="24D4319F" w:rsidR="00951D3C" w:rsidRDefault="00951D3C" w:rsidP="00951D3C">
      <w:pPr>
        <w:spacing w:after="120"/>
        <w:jc w:val="both"/>
        <w:rPr>
          <w:szCs w:val="24"/>
        </w:rPr>
      </w:pPr>
      <w:r w:rsidRPr="004C3F97">
        <w:rPr>
          <w:szCs w:val="24"/>
        </w:rPr>
        <w:t>Poniżej został przedstawiony postęp wdrażania RPO WSL. Wszystkie dane finansowe</w:t>
      </w:r>
      <w:r w:rsidR="006D5A51" w:rsidRPr="004C3F97">
        <w:rPr>
          <w:szCs w:val="24"/>
        </w:rPr>
        <w:t xml:space="preserve"> </w:t>
      </w:r>
      <w:r w:rsidR="001F4A72" w:rsidRPr="004C3F97">
        <w:rPr>
          <w:szCs w:val="24"/>
        </w:rPr>
        <w:t>przedstawione zostały w euro</w:t>
      </w:r>
      <w:r w:rsidRPr="004C3F97">
        <w:rPr>
          <w:szCs w:val="24"/>
        </w:rPr>
        <w:t xml:space="preserve"> (</w:t>
      </w:r>
      <w:r w:rsidR="001F4A72" w:rsidRPr="004C3F97">
        <w:rPr>
          <w:szCs w:val="24"/>
        </w:rPr>
        <w:t xml:space="preserve">przy zastosowaniu stałego kursu </w:t>
      </w:r>
      <w:r w:rsidRPr="004C3F97">
        <w:rPr>
          <w:szCs w:val="24"/>
        </w:rPr>
        <w:t>1 EUR =4,4141 PLN)</w:t>
      </w:r>
      <w:r w:rsidR="006D5A51" w:rsidRPr="004C3F97">
        <w:rPr>
          <w:szCs w:val="24"/>
        </w:rPr>
        <w:t>, za</w:t>
      </w:r>
      <w:r w:rsidR="001F4A72" w:rsidRPr="004C3F97">
        <w:rPr>
          <w:szCs w:val="24"/>
        </w:rPr>
        <w:t> </w:t>
      </w:r>
      <w:r w:rsidR="006D5A51" w:rsidRPr="004C3F97">
        <w:rPr>
          <w:szCs w:val="24"/>
        </w:rPr>
        <w:t xml:space="preserve">wyjątkiem </w:t>
      </w:r>
      <w:r w:rsidR="00FE54C4" w:rsidRPr="004C3F97">
        <w:rPr>
          <w:szCs w:val="24"/>
        </w:rPr>
        <w:t xml:space="preserve">certyfikacji, </w:t>
      </w:r>
      <w:r w:rsidR="001F4A72" w:rsidRPr="004C3F97">
        <w:rPr>
          <w:szCs w:val="24"/>
        </w:rPr>
        <w:t xml:space="preserve">której wartość wynika z kursów obowiązujących każdorazowo w momencie </w:t>
      </w:r>
      <w:r w:rsidR="00FE54C4" w:rsidRPr="004C3F97">
        <w:rPr>
          <w:szCs w:val="24"/>
        </w:rPr>
        <w:t>złożenia deklaracji IZ do IC</w:t>
      </w:r>
      <w:r w:rsidRPr="004C3F97">
        <w:rPr>
          <w:szCs w:val="24"/>
        </w:rPr>
        <w:t>.</w:t>
      </w:r>
    </w:p>
    <w:p w14:paraId="3D098C40" w14:textId="0930C83F" w:rsidR="00951D3C" w:rsidRPr="00951D3C" w:rsidRDefault="00951D3C" w:rsidP="00951D3C">
      <w:pPr>
        <w:spacing w:after="120"/>
        <w:jc w:val="both"/>
        <w:rPr>
          <w:rFonts w:eastAsia="CenturyGothic"/>
          <w:szCs w:val="24"/>
        </w:rPr>
      </w:pPr>
      <w:r w:rsidRPr="00951D3C">
        <w:rPr>
          <w:szCs w:val="24"/>
        </w:rPr>
        <w:t>Zaprezentowane dane dotyczą postępów rzeczowych i finansowych RPO WSL</w:t>
      </w:r>
      <w:r w:rsidRPr="00951D3C">
        <w:rPr>
          <w:i/>
          <w:szCs w:val="24"/>
        </w:rPr>
        <w:t xml:space="preserve"> </w:t>
      </w:r>
      <w:r w:rsidRPr="00951D3C">
        <w:rPr>
          <w:szCs w:val="24"/>
        </w:rPr>
        <w:t xml:space="preserve">do 31 grudnia 2016 roku. W poniższej analizie została wykorzystana alokacja z ostatniej wersji </w:t>
      </w:r>
      <w:r w:rsidRPr="00951D3C">
        <w:rPr>
          <w:i/>
          <w:szCs w:val="24"/>
        </w:rPr>
        <w:t>Programu</w:t>
      </w:r>
      <w:r>
        <w:rPr>
          <w:szCs w:val="24"/>
        </w:rPr>
        <w:t>, którą</w:t>
      </w:r>
      <w:r w:rsidRPr="00951D3C">
        <w:rPr>
          <w:szCs w:val="24"/>
        </w:rPr>
        <w:t xml:space="preserve"> </w:t>
      </w:r>
      <w:r>
        <w:rPr>
          <w:szCs w:val="24"/>
        </w:rPr>
        <w:t>zatwierdziła</w:t>
      </w:r>
      <w:r w:rsidRPr="00951D3C">
        <w:rPr>
          <w:szCs w:val="24"/>
        </w:rPr>
        <w:t xml:space="preserve"> KE w 2011 r. Ponadto </w:t>
      </w:r>
      <w:r w:rsidRPr="00951D3C">
        <w:rPr>
          <w:i/>
          <w:szCs w:val="24"/>
        </w:rPr>
        <w:t>wartość dofinansowania</w:t>
      </w:r>
      <w:r w:rsidRPr="00951D3C">
        <w:rPr>
          <w:rFonts w:eastAsia="CenturyGothic"/>
          <w:szCs w:val="24"/>
        </w:rPr>
        <w:t xml:space="preserve"> dotyczy dofinansowania ogółem (środki UE +</w:t>
      </w:r>
      <w:r w:rsidR="00B64325">
        <w:rPr>
          <w:rFonts w:eastAsia="CenturyGothic"/>
          <w:szCs w:val="24"/>
        </w:rPr>
        <w:t xml:space="preserve"> </w:t>
      </w:r>
      <w:r w:rsidRPr="00951D3C">
        <w:rPr>
          <w:rFonts w:eastAsia="CenturyGothic"/>
          <w:szCs w:val="24"/>
        </w:rPr>
        <w:t xml:space="preserve">dofinansowanie z budżetu państwa dla projektów w ramach pomocy publicznej). </w:t>
      </w:r>
    </w:p>
    <w:p w14:paraId="35BE072C" w14:textId="5912EA05" w:rsidR="00951D3C" w:rsidRPr="00951D3C" w:rsidRDefault="00951D3C" w:rsidP="00951D3C">
      <w:pPr>
        <w:widowControl w:val="0"/>
        <w:autoSpaceDE w:val="0"/>
        <w:autoSpaceDN w:val="0"/>
        <w:adjustRightInd w:val="0"/>
        <w:spacing w:before="1" w:after="240"/>
        <w:jc w:val="both"/>
        <w:rPr>
          <w:szCs w:val="24"/>
        </w:rPr>
      </w:pPr>
      <w:r w:rsidRPr="00951D3C">
        <w:rPr>
          <w:szCs w:val="24"/>
        </w:rPr>
        <w:t>Informacje dotyczące postępu rzeczowego</w:t>
      </w:r>
      <w:r w:rsidR="003F10E9">
        <w:rPr>
          <w:szCs w:val="24"/>
        </w:rPr>
        <w:t xml:space="preserve"> wskaźników monitorowania celu głównego</w:t>
      </w:r>
      <w:r w:rsidRPr="00951D3C">
        <w:rPr>
          <w:szCs w:val="24"/>
        </w:rPr>
        <w:t xml:space="preserve"> zostały przedstawione w załączniku I do niniejszego </w:t>
      </w:r>
      <w:r w:rsidRPr="00951D3C">
        <w:rPr>
          <w:i/>
          <w:szCs w:val="24"/>
        </w:rPr>
        <w:t>Sprawozdania</w:t>
      </w:r>
      <w:r w:rsidRPr="00951D3C">
        <w:rPr>
          <w:szCs w:val="24"/>
        </w:rPr>
        <w:t xml:space="preserve">. W treści opracowania została przedstawiona analiza </w:t>
      </w:r>
      <w:r w:rsidR="003F10E9">
        <w:rPr>
          <w:szCs w:val="24"/>
        </w:rPr>
        <w:t>realizacji ww. wskaźników</w:t>
      </w:r>
      <w:r w:rsidRPr="00951D3C">
        <w:rPr>
          <w:szCs w:val="24"/>
        </w:rPr>
        <w:t>.</w:t>
      </w:r>
    </w:p>
    <w:p w14:paraId="5625F674" w14:textId="48D1B325" w:rsidR="00951D3C" w:rsidRPr="00951D3C" w:rsidRDefault="00951D3C" w:rsidP="00951D3C">
      <w:pPr>
        <w:widowControl w:val="0"/>
        <w:autoSpaceDE w:val="0"/>
        <w:autoSpaceDN w:val="0"/>
        <w:adjustRightInd w:val="0"/>
        <w:spacing w:before="1" w:after="240"/>
        <w:jc w:val="both"/>
        <w:rPr>
          <w:szCs w:val="24"/>
        </w:rPr>
      </w:pPr>
      <w:r w:rsidRPr="00951D3C">
        <w:rPr>
          <w:szCs w:val="24"/>
        </w:rPr>
        <w:t xml:space="preserve">W celu zoptymalizowania realizacji programu i wykorzystania alokacji, IZ RPO WSL od listopada 2014 roku stosowała przesunięcia środków pomiędzy priorytetami </w:t>
      </w:r>
      <w:r w:rsidRPr="00951D3C">
        <w:rPr>
          <w:i/>
          <w:szCs w:val="24"/>
        </w:rPr>
        <w:t>Programu</w:t>
      </w:r>
      <w:r w:rsidRPr="00951D3C">
        <w:rPr>
          <w:szCs w:val="24"/>
        </w:rPr>
        <w:t xml:space="preserve"> zgodnie z art. 77 rozporządzenia 1083/2006 poprzez wykorzystanie tzw. „mechanizmu elastyczności”.  </w:t>
      </w:r>
    </w:p>
    <w:p w14:paraId="0F928044" w14:textId="47D70D2C" w:rsidR="002E0934" w:rsidRDefault="00951D3C" w:rsidP="001F484B">
      <w:pPr>
        <w:spacing w:after="120"/>
        <w:jc w:val="both"/>
        <w:rPr>
          <w:szCs w:val="24"/>
          <w:lang w:eastAsia="ar-SA"/>
        </w:rPr>
      </w:pPr>
      <w:r w:rsidRPr="00951D3C">
        <w:rPr>
          <w:szCs w:val="24"/>
          <w:lang w:eastAsia="ar-SA"/>
        </w:rPr>
        <w:t xml:space="preserve">W ramach RPO WSL nie zostały określone obszary defaworyzowane, w związku z powyższym nie ma możliwości zaprezentowania w </w:t>
      </w:r>
      <w:r w:rsidRPr="00951D3C">
        <w:rPr>
          <w:i/>
          <w:szCs w:val="24"/>
          <w:lang w:eastAsia="ar-SA"/>
        </w:rPr>
        <w:t xml:space="preserve">Sprawozdaniu </w:t>
      </w:r>
      <w:r w:rsidR="001F484B">
        <w:rPr>
          <w:szCs w:val="24"/>
          <w:lang w:eastAsia="ar-SA"/>
        </w:rPr>
        <w:t>danych w tym zakresie.</w:t>
      </w:r>
    </w:p>
    <w:p w14:paraId="20212CC6" w14:textId="77777777" w:rsidR="001F484B" w:rsidRPr="001F484B" w:rsidRDefault="001F484B" w:rsidP="001F484B">
      <w:pPr>
        <w:spacing w:after="120"/>
        <w:jc w:val="both"/>
        <w:rPr>
          <w:szCs w:val="24"/>
          <w:lang w:eastAsia="ar-SA"/>
        </w:rPr>
      </w:pPr>
    </w:p>
    <w:p w14:paraId="04459FA8" w14:textId="23269283" w:rsidR="005B3D2D" w:rsidRDefault="008E1696" w:rsidP="0094320D">
      <w:pPr>
        <w:jc w:val="both"/>
        <w:rPr>
          <w:b/>
          <w:szCs w:val="24"/>
        </w:rPr>
      </w:pPr>
      <w:r w:rsidRPr="001E62D6">
        <w:rPr>
          <w:b/>
          <w:szCs w:val="24"/>
        </w:rPr>
        <w:t>A</w:t>
      </w:r>
      <w:r w:rsidR="001E62D6" w:rsidRPr="001E62D6">
        <w:rPr>
          <w:b/>
          <w:szCs w:val="24"/>
        </w:rPr>
        <w:t>naliza postępu finansowego RPO WSL</w:t>
      </w:r>
    </w:p>
    <w:p w14:paraId="1A3A3ACB" w14:textId="2FD26025" w:rsidR="00AF5D41" w:rsidRDefault="00AF5D41" w:rsidP="00AF5D41">
      <w:pPr>
        <w:autoSpaceDE w:val="0"/>
        <w:autoSpaceDN w:val="0"/>
        <w:adjustRightInd w:val="0"/>
        <w:spacing w:after="120"/>
        <w:jc w:val="both"/>
        <w:rPr>
          <w:szCs w:val="24"/>
        </w:rPr>
      </w:pPr>
      <w:r>
        <w:rPr>
          <w:szCs w:val="24"/>
        </w:rPr>
        <w:t>D</w:t>
      </w:r>
      <w:r w:rsidRPr="00857B05">
        <w:rPr>
          <w:szCs w:val="24"/>
        </w:rPr>
        <w:t xml:space="preserve">o końca </w:t>
      </w:r>
      <w:r>
        <w:rPr>
          <w:szCs w:val="24"/>
        </w:rPr>
        <w:t>grudnia 2016</w:t>
      </w:r>
      <w:r w:rsidRPr="00857B05">
        <w:rPr>
          <w:szCs w:val="24"/>
        </w:rPr>
        <w:t xml:space="preserve"> roku złożono </w:t>
      </w:r>
      <w:r w:rsidRPr="00E147FD">
        <w:rPr>
          <w:szCs w:val="24"/>
        </w:rPr>
        <w:t>9324</w:t>
      </w:r>
      <w:r w:rsidRPr="00857B05">
        <w:rPr>
          <w:szCs w:val="24"/>
        </w:rPr>
        <w:t xml:space="preserve"> wniosk</w:t>
      </w:r>
      <w:r>
        <w:rPr>
          <w:szCs w:val="24"/>
        </w:rPr>
        <w:t>i o dofinansowanie poprawne</w:t>
      </w:r>
      <w:r w:rsidRPr="00857B05">
        <w:rPr>
          <w:szCs w:val="24"/>
        </w:rPr>
        <w:t xml:space="preserve"> formalnie, na kwotę wnioskowanego dofinansowania </w:t>
      </w:r>
      <w:r>
        <w:rPr>
          <w:szCs w:val="24"/>
        </w:rPr>
        <w:t>3</w:t>
      </w:r>
      <w:r w:rsidR="00C5442F">
        <w:rPr>
          <w:szCs w:val="24"/>
        </w:rPr>
        <w:t> 069,71</w:t>
      </w:r>
      <w:r>
        <w:rPr>
          <w:szCs w:val="24"/>
        </w:rPr>
        <w:t xml:space="preserve"> </w:t>
      </w:r>
      <w:r w:rsidRPr="00857B05">
        <w:rPr>
          <w:szCs w:val="24"/>
        </w:rPr>
        <w:t xml:space="preserve">mln </w:t>
      </w:r>
      <w:r>
        <w:rPr>
          <w:szCs w:val="24"/>
        </w:rPr>
        <w:t>EUR</w:t>
      </w:r>
      <w:r w:rsidRPr="00857B05">
        <w:rPr>
          <w:szCs w:val="24"/>
        </w:rPr>
        <w:t xml:space="preserve">, co stanowi </w:t>
      </w:r>
      <w:r>
        <w:rPr>
          <w:szCs w:val="24"/>
        </w:rPr>
        <w:t>1</w:t>
      </w:r>
      <w:r w:rsidR="00C5442F">
        <w:rPr>
          <w:szCs w:val="24"/>
        </w:rPr>
        <w:t>75</w:t>
      </w:r>
      <w:r>
        <w:rPr>
          <w:szCs w:val="24"/>
        </w:rPr>
        <w:t xml:space="preserve">% </w:t>
      </w:r>
      <w:r w:rsidR="000925B3">
        <w:rPr>
          <w:szCs w:val="24"/>
        </w:rPr>
        <w:t>alokacji przeznaczonej</w:t>
      </w:r>
      <w:r>
        <w:rPr>
          <w:szCs w:val="24"/>
        </w:rPr>
        <w:t xml:space="preserve"> na Program</w:t>
      </w:r>
      <w:r w:rsidRPr="00857B05">
        <w:rPr>
          <w:szCs w:val="24"/>
        </w:rPr>
        <w:t xml:space="preserve">. Do dofinansowania wybrano </w:t>
      </w:r>
      <w:r w:rsidR="00C5442F">
        <w:rPr>
          <w:szCs w:val="24"/>
        </w:rPr>
        <w:t>5809</w:t>
      </w:r>
      <w:r w:rsidRPr="00857B05">
        <w:rPr>
          <w:szCs w:val="24"/>
        </w:rPr>
        <w:t xml:space="preserve"> projektów, w których zatwierdzone dofinansowanie to </w:t>
      </w:r>
      <w:r w:rsidR="00C5442F">
        <w:rPr>
          <w:szCs w:val="24"/>
        </w:rPr>
        <w:t>2 103,63</w:t>
      </w:r>
      <w:r>
        <w:rPr>
          <w:szCs w:val="24"/>
        </w:rPr>
        <w:t xml:space="preserve"> mln EUR</w:t>
      </w:r>
      <w:r w:rsidRPr="00857B05">
        <w:rPr>
          <w:szCs w:val="24"/>
        </w:rPr>
        <w:t xml:space="preserve">. </w:t>
      </w:r>
    </w:p>
    <w:p w14:paraId="1C3D02FD" w14:textId="49C16A21" w:rsidR="00AF5D41" w:rsidRDefault="00AF5D41" w:rsidP="00AF5D41">
      <w:pPr>
        <w:spacing w:after="120"/>
        <w:jc w:val="both"/>
        <w:rPr>
          <w:szCs w:val="24"/>
        </w:rPr>
      </w:pPr>
      <w:r w:rsidRPr="00857B05">
        <w:rPr>
          <w:szCs w:val="24"/>
        </w:rPr>
        <w:t xml:space="preserve">Podpisano </w:t>
      </w:r>
      <w:r w:rsidR="00F80F1E">
        <w:rPr>
          <w:szCs w:val="24"/>
        </w:rPr>
        <w:t>5211</w:t>
      </w:r>
      <w:r w:rsidRPr="00857B05">
        <w:rPr>
          <w:szCs w:val="24"/>
        </w:rPr>
        <w:t xml:space="preserve"> umów o dofinansowanie</w:t>
      </w:r>
      <w:r>
        <w:rPr>
          <w:szCs w:val="24"/>
        </w:rPr>
        <w:t xml:space="preserve"> na ł</w:t>
      </w:r>
      <w:r w:rsidRPr="00857B05">
        <w:rPr>
          <w:szCs w:val="24"/>
        </w:rPr>
        <w:t>ączna wartość dofinansowania </w:t>
      </w:r>
      <w:r>
        <w:rPr>
          <w:szCs w:val="24"/>
        </w:rPr>
        <w:t>1</w:t>
      </w:r>
      <w:r w:rsidR="00FA067F">
        <w:rPr>
          <w:szCs w:val="24"/>
        </w:rPr>
        <w:t> 681,96</w:t>
      </w:r>
      <w:r>
        <w:rPr>
          <w:szCs w:val="24"/>
        </w:rPr>
        <w:t xml:space="preserve"> mln EUR,</w:t>
      </w:r>
      <w:r w:rsidR="00C5442F">
        <w:rPr>
          <w:szCs w:val="24"/>
        </w:rPr>
        <w:t xml:space="preserve"> co stanowi 96,</w:t>
      </w:r>
      <w:r w:rsidR="00FA067F">
        <w:rPr>
          <w:szCs w:val="24"/>
        </w:rPr>
        <w:t>27</w:t>
      </w:r>
      <w:r w:rsidRPr="00857B05">
        <w:rPr>
          <w:szCs w:val="24"/>
        </w:rPr>
        <w:t>% dostępnej alokacji</w:t>
      </w:r>
      <w:r>
        <w:rPr>
          <w:szCs w:val="24"/>
        </w:rPr>
        <w:t xml:space="preserve">. </w:t>
      </w:r>
    </w:p>
    <w:p w14:paraId="10BE1EFD" w14:textId="61B1D9C5" w:rsidR="00AF5D41" w:rsidRDefault="00054EA2" w:rsidP="00AF5D41">
      <w:pPr>
        <w:spacing w:after="120"/>
        <w:jc w:val="both"/>
        <w:rPr>
          <w:szCs w:val="24"/>
        </w:rPr>
      </w:pPr>
      <w:r>
        <w:rPr>
          <w:szCs w:val="24"/>
        </w:rPr>
        <w:t>W ramach RPO WSL</w:t>
      </w:r>
      <w:r w:rsidR="00AF5D41">
        <w:rPr>
          <w:szCs w:val="24"/>
        </w:rPr>
        <w:t xml:space="preserve"> </w:t>
      </w:r>
      <w:r>
        <w:rPr>
          <w:szCs w:val="24"/>
        </w:rPr>
        <w:t>s</w:t>
      </w:r>
      <w:r w:rsidR="00AF5D41" w:rsidRPr="00857B05">
        <w:rPr>
          <w:szCs w:val="24"/>
        </w:rPr>
        <w:t xml:space="preserve">certyfikowano wydatki na kwotę </w:t>
      </w:r>
      <w:r w:rsidR="00AF5D41">
        <w:rPr>
          <w:szCs w:val="24"/>
        </w:rPr>
        <w:t>1</w:t>
      </w:r>
      <w:r w:rsidR="002E0934">
        <w:rPr>
          <w:szCs w:val="24"/>
        </w:rPr>
        <w:t> </w:t>
      </w:r>
      <w:r w:rsidR="00C5442F">
        <w:rPr>
          <w:szCs w:val="24"/>
        </w:rPr>
        <w:t>7</w:t>
      </w:r>
      <w:r w:rsidR="002E0934">
        <w:rPr>
          <w:szCs w:val="24"/>
        </w:rPr>
        <w:t>39,15</w:t>
      </w:r>
      <w:r w:rsidR="00AF5D41">
        <w:rPr>
          <w:szCs w:val="24"/>
        </w:rPr>
        <w:t xml:space="preserve"> mln EUR, </w:t>
      </w:r>
      <w:r w:rsidR="00AF5D41" w:rsidRPr="00857B05">
        <w:rPr>
          <w:szCs w:val="24"/>
        </w:rPr>
        <w:t xml:space="preserve">co stanowi </w:t>
      </w:r>
      <w:r w:rsidR="00F74234">
        <w:rPr>
          <w:szCs w:val="24"/>
        </w:rPr>
        <w:t xml:space="preserve">99,54 </w:t>
      </w:r>
      <w:r w:rsidR="00AF5D41" w:rsidRPr="00857B05">
        <w:rPr>
          <w:szCs w:val="24"/>
        </w:rPr>
        <w:t xml:space="preserve">% dostępnej alokacji. </w:t>
      </w:r>
    </w:p>
    <w:p w14:paraId="64017595" w14:textId="16DEAC18" w:rsidR="00AF5D41" w:rsidRDefault="00AF5D41" w:rsidP="00C5442F">
      <w:pPr>
        <w:autoSpaceDE w:val="0"/>
        <w:autoSpaceDN w:val="0"/>
        <w:adjustRightInd w:val="0"/>
        <w:spacing w:after="120"/>
        <w:jc w:val="both"/>
        <w:rPr>
          <w:color w:val="000000" w:themeColor="text1"/>
          <w:szCs w:val="24"/>
        </w:rPr>
      </w:pPr>
      <w:r w:rsidRPr="007B45A2">
        <w:rPr>
          <w:color w:val="000000" w:themeColor="text1"/>
          <w:szCs w:val="24"/>
        </w:rPr>
        <w:t xml:space="preserve">Na koniec grudnia </w:t>
      </w:r>
      <w:r w:rsidR="00C5442F" w:rsidRPr="007B45A2">
        <w:rPr>
          <w:color w:val="000000" w:themeColor="text1"/>
          <w:szCs w:val="24"/>
        </w:rPr>
        <w:t>2016</w:t>
      </w:r>
      <w:r w:rsidRPr="007B45A2">
        <w:rPr>
          <w:color w:val="000000" w:themeColor="text1"/>
          <w:szCs w:val="24"/>
        </w:rPr>
        <w:t xml:space="preserve"> roku w ramach RPO WSL zostało zakończonych </w:t>
      </w:r>
      <w:r w:rsidR="007B45A2" w:rsidRPr="007B45A2">
        <w:rPr>
          <w:color w:val="000000" w:themeColor="text1"/>
          <w:szCs w:val="24"/>
        </w:rPr>
        <w:t>5206</w:t>
      </w:r>
      <w:r w:rsidR="007B45A2" w:rsidRPr="007B45A2">
        <w:rPr>
          <w:rStyle w:val="Odwoanieprzypisudolnego"/>
          <w:color w:val="000000" w:themeColor="text1"/>
          <w:szCs w:val="24"/>
        </w:rPr>
        <w:footnoteReference w:id="2"/>
      </w:r>
      <w:r w:rsidRPr="007B45A2">
        <w:rPr>
          <w:color w:val="000000" w:themeColor="text1"/>
          <w:szCs w:val="24"/>
        </w:rPr>
        <w:t xml:space="preserve"> projektów o wartości dofinansowania z UE </w:t>
      </w:r>
      <w:r w:rsidR="007B45A2" w:rsidRPr="007B45A2">
        <w:rPr>
          <w:color w:val="000000" w:themeColor="text1"/>
          <w:szCs w:val="24"/>
        </w:rPr>
        <w:t>1 581,94</w:t>
      </w:r>
      <w:r w:rsidRPr="007B45A2">
        <w:rPr>
          <w:color w:val="000000" w:themeColor="text1"/>
          <w:szCs w:val="24"/>
        </w:rPr>
        <w:t xml:space="preserve"> mln EUR.</w:t>
      </w:r>
      <w:r w:rsidRPr="00857B05">
        <w:rPr>
          <w:color w:val="000000" w:themeColor="text1"/>
          <w:szCs w:val="24"/>
        </w:rPr>
        <w:t xml:space="preserve"> </w:t>
      </w:r>
    </w:p>
    <w:p w14:paraId="0C3DA094" w14:textId="4F49F8BC" w:rsidR="00520AF3" w:rsidRPr="00520AF3" w:rsidRDefault="00520AF3" w:rsidP="00C5442F">
      <w:pPr>
        <w:autoSpaceDE w:val="0"/>
        <w:autoSpaceDN w:val="0"/>
        <w:adjustRightInd w:val="0"/>
        <w:spacing w:after="120"/>
        <w:jc w:val="both"/>
        <w:rPr>
          <w:color w:val="000000" w:themeColor="text1"/>
          <w:szCs w:val="24"/>
        </w:rPr>
      </w:pPr>
      <w:r>
        <w:t>Kwota odsetek</w:t>
      </w:r>
      <w:r w:rsidRPr="002B1B7D">
        <w:t xml:space="preserve"> </w:t>
      </w:r>
      <w:r>
        <w:t>narosła</w:t>
      </w:r>
      <w:r w:rsidRPr="002B1B7D">
        <w:t xml:space="preserve"> na rachunku RPO </w:t>
      </w:r>
      <w:r w:rsidRPr="00520AF3">
        <w:t>WSL</w:t>
      </w:r>
      <w:r w:rsidRPr="002B1B7D">
        <w:t xml:space="preserve"> od środków przekazanych przez Komisję Europejską w formie płatności zaliczkowych w okresie 2007-2013 </w:t>
      </w:r>
      <w:r w:rsidRPr="00520AF3">
        <w:t>wynos</w:t>
      </w:r>
      <w:r>
        <w:t>i</w:t>
      </w:r>
      <w:r w:rsidRPr="002B1B7D">
        <w:t xml:space="preserve"> </w:t>
      </w:r>
      <w:r w:rsidRPr="002B1B7D">
        <w:rPr>
          <w:bCs/>
        </w:rPr>
        <w:t xml:space="preserve">4 987 166,61 </w:t>
      </w:r>
      <w:r w:rsidR="00832C38">
        <w:rPr>
          <w:bCs/>
        </w:rPr>
        <w:t>EUR</w:t>
      </w:r>
      <w:r>
        <w:rPr>
          <w:bCs/>
        </w:rPr>
        <w:t xml:space="preserve"> i </w:t>
      </w:r>
      <w:r w:rsidRPr="00520AF3">
        <w:rPr>
          <w:bCs/>
        </w:rPr>
        <w:t>z</w:t>
      </w:r>
      <w:r>
        <w:t>ostała</w:t>
      </w:r>
      <w:r w:rsidRPr="002B1B7D">
        <w:t xml:space="preserve"> </w:t>
      </w:r>
      <w:r w:rsidRPr="00520AF3">
        <w:t>wykorzystan</w:t>
      </w:r>
      <w:r>
        <w:t>a</w:t>
      </w:r>
      <w:r w:rsidRPr="002B1B7D">
        <w:t xml:space="preserve"> na krajowy wkład publiczny.</w:t>
      </w:r>
    </w:p>
    <w:p w14:paraId="0A59DA32" w14:textId="7EFC3274" w:rsidR="00C5442F" w:rsidRDefault="00C5442F" w:rsidP="00C5442F">
      <w:pPr>
        <w:spacing w:after="0"/>
        <w:jc w:val="both"/>
        <w:rPr>
          <w:szCs w:val="24"/>
        </w:rPr>
      </w:pPr>
      <w:r>
        <w:rPr>
          <w:szCs w:val="24"/>
        </w:rPr>
        <w:lastRenderedPageBreak/>
        <w:t>Na poniższym wykresie przedstawiono ogólną informację dot. postępu realizacji Programu oraz poziom wykorzystania alokacji.</w:t>
      </w:r>
    </w:p>
    <w:p w14:paraId="058AEAAC" w14:textId="77777777" w:rsidR="00C52F4E" w:rsidRDefault="00C52F4E" w:rsidP="00C5442F">
      <w:pPr>
        <w:spacing w:after="0"/>
        <w:jc w:val="both"/>
        <w:rPr>
          <w:szCs w:val="24"/>
        </w:rPr>
      </w:pPr>
    </w:p>
    <w:p w14:paraId="730B9CB0" w14:textId="56513C80" w:rsidR="00AF5D41" w:rsidRDefault="00C52F4E" w:rsidP="0094320D">
      <w:pPr>
        <w:jc w:val="both"/>
        <w:rPr>
          <w:b/>
          <w:szCs w:val="24"/>
        </w:rPr>
      </w:pPr>
      <w:r>
        <w:rPr>
          <w:b/>
          <w:noProof/>
          <w:szCs w:val="24"/>
        </w:rPr>
        <w:drawing>
          <wp:inline distT="0" distB="0" distL="0" distR="0" wp14:anchorId="074C7E8B" wp14:editId="2AD55CAE">
            <wp:extent cx="6193790" cy="3841115"/>
            <wp:effectExtent l="0" t="0" r="0" b="698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3790" cy="3841115"/>
                    </a:xfrm>
                    <a:prstGeom prst="rect">
                      <a:avLst/>
                    </a:prstGeom>
                    <a:noFill/>
                  </pic:spPr>
                </pic:pic>
              </a:graphicData>
            </a:graphic>
          </wp:inline>
        </w:drawing>
      </w:r>
    </w:p>
    <w:p w14:paraId="5DFDBE87" w14:textId="6C37D490" w:rsidR="00EB2C3D" w:rsidRPr="00951D3C" w:rsidRDefault="007A6688" w:rsidP="007A6688">
      <w:pPr>
        <w:pStyle w:val="Legenda"/>
        <w:rPr>
          <w:b w:val="0"/>
          <w:color w:val="auto"/>
          <w:sz w:val="20"/>
          <w:szCs w:val="20"/>
        </w:rPr>
      </w:pPr>
      <w:bookmarkStart w:id="85" w:name="_Toc476832922"/>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w:t>
      </w:r>
      <w:r w:rsidR="00A44293" w:rsidRPr="00A44293">
        <w:rPr>
          <w:noProof/>
          <w:color w:val="auto"/>
        </w:rPr>
        <w:fldChar w:fldCharType="end"/>
      </w:r>
      <w:r>
        <w:t xml:space="preserve"> </w:t>
      </w:r>
      <w:r w:rsidR="00E740B2">
        <w:rPr>
          <w:b w:val="0"/>
          <w:i/>
          <w:color w:val="auto"/>
          <w:sz w:val="20"/>
          <w:szCs w:val="20"/>
        </w:rPr>
        <w:t xml:space="preserve">Postęp finansowy </w:t>
      </w:r>
      <w:r w:rsidR="00951D3C" w:rsidRPr="00951D3C">
        <w:rPr>
          <w:b w:val="0"/>
          <w:i/>
          <w:color w:val="auto"/>
          <w:sz w:val="20"/>
          <w:szCs w:val="20"/>
        </w:rPr>
        <w:t>RPO WSL</w:t>
      </w:r>
      <w:r w:rsidR="00E740B2">
        <w:rPr>
          <w:b w:val="0"/>
          <w:i/>
          <w:color w:val="auto"/>
          <w:sz w:val="20"/>
          <w:szCs w:val="20"/>
        </w:rPr>
        <w:t xml:space="preserve"> 2007-2013</w:t>
      </w:r>
      <w:bookmarkEnd w:id="85"/>
    </w:p>
    <w:p w14:paraId="0263DB92" w14:textId="5483ADE7" w:rsidR="00C5442F" w:rsidRPr="00AB193B" w:rsidRDefault="00C5442F" w:rsidP="00C5442F">
      <w:pPr>
        <w:pStyle w:val="Tekstpodstawowywcity"/>
        <w:spacing w:before="120"/>
        <w:ind w:left="0"/>
        <w:jc w:val="both"/>
        <w:rPr>
          <w:b/>
          <w:szCs w:val="24"/>
        </w:rPr>
      </w:pPr>
      <w:r w:rsidRPr="00AB193B">
        <w:rPr>
          <w:b/>
          <w:szCs w:val="24"/>
        </w:rPr>
        <w:t>Projekty kluczowe</w:t>
      </w:r>
    </w:p>
    <w:p w14:paraId="3E37D323" w14:textId="7EABBFC6" w:rsidR="009A185E" w:rsidRPr="009A185E" w:rsidRDefault="009A185E" w:rsidP="009A185E">
      <w:pPr>
        <w:spacing w:after="120"/>
        <w:jc w:val="both"/>
        <w:rPr>
          <w:szCs w:val="24"/>
        </w:rPr>
      </w:pPr>
      <w:r w:rsidRPr="009A185E">
        <w:rPr>
          <w:rFonts w:eastAsia="TTE10A8D70t00"/>
          <w:szCs w:val="24"/>
        </w:rPr>
        <w:t xml:space="preserve">W </w:t>
      </w:r>
      <w:r w:rsidRPr="00FD3076">
        <w:rPr>
          <w:rFonts w:eastAsia="TTE10A8D70t00"/>
          <w:i/>
          <w:szCs w:val="24"/>
        </w:rPr>
        <w:t>Indykatywnym Wykazie Indywidualnych Projektów Kluczowych</w:t>
      </w:r>
      <w:r w:rsidRPr="009A185E">
        <w:rPr>
          <w:rFonts w:eastAsia="TTE10A8D70t00"/>
          <w:szCs w:val="24"/>
        </w:rPr>
        <w:t xml:space="preserve"> znalazły się najważniejsze inwestycje planowane do finansowania w ramach RPO WSL, mające zasadnicze znaczenie dla realizacji </w:t>
      </w:r>
      <w:r w:rsidRPr="009A185E">
        <w:rPr>
          <w:rFonts w:eastAsia="TTE10A8D70t00"/>
          <w:i/>
          <w:szCs w:val="24"/>
        </w:rPr>
        <w:t>Strategii Rozwoju Województwa Śląskiego</w:t>
      </w:r>
      <w:r w:rsidRPr="009A185E">
        <w:rPr>
          <w:rFonts w:eastAsia="TTE10A8D70t00"/>
          <w:szCs w:val="24"/>
        </w:rPr>
        <w:t>. Wyboru projektów kluczowych dokonał Zarząd Województwa, biorąc pod uwagę propozycje przedstawicieli największych miast województwa.</w:t>
      </w:r>
    </w:p>
    <w:p w14:paraId="74F8B09B" w14:textId="02C803E1" w:rsidR="00EF3367" w:rsidRDefault="00C5442F" w:rsidP="00EF3367">
      <w:pPr>
        <w:jc w:val="both"/>
      </w:pPr>
      <w:r>
        <w:t xml:space="preserve">W ramach RPO WSL 2007-2013 zrealizowano 32 projekty kluczowe, w tym 3 duże projekty. </w:t>
      </w:r>
      <w:r w:rsidR="00FD3076">
        <w:rPr>
          <w:color w:val="000000" w:themeColor="text1"/>
        </w:rPr>
        <w:t>W</w:t>
      </w:r>
      <w:r w:rsidR="00EF3367">
        <w:rPr>
          <w:color w:val="000000" w:themeColor="text1"/>
        </w:rPr>
        <w:t xml:space="preserve"> r</w:t>
      </w:r>
      <w:r w:rsidR="003F10E9">
        <w:rPr>
          <w:color w:val="000000" w:themeColor="text1"/>
        </w:rPr>
        <w:t>amach 32 projektów kluczowych 7 </w:t>
      </w:r>
      <w:r w:rsidR="00EF3367">
        <w:rPr>
          <w:color w:val="000000" w:themeColor="text1"/>
        </w:rPr>
        <w:t xml:space="preserve">zrealizowano w 50 podprojektach, czyli łącznie zostało zrealizowanych </w:t>
      </w:r>
      <w:r w:rsidR="00EF3367" w:rsidRPr="00C5442F">
        <w:rPr>
          <w:color w:val="000000" w:themeColor="text1"/>
        </w:rPr>
        <w:t>75 projektów kluczowych.</w:t>
      </w:r>
      <w:r w:rsidR="00EF3367">
        <w:t xml:space="preserve"> Wszystkie projekt</w:t>
      </w:r>
      <w:r w:rsidR="00FD3076">
        <w:t>y zostały zakończone rzeczowo i </w:t>
      </w:r>
      <w:r w:rsidR="00EF3367">
        <w:t>finansowo, jak również zostały złożone i wypłacone wnioski o płatność końcową.</w:t>
      </w:r>
      <w:r w:rsidR="00F81A05">
        <w:t xml:space="preserve"> Łączna wartość dofinansowania, </w:t>
      </w:r>
      <w:r w:rsidR="00EF3367">
        <w:t>która została wy</w:t>
      </w:r>
      <w:r w:rsidR="00FD3076">
        <w:t>płacona dla ww. projektów wyniosła</w:t>
      </w:r>
      <w:r w:rsidR="00EF3367">
        <w:t xml:space="preserve"> 345,09 mln EUR.</w:t>
      </w:r>
    </w:p>
    <w:p w14:paraId="15552FF0" w14:textId="1B96BC14" w:rsidR="00EF3367" w:rsidRPr="00263C92" w:rsidRDefault="00C5442F" w:rsidP="00EF3367">
      <w:pPr>
        <w:spacing w:before="100" w:beforeAutospacing="1" w:after="100" w:afterAutospacing="1"/>
        <w:jc w:val="both"/>
      </w:pPr>
      <w:r>
        <w:t>Uchwałą Zarządu Województwa Śląskiego nr 385/316/IV/2014 z 4 marca 2014 r. decyzja o dofina</w:t>
      </w:r>
      <w:r w:rsidR="00FD3076">
        <w:t xml:space="preserve">nsowanie projektu własnego pn. </w:t>
      </w:r>
      <w:r w:rsidRPr="00FD3076">
        <w:rPr>
          <w:i/>
        </w:rPr>
        <w:t>Kontynuacja budowy Drogowej Trasy Średnicowej ZACHÓD odcinek Zabrze-G</w:t>
      </w:r>
      <w:r w:rsidR="00F81A05" w:rsidRPr="00FD3076">
        <w:rPr>
          <w:i/>
        </w:rPr>
        <w:t xml:space="preserve">liwice, Podprojekt 3 - odcinek </w:t>
      </w:r>
      <w:r w:rsidRPr="00FD3076">
        <w:rPr>
          <w:i/>
        </w:rPr>
        <w:t>G2 w Gliwicach</w:t>
      </w:r>
      <w:r>
        <w:t xml:space="preserve"> nr UDA-RPSL.07.01.01-00-002/11-02 z dnia 25 czerwca 2013 r. realizowanego przez Województwo Śląskie została uchylona ze względu na otrzymane przez</w:t>
      </w:r>
      <w:r w:rsidR="00EF3367">
        <w:t xml:space="preserve"> beneficjenta dofinansowanie ze </w:t>
      </w:r>
      <w:r>
        <w:t>środków Programu Operacyjnego Infrastruktura i Środowisko.</w:t>
      </w:r>
      <w:r w:rsidR="00EF3367">
        <w:t xml:space="preserve"> Ponadto</w:t>
      </w:r>
      <w:r w:rsidR="00DA5405">
        <w:t>,</w:t>
      </w:r>
      <w:r w:rsidR="00EF3367">
        <w:t xml:space="preserve"> w związku </w:t>
      </w:r>
      <w:r w:rsidR="00EF3367">
        <w:lastRenderedPageBreak/>
        <w:t xml:space="preserve">z niedotrzymaniem terminu rzeczowego rozpoczęcia realizacji projektu </w:t>
      </w:r>
      <w:r w:rsidR="00EF3367">
        <w:rPr>
          <w:i/>
          <w:iCs/>
        </w:rPr>
        <w:t>Budowa nowoczesnej hali widowiskowo-sportowej Podium,</w:t>
      </w:r>
      <w:r w:rsidR="00EF3367">
        <w:rPr>
          <w:b/>
          <w:bCs/>
        </w:rPr>
        <w:t xml:space="preserve"> </w:t>
      </w:r>
      <w:r w:rsidR="00EF3367">
        <w:t xml:space="preserve">Zarząd Województwa Śląskiego, Uchwałą nr 3625/219/IV/2012 z dnia 21 grudnia 2012 r. podjął decyzję o rozwiązaniu przedmiotowej umowy na podstawie § 21 ust. 1 pkt. 1 umowy nr UDA-RPSL.06.01.00-00-002/09-00 o dofinansowanie projektu.  </w:t>
      </w:r>
    </w:p>
    <w:p w14:paraId="490A4980" w14:textId="77777777" w:rsidR="00C5442F" w:rsidRDefault="00C5442F" w:rsidP="00C5442F">
      <w:pPr>
        <w:jc w:val="both"/>
      </w:pPr>
      <w:r>
        <w:t xml:space="preserve">Szczegółowe informacje dot. realizacji poszczególnych projektów kluczowych z IWIPK zostały przedstawione w załączniku nr XII do </w:t>
      </w:r>
      <w:r>
        <w:rPr>
          <w:i/>
          <w:iCs/>
        </w:rPr>
        <w:t>Sprawozdania.</w:t>
      </w:r>
    </w:p>
    <w:p w14:paraId="13A7D432" w14:textId="51A07458" w:rsidR="00C5442F" w:rsidRDefault="006C3F43" w:rsidP="00C5442F">
      <w:pPr>
        <w:spacing w:after="120"/>
        <w:jc w:val="both"/>
        <w:rPr>
          <w:b/>
          <w:szCs w:val="24"/>
          <w:lang w:eastAsia="ar-SA"/>
        </w:rPr>
      </w:pPr>
      <w:r>
        <w:rPr>
          <w:b/>
          <w:szCs w:val="24"/>
          <w:lang w:eastAsia="ar-SA"/>
        </w:rPr>
        <w:t>Programy Rozwoju S</w:t>
      </w:r>
      <w:r w:rsidR="00EF3367" w:rsidRPr="003F5F3D">
        <w:rPr>
          <w:b/>
          <w:szCs w:val="24"/>
          <w:lang w:eastAsia="ar-SA"/>
        </w:rPr>
        <w:t>ubregionów</w:t>
      </w:r>
    </w:p>
    <w:p w14:paraId="679F0FD5" w14:textId="23181905" w:rsidR="009A185E" w:rsidRPr="009A185E" w:rsidRDefault="009A185E" w:rsidP="009A185E">
      <w:pPr>
        <w:spacing w:before="120" w:after="0" w:line="288" w:lineRule="auto"/>
        <w:jc w:val="both"/>
        <w:rPr>
          <w:szCs w:val="24"/>
        </w:rPr>
      </w:pPr>
      <w:r w:rsidRPr="009A185E">
        <w:rPr>
          <w:rFonts w:eastAsia="TTE10A8D70t00"/>
          <w:color w:val="000000"/>
          <w:szCs w:val="24"/>
        </w:rPr>
        <w:t xml:space="preserve">Programy Rozwoju Subregionów obejmowały listy projektów mających strategiczne znaczenie dla rozwoju danego subregionu (a w ten sposób dla realizacji całego Programu). </w:t>
      </w:r>
      <w:r w:rsidRPr="009A185E">
        <w:rPr>
          <w:szCs w:val="24"/>
        </w:rPr>
        <w:t xml:space="preserve">Najwięcej środków w ramach alokacji PRS przeznaczono na obszar społeczeństwa informacyjnego </w:t>
      </w:r>
      <w:r>
        <w:rPr>
          <w:szCs w:val="24"/>
        </w:rPr>
        <w:t>(p</w:t>
      </w:r>
      <w:r w:rsidRPr="009A185E">
        <w:rPr>
          <w:szCs w:val="24"/>
        </w:rPr>
        <w:t>riorytet II), transport (</w:t>
      </w:r>
      <w:r>
        <w:rPr>
          <w:szCs w:val="24"/>
        </w:rPr>
        <w:t>p</w:t>
      </w:r>
      <w:r w:rsidRPr="009A185E">
        <w:rPr>
          <w:szCs w:val="24"/>
        </w:rPr>
        <w:t>riorytet VII) i zrównoważony rozwó</w:t>
      </w:r>
      <w:r>
        <w:rPr>
          <w:szCs w:val="24"/>
        </w:rPr>
        <w:t>j miast (p</w:t>
      </w:r>
      <w:r w:rsidRPr="009A185E">
        <w:rPr>
          <w:szCs w:val="24"/>
        </w:rPr>
        <w:t xml:space="preserve">riorytet VI). </w:t>
      </w:r>
    </w:p>
    <w:p w14:paraId="21E4F99A" w14:textId="4AFD42FD" w:rsidR="006C3F43" w:rsidRDefault="00B51E88" w:rsidP="00C5442F">
      <w:pPr>
        <w:spacing w:after="120"/>
        <w:jc w:val="both"/>
        <w:rPr>
          <w:szCs w:val="24"/>
        </w:rPr>
      </w:pPr>
      <w:r>
        <w:rPr>
          <w:szCs w:val="24"/>
        </w:rPr>
        <w:t>Poniżej w tabeli przedstawiono postęp realizacji PRS</w:t>
      </w:r>
      <w:r w:rsidR="008054D3">
        <w:rPr>
          <w:szCs w:val="24"/>
        </w:rPr>
        <w:t xml:space="preserve"> kumulatywnie</w:t>
      </w:r>
      <w:r>
        <w:rPr>
          <w:szCs w:val="24"/>
        </w:rPr>
        <w:t>.</w:t>
      </w:r>
    </w:p>
    <w:p w14:paraId="61023280" w14:textId="2EC03689" w:rsidR="00B51E88" w:rsidRPr="00B51E88" w:rsidRDefault="00B51E88" w:rsidP="00B51E88">
      <w:pPr>
        <w:pStyle w:val="Legenda"/>
        <w:rPr>
          <w:color w:val="auto"/>
          <w:sz w:val="20"/>
          <w:szCs w:val="20"/>
        </w:rPr>
      </w:pPr>
      <w:bookmarkStart w:id="86" w:name="_Toc476131784"/>
      <w:r w:rsidRPr="00B51E88">
        <w:rPr>
          <w:color w:val="auto"/>
          <w:sz w:val="20"/>
          <w:szCs w:val="20"/>
        </w:rPr>
        <w:t xml:space="preserve">Tabela </w:t>
      </w:r>
      <w:r w:rsidRPr="00B51E88">
        <w:rPr>
          <w:color w:val="auto"/>
          <w:sz w:val="20"/>
          <w:szCs w:val="20"/>
        </w:rPr>
        <w:fldChar w:fldCharType="begin"/>
      </w:r>
      <w:r w:rsidRPr="00B51E88">
        <w:rPr>
          <w:color w:val="auto"/>
          <w:sz w:val="20"/>
          <w:szCs w:val="20"/>
        </w:rPr>
        <w:instrText xml:space="preserve"> SEQ Tabela \* ARABIC </w:instrText>
      </w:r>
      <w:r w:rsidRPr="00B51E88">
        <w:rPr>
          <w:color w:val="auto"/>
          <w:sz w:val="20"/>
          <w:szCs w:val="20"/>
        </w:rPr>
        <w:fldChar w:fldCharType="separate"/>
      </w:r>
      <w:r w:rsidR="0050297D">
        <w:rPr>
          <w:noProof/>
          <w:color w:val="auto"/>
          <w:sz w:val="20"/>
          <w:szCs w:val="20"/>
        </w:rPr>
        <w:t>1</w:t>
      </w:r>
      <w:r w:rsidRPr="00B51E88">
        <w:rPr>
          <w:color w:val="auto"/>
          <w:sz w:val="20"/>
          <w:szCs w:val="20"/>
        </w:rPr>
        <w:fldChar w:fldCharType="end"/>
      </w:r>
      <w:r w:rsidRPr="00B51E88">
        <w:rPr>
          <w:color w:val="auto"/>
          <w:sz w:val="20"/>
          <w:szCs w:val="20"/>
        </w:rPr>
        <w:t xml:space="preserve"> </w:t>
      </w:r>
      <w:r w:rsidRPr="00B51E88">
        <w:rPr>
          <w:b w:val="0"/>
          <w:i/>
          <w:color w:val="auto"/>
          <w:sz w:val="20"/>
          <w:szCs w:val="20"/>
        </w:rPr>
        <w:t>Postęp realizacji PRS</w:t>
      </w:r>
      <w:bookmarkEnd w:id="86"/>
    </w:p>
    <w:tbl>
      <w:tblPr>
        <w:tblStyle w:val="Tabelalisty3akcent61"/>
        <w:tblW w:w="9020" w:type="dxa"/>
        <w:jc w:val="center"/>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820"/>
        <w:gridCol w:w="798"/>
        <w:gridCol w:w="833"/>
        <w:gridCol w:w="820"/>
        <w:gridCol w:w="798"/>
        <w:gridCol w:w="833"/>
        <w:gridCol w:w="820"/>
        <w:gridCol w:w="798"/>
        <w:gridCol w:w="833"/>
        <w:gridCol w:w="816"/>
        <w:gridCol w:w="851"/>
      </w:tblGrid>
      <w:tr w:rsidR="00FD3076" w:rsidRPr="00FD3076" w14:paraId="4A461A9F" w14:textId="77777777" w:rsidTr="00FD3076">
        <w:trPr>
          <w:cnfStyle w:val="100000000000" w:firstRow="1" w:lastRow="0" w:firstColumn="0" w:lastColumn="0" w:oddVBand="0" w:evenVBand="0" w:oddHBand="0" w:evenHBand="0" w:firstRowFirstColumn="0" w:firstRowLastColumn="0" w:lastRowFirstColumn="0" w:lastRowLastColumn="0"/>
          <w:trHeight w:val="1003"/>
          <w:jc w:val="center"/>
        </w:trPr>
        <w:tc>
          <w:tcPr>
            <w:cnfStyle w:val="001000000100" w:firstRow="0" w:lastRow="0" w:firstColumn="1" w:lastColumn="0" w:oddVBand="0" w:evenVBand="0" w:oddHBand="0" w:evenHBand="0" w:firstRowFirstColumn="1" w:firstRowLastColumn="0" w:lastRowFirstColumn="0" w:lastRowLastColumn="0"/>
            <w:tcW w:w="2460" w:type="dxa"/>
            <w:gridSpan w:val="3"/>
            <w:tcBorders>
              <w:bottom w:val="none" w:sz="0" w:space="0" w:color="auto"/>
              <w:right w:val="none" w:sz="0" w:space="0" w:color="auto"/>
            </w:tcBorders>
            <w:vAlign w:val="center"/>
            <w:hideMark/>
          </w:tcPr>
          <w:p w14:paraId="56C04CC2" w14:textId="38BD3066" w:rsidR="00B51E88" w:rsidRPr="00FD3076" w:rsidRDefault="00B51E88" w:rsidP="00FD3076">
            <w:pPr>
              <w:spacing w:after="0" w:line="240" w:lineRule="auto"/>
              <w:jc w:val="center"/>
              <w:rPr>
                <w:bCs w:val="0"/>
                <w:color w:val="auto"/>
                <w:sz w:val="20"/>
                <w:szCs w:val="20"/>
              </w:rPr>
            </w:pPr>
            <w:bookmarkStart w:id="87" w:name="RANGE!A1:K3"/>
            <w:r w:rsidRPr="00FD3076">
              <w:rPr>
                <w:bCs w:val="0"/>
                <w:color w:val="auto"/>
                <w:sz w:val="20"/>
                <w:szCs w:val="20"/>
              </w:rPr>
              <w:t>ZŁOŻONE WNIOSKI O DOFINANSOWANIE</w:t>
            </w:r>
            <w:bookmarkEnd w:id="87"/>
          </w:p>
        </w:tc>
        <w:tc>
          <w:tcPr>
            <w:tcW w:w="2460" w:type="dxa"/>
            <w:gridSpan w:val="3"/>
            <w:vAlign w:val="center"/>
            <w:hideMark/>
          </w:tcPr>
          <w:p w14:paraId="2A4D9F05" w14:textId="76469FAA" w:rsidR="00B51E88" w:rsidRPr="00FD3076" w:rsidRDefault="00B51E88" w:rsidP="00FD3076">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FD3076">
              <w:rPr>
                <w:bCs w:val="0"/>
                <w:color w:val="auto"/>
                <w:sz w:val="20"/>
                <w:szCs w:val="20"/>
              </w:rPr>
              <w:t>WNIOSKI WYBRANE DO DOFINANSOWANIA</w:t>
            </w:r>
          </w:p>
        </w:tc>
        <w:tc>
          <w:tcPr>
            <w:tcW w:w="2460" w:type="dxa"/>
            <w:gridSpan w:val="3"/>
            <w:vAlign w:val="center"/>
            <w:hideMark/>
          </w:tcPr>
          <w:p w14:paraId="7EDA55E9" w14:textId="4DCCB426" w:rsidR="00B51E88" w:rsidRPr="00FD3076" w:rsidRDefault="00B51E88" w:rsidP="00FD3076">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FD3076">
              <w:rPr>
                <w:bCs w:val="0"/>
                <w:color w:val="auto"/>
                <w:sz w:val="20"/>
                <w:szCs w:val="20"/>
              </w:rPr>
              <w:t>KONTRAKTACJA</w:t>
            </w:r>
          </w:p>
        </w:tc>
        <w:tc>
          <w:tcPr>
            <w:tcW w:w="1640" w:type="dxa"/>
            <w:gridSpan w:val="2"/>
            <w:vAlign w:val="center"/>
            <w:hideMark/>
          </w:tcPr>
          <w:p w14:paraId="191EB658" w14:textId="410AFFCC" w:rsidR="00B51E88" w:rsidRPr="00FD3076" w:rsidRDefault="00B51E88" w:rsidP="00FD3076">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FD3076">
              <w:rPr>
                <w:bCs w:val="0"/>
                <w:color w:val="auto"/>
                <w:sz w:val="20"/>
                <w:szCs w:val="20"/>
              </w:rPr>
              <w:t>CERTFIKACJA</w:t>
            </w:r>
          </w:p>
        </w:tc>
      </w:tr>
      <w:tr w:rsidR="00FD3076" w:rsidRPr="00FD3076" w14:paraId="031871A2" w14:textId="77777777" w:rsidTr="00FD3076">
        <w:trPr>
          <w:cnfStyle w:val="000000100000" w:firstRow="0" w:lastRow="0" w:firstColumn="0" w:lastColumn="0" w:oddVBand="0" w:evenVBand="0" w:oddHBand="1" w:evenHBand="0" w:firstRowFirstColumn="0" w:firstRowLastColumn="0" w:lastRowFirstColumn="0" w:lastRowLastColumn="0"/>
          <w:trHeight w:val="645"/>
          <w:jc w:val="center"/>
        </w:trPr>
        <w:tc>
          <w:tcPr>
            <w:cnfStyle w:val="001000000000" w:firstRow="0" w:lastRow="0" w:firstColumn="1" w:lastColumn="0" w:oddVBand="0" w:evenVBand="0" w:oddHBand="0" w:evenHBand="0" w:firstRowFirstColumn="0" w:firstRowLastColumn="0" w:lastRowFirstColumn="0" w:lastRowLastColumn="0"/>
            <w:tcW w:w="820" w:type="dxa"/>
            <w:tcBorders>
              <w:top w:val="none" w:sz="0" w:space="0" w:color="auto"/>
              <w:bottom w:val="none" w:sz="0" w:space="0" w:color="auto"/>
              <w:right w:val="none" w:sz="0" w:space="0" w:color="auto"/>
            </w:tcBorders>
            <w:noWrap/>
            <w:vAlign w:val="center"/>
            <w:hideMark/>
          </w:tcPr>
          <w:p w14:paraId="7E7818A1" w14:textId="77777777" w:rsidR="00B51E88" w:rsidRPr="00FD3076" w:rsidRDefault="00B51E88" w:rsidP="00FD3076">
            <w:pPr>
              <w:spacing w:after="0" w:line="240" w:lineRule="auto"/>
              <w:jc w:val="center"/>
              <w:rPr>
                <w:bCs w:val="0"/>
                <w:sz w:val="20"/>
                <w:szCs w:val="20"/>
              </w:rPr>
            </w:pPr>
            <w:r w:rsidRPr="00FD3076">
              <w:rPr>
                <w:bCs w:val="0"/>
                <w:sz w:val="20"/>
                <w:szCs w:val="20"/>
              </w:rPr>
              <w:t>Liczba</w:t>
            </w:r>
          </w:p>
        </w:tc>
        <w:tc>
          <w:tcPr>
            <w:tcW w:w="820" w:type="dxa"/>
            <w:tcBorders>
              <w:top w:val="none" w:sz="0" w:space="0" w:color="auto"/>
              <w:bottom w:val="none" w:sz="0" w:space="0" w:color="auto"/>
            </w:tcBorders>
            <w:vAlign w:val="center"/>
            <w:hideMark/>
          </w:tcPr>
          <w:p w14:paraId="6055D4A5"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mln EUR</w:t>
            </w:r>
          </w:p>
        </w:tc>
        <w:tc>
          <w:tcPr>
            <w:tcW w:w="820" w:type="dxa"/>
            <w:tcBorders>
              <w:top w:val="none" w:sz="0" w:space="0" w:color="auto"/>
              <w:bottom w:val="none" w:sz="0" w:space="0" w:color="auto"/>
            </w:tcBorders>
            <w:vAlign w:val="center"/>
            <w:hideMark/>
          </w:tcPr>
          <w:p w14:paraId="57CB9708"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w:t>
            </w:r>
          </w:p>
        </w:tc>
        <w:tc>
          <w:tcPr>
            <w:tcW w:w="820" w:type="dxa"/>
            <w:tcBorders>
              <w:top w:val="none" w:sz="0" w:space="0" w:color="auto"/>
              <w:bottom w:val="none" w:sz="0" w:space="0" w:color="auto"/>
            </w:tcBorders>
            <w:noWrap/>
            <w:vAlign w:val="center"/>
            <w:hideMark/>
          </w:tcPr>
          <w:p w14:paraId="386DE69F"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Liczba</w:t>
            </w:r>
          </w:p>
        </w:tc>
        <w:tc>
          <w:tcPr>
            <w:tcW w:w="820" w:type="dxa"/>
            <w:tcBorders>
              <w:top w:val="none" w:sz="0" w:space="0" w:color="auto"/>
              <w:bottom w:val="none" w:sz="0" w:space="0" w:color="auto"/>
            </w:tcBorders>
            <w:vAlign w:val="center"/>
            <w:hideMark/>
          </w:tcPr>
          <w:p w14:paraId="6B353DFF"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mln EUR</w:t>
            </w:r>
          </w:p>
        </w:tc>
        <w:tc>
          <w:tcPr>
            <w:tcW w:w="820" w:type="dxa"/>
            <w:tcBorders>
              <w:top w:val="none" w:sz="0" w:space="0" w:color="auto"/>
              <w:bottom w:val="none" w:sz="0" w:space="0" w:color="auto"/>
            </w:tcBorders>
            <w:vAlign w:val="center"/>
            <w:hideMark/>
          </w:tcPr>
          <w:p w14:paraId="7498507A"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w:t>
            </w:r>
          </w:p>
        </w:tc>
        <w:tc>
          <w:tcPr>
            <w:tcW w:w="820" w:type="dxa"/>
            <w:tcBorders>
              <w:top w:val="none" w:sz="0" w:space="0" w:color="auto"/>
              <w:bottom w:val="none" w:sz="0" w:space="0" w:color="auto"/>
            </w:tcBorders>
            <w:noWrap/>
            <w:vAlign w:val="center"/>
            <w:hideMark/>
          </w:tcPr>
          <w:p w14:paraId="12544771"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Liczba</w:t>
            </w:r>
          </w:p>
        </w:tc>
        <w:tc>
          <w:tcPr>
            <w:tcW w:w="820" w:type="dxa"/>
            <w:tcBorders>
              <w:top w:val="none" w:sz="0" w:space="0" w:color="auto"/>
              <w:bottom w:val="none" w:sz="0" w:space="0" w:color="auto"/>
            </w:tcBorders>
            <w:vAlign w:val="center"/>
            <w:hideMark/>
          </w:tcPr>
          <w:p w14:paraId="46457BEA"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mln EUR</w:t>
            </w:r>
          </w:p>
        </w:tc>
        <w:tc>
          <w:tcPr>
            <w:tcW w:w="820" w:type="dxa"/>
            <w:tcBorders>
              <w:top w:val="none" w:sz="0" w:space="0" w:color="auto"/>
              <w:bottom w:val="none" w:sz="0" w:space="0" w:color="auto"/>
            </w:tcBorders>
            <w:vAlign w:val="center"/>
            <w:hideMark/>
          </w:tcPr>
          <w:p w14:paraId="72AF8CE2"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w:t>
            </w:r>
          </w:p>
        </w:tc>
        <w:tc>
          <w:tcPr>
            <w:tcW w:w="820" w:type="dxa"/>
            <w:tcBorders>
              <w:top w:val="none" w:sz="0" w:space="0" w:color="auto"/>
              <w:bottom w:val="none" w:sz="0" w:space="0" w:color="auto"/>
            </w:tcBorders>
            <w:vAlign w:val="center"/>
            <w:hideMark/>
          </w:tcPr>
          <w:p w14:paraId="53BCA1E0"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mln EUR</w:t>
            </w:r>
          </w:p>
        </w:tc>
        <w:tc>
          <w:tcPr>
            <w:tcW w:w="820" w:type="dxa"/>
            <w:tcBorders>
              <w:top w:val="none" w:sz="0" w:space="0" w:color="auto"/>
              <w:bottom w:val="none" w:sz="0" w:space="0" w:color="auto"/>
            </w:tcBorders>
            <w:vAlign w:val="center"/>
            <w:hideMark/>
          </w:tcPr>
          <w:p w14:paraId="069AFE3F" w14:textId="77777777" w:rsidR="00B51E88" w:rsidRPr="00FD3076" w:rsidRDefault="00B51E88" w:rsidP="00FD307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D3076">
              <w:rPr>
                <w:b/>
                <w:bCs/>
                <w:sz w:val="20"/>
                <w:szCs w:val="20"/>
              </w:rPr>
              <w:t>%</w:t>
            </w:r>
          </w:p>
        </w:tc>
      </w:tr>
      <w:tr w:rsidR="00FD3076" w:rsidRPr="00FD3076" w14:paraId="2D15064E" w14:textId="77777777" w:rsidTr="00FD3076">
        <w:trPr>
          <w:trHeight w:val="793"/>
          <w:jc w:val="center"/>
        </w:trPr>
        <w:tc>
          <w:tcPr>
            <w:cnfStyle w:val="001000000000" w:firstRow="0" w:lastRow="0" w:firstColumn="1" w:lastColumn="0" w:oddVBand="0" w:evenVBand="0" w:oddHBand="0" w:evenHBand="0" w:firstRowFirstColumn="0" w:firstRowLastColumn="0" w:lastRowFirstColumn="0" w:lastRowLastColumn="0"/>
            <w:tcW w:w="820" w:type="dxa"/>
            <w:tcBorders>
              <w:right w:val="none" w:sz="0" w:space="0" w:color="auto"/>
            </w:tcBorders>
            <w:vAlign w:val="center"/>
            <w:hideMark/>
          </w:tcPr>
          <w:p w14:paraId="5BCC16E9" w14:textId="7ADD701B" w:rsidR="00B51E88" w:rsidRPr="00FD3076" w:rsidRDefault="00B51E88" w:rsidP="00FD3076">
            <w:pPr>
              <w:spacing w:after="0" w:line="240" w:lineRule="auto"/>
              <w:jc w:val="center"/>
              <w:rPr>
                <w:b w:val="0"/>
                <w:bCs w:val="0"/>
                <w:sz w:val="20"/>
                <w:szCs w:val="20"/>
              </w:rPr>
            </w:pPr>
            <w:r w:rsidRPr="00FD3076">
              <w:rPr>
                <w:b w:val="0"/>
                <w:bCs w:val="0"/>
                <w:sz w:val="20"/>
                <w:szCs w:val="20"/>
              </w:rPr>
              <w:t>249</w:t>
            </w:r>
          </w:p>
        </w:tc>
        <w:tc>
          <w:tcPr>
            <w:tcW w:w="820" w:type="dxa"/>
            <w:vAlign w:val="center"/>
            <w:hideMark/>
          </w:tcPr>
          <w:p w14:paraId="3F97D84A" w14:textId="1C22B01A"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192,10</w:t>
            </w:r>
          </w:p>
        </w:tc>
        <w:tc>
          <w:tcPr>
            <w:tcW w:w="820" w:type="dxa"/>
            <w:vAlign w:val="center"/>
            <w:hideMark/>
          </w:tcPr>
          <w:p w14:paraId="3F517217" w14:textId="77777777"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86,00%</w:t>
            </w:r>
          </w:p>
        </w:tc>
        <w:tc>
          <w:tcPr>
            <w:tcW w:w="820" w:type="dxa"/>
            <w:vAlign w:val="center"/>
            <w:hideMark/>
          </w:tcPr>
          <w:p w14:paraId="3292A2B7" w14:textId="79CA8552"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227</w:t>
            </w:r>
          </w:p>
        </w:tc>
        <w:tc>
          <w:tcPr>
            <w:tcW w:w="820" w:type="dxa"/>
            <w:vAlign w:val="center"/>
            <w:hideMark/>
          </w:tcPr>
          <w:p w14:paraId="3E790F76" w14:textId="69699D9D"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177,65</w:t>
            </w:r>
          </w:p>
        </w:tc>
        <w:tc>
          <w:tcPr>
            <w:tcW w:w="820" w:type="dxa"/>
            <w:vAlign w:val="center"/>
            <w:hideMark/>
          </w:tcPr>
          <w:p w14:paraId="4552F88F" w14:textId="77777777"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79,54%</w:t>
            </w:r>
          </w:p>
        </w:tc>
        <w:tc>
          <w:tcPr>
            <w:tcW w:w="820" w:type="dxa"/>
            <w:vAlign w:val="center"/>
            <w:hideMark/>
          </w:tcPr>
          <w:p w14:paraId="1B1665DC" w14:textId="13D06F92"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227</w:t>
            </w:r>
          </w:p>
        </w:tc>
        <w:tc>
          <w:tcPr>
            <w:tcW w:w="820" w:type="dxa"/>
            <w:vAlign w:val="center"/>
            <w:hideMark/>
          </w:tcPr>
          <w:p w14:paraId="454E6F94" w14:textId="3E54FE38"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175,73</w:t>
            </w:r>
          </w:p>
        </w:tc>
        <w:tc>
          <w:tcPr>
            <w:tcW w:w="820" w:type="dxa"/>
            <w:vAlign w:val="center"/>
            <w:hideMark/>
          </w:tcPr>
          <w:p w14:paraId="6D1B659E" w14:textId="77777777" w:rsidR="00B51E88" w:rsidRPr="00FD3076" w:rsidRDefault="00B51E88"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78,68%</w:t>
            </w:r>
          </w:p>
        </w:tc>
        <w:tc>
          <w:tcPr>
            <w:tcW w:w="820" w:type="dxa"/>
            <w:vAlign w:val="center"/>
          </w:tcPr>
          <w:p w14:paraId="4F164AF8" w14:textId="00B9FBE6" w:rsidR="00B51E88" w:rsidRPr="00FD3076" w:rsidRDefault="00FD3076"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FD3076">
              <w:rPr>
                <w:bCs/>
                <w:sz w:val="20"/>
                <w:szCs w:val="20"/>
              </w:rPr>
              <w:t>178,81</w:t>
            </w:r>
          </w:p>
        </w:tc>
        <w:tc>
          <w:tcPr>
            <w:tcW w:w="820" w:type="dxa"/>
            <w:vAlign w:val="center"/>
          </w:tcPr>
          <w:p w14:paraId="2546ED94" w14:textId="65A3F822" w:rsidR="00B51E88" w:rsidRPr="002514E6" w:rsidRDefault="002514E6" w:rsidP="00FD3076">
            <w:pPr>
              <w:spacing w:after="0"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2514E6">
              <w:rPr>
                <w:sz w:val="20"/>
                <w:szCs w:val="20"/>
              </w:rPr>
              <w:t>80,06%</w:t>
            </w:r>
          </w:p>
        </w:tc>
      </w:tr>
    </w:tbl>
    <w:p w14:paraId="671E5CB9" w14:textId="77777777" w:rsidR="00B51E88" w:rsidRDefault="00B51E88" w:rsidP="00C5442F">
      <w:pPr>
        <w:spacing w:after="120"/>
        <w:jc w:val="both"/>
        <w:rPr>
          <w:b/>
          <w:szCs w:val="24"/>
          <w:lang w:eastAsia="ar-SA"/>
        </w:rPr>
      </w:pPr>
    </w:p>
    <w:p w14:paraId="73C85DB6" w14:textId="2392E7B5" w:rsidR="00C5442F" w:rsidRPr="003F5F3D" w:rsidRDefault="00EF3367" w:rsidP="00C5442F">
      <w:pPr>
        <w:pStyle w:val="NormalnyWeb"/>
        <w:spacing w:after="120"/>
        <w:jc w:val="both"/>
        <w:rPr>
          <w:b/>
        </w:rPr>
      </w:pPr>
      <w:r w:rsidRPr="002B4B12">
        <w:rPr>
          <w:b/>
        </w:rPr>
        <w:t>Harmonogram konkursów</w:t>
      </w:r>
    </w:p>
    <w:p w14:paraId="5FFAF852" w14:textId="24152D2E" w:rsidR="00F81A05" w:rsidRPr="00F81A05" w:rsidRDefault="00C5442F" w:rsidP="00F81A05">
      <w:pPr>
        <w:rPr>
          <w:sz w:val="22"/>
        </w:rPr>
      </w:pPr>
      <w:r w:rsidRPr="00F81A05">
        <w:t xml:space="preserve">Od początku realizacji </w:t>
      </w:r>
      <w:r w:rsidRPr="00F81A05">
        <w:rPr>
          <w:i/>
        </w:rPr>
        <w:t>Programu</w:t>
      </w:r>
      <w:r w:rsidRPr="00F81A05">
        <w:t xml:space="preserve"> ogłoszono 82</w:t>
      </w:r>
      <w:r w:rsidR="00FB048F">
        <w:t xml:space="preserve"> konkursy</w:t>
      </w:r>
      <w:r w:rsidR="00F81A05">
        <w:t xml:space="preserve"> </w:t>
      </w:r>
      <w:r w:rsidR="002B4B12">
        <w:t xml:space="preserve">w tym </w:t>
      </w:r>
      <w:r w:rsidR="00F81A05" w:rsidRPr="00F81A05">
        <w:t>21</w:t>
      </w:r>
      <w:r w:rsidR="00FB048F">
        <w:t xml:space="preserve"> </w:t>
      </w:r>
      <w:r w:rsidR="002B4B12">
        <w:t xml:space="preserve">ogłosiło </w:t>
      </w:r>
      <w:r w:rsidR="00F81A05" w:rsidRPr="00F81A05">
        <w:t>IP2</w:t>
      </w:r>
      <w:r w:rsidR="002B4B12">
        <w:t xml:space="preserve"> RPO WSL a</w:t>
      </w:r>
      <w:r w:rsidR="003F10E9">
        <w:t> </w:t>
      </w:r>
      <w:r w:rsidR="00F81A05" w:rsidRPr="00F81A05">
        <w:t xml:space="preserve">61 </w:t>
      </w:r>
      <w:r w:rsidR="002B4B12">
        <w:t>IZ RPO WSL.</w:t>
      </w:r>
      <w:r w:rsidR="00F81A05" w:rsidRPr="00F81A05">
        <w:t xml:space="preserve"> </w:t>
      </w:r>
      <w:r w:rsidR="00DA5405">
        <w:t>Łączna</w:t>
      </w:r>
      <w:r w:rsidR="002B4B12">
        <w:t xml:space="preserve"> kwota ogłoszonych konkursów to </w:t>
      </w:r>
      <w:r w:rsidR="00FB048F">
        <w:t>1</w:t>
      </w:r>
      <w:r w:rsidR="00DA5405">
        <w:t xml:space="preserve"> 028,55 </w:t>
      </w:r>
      <w:r w:rsidR="00FD3076">
        <w:t>mln</w:t>
      </w:r>
      <w:r w:rsidRPr="00F81A05">
        <w:t xml:space="preserve"> EUR. </w:t>
      </w:r>
    </w:p>
    <w:p w14:paraId="548EB600" w14:textId="77777777" w:rsidR="00141B0A" w:rsidRDefault="00141B0A" w:rsidP="00C5442F">
      <w:pPr>
        <w:pStyle w:val="Akapitzlist"/>
        <w:spacing w:before="120" w:after="120"/>
        <w:ind w:left="0"/>
        <w:jc w:val="both"/>
        <w:rPr>
          <w:b/>
          <w:szCs w:val="24"/>
          <w:lang w:eastAsia="ar-SA"/>
        </w:rPr>
      </w:pPr>
    </w:p>
    <w:p w14:paraId="0C42DA6E" w14:textId="28E0103C" w:rsidR="00C5442F" w:rsidRPr="008E1696" w:rsidRDefault="00EF3367" w:rsidP="00C5442F">
      <w:pPr>
        <w:pStyle w:val="Akapitzlist"/>
        <w:spacing w:before="120" w:after="120"/>
        <w:ind w:left="0"/>
        <w:jc w:val="both"/>
        <w:rPr>
          <w:b/>
          <w:szCs w:val="24"/>
          <w:lang w:eastAsia="ar-SA"/>
        </w:rPr>
      </w:pPr>
      <w:r w:rsidRPr="008E1696">
        <w:rPr>
          <w:b/>
          <w:szCs w:val="24"/>
          <w:lang w:eastAsia="ar-SA"/>
        </w:rPr>
        <w:t>Rozkład projektów</w:t>
      </w:r>
    </w:p>
    <w:p w14:paraId="7BC259CA" w14:textId="5B72F0D0" w:rsidR="00C5442F" w:rsidRPr="00D90934" w:rsidRDefault="00C5442F" w:rsidP="00C5442F">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sidR="00EF3367">
        <w:rPr>
          <w:szCs w:val="24"/>
          <w:lang w:eastAsia="ar-SA"/>
        </w:rPr>
        <w:t xml:space="preserve">kontraktacji </w:t>
      </w:r>
      <w:r w:rsidRPr="00D90934">
        <w:rPr>
          <w:szCs w:val="24"/>
          <w:lang w:eastAsia="ar-SA"/>
        </w:rPr>
        <w:t>w przypadkach braku danych w KSI dane pochodzą z LSI.</w:t>
      </w:r>
    </w:p>
    <w:p w14:paraId="23D788C4" w14:textId="77777777" w:rsidR="00EA24A9" w:rsidRDefault="00EA24A9" w:rsidP="00C5442F">
      <w:pPr>
        <w:spacing w:after="0"/>
        <w:jc w:val="both"/>
        <w:rPr>
          <w:b/>
          <w:szCs w:val="24"/>
          <w:lang w:eastAsia="ar-SA"/>
        </w:rPr>
      </w:pPr>
    </w:p>
    <w:p w14:paraId="69FBA48C" w14:textId="77777777" w:rsidR="00C5442F" w:rsidRPr="00367271" w:rsidRDefault="00C5442F" w:rsidP="00367271">
      <w:pPr>
        <w:pStyle w:val="Akapitzlist"/>
        <w:numPr>
          <w:ilvl w:val="0"/>
          <w:numId w:val="96"/>
        </w:numPr>
        <w:spacing w:after="120"/>
        <w:ind w:left="714" w:hanging="357"/>
        <w:jc w:val="both"/>
        <w:rPr>
          <w:b/>
          <w:szCs w:val="24"/>
          <w:lang w:eastAsia="ar-SA"/>
        </w:rPr>
      </w:pPr>
      <w:r w:rsidRPr="00367271">
        <w:rPr>
          <w:b/>
          <w:szCs w:val="24"/>
          <w:lang w:eastAsia="ar-SA"/>
        </w:rPr>
        <w:t>Projekty w podziale na sektory gospodarki</w:t>
      </w:r>
    </w:p>
    <w:p w14:paraId="19DE2894" w14:textId="7850797C" w:rsidR="004E6046" w:rsidRDefault="004E6046" w:rsidP="00C5442F">
      <w:pPr>
        <w:spacing w:after="0"/>
        <w:jc w:val="both"/>
        <w:rPr>
          <w:i/>
          <w:szCs w:val="24"/>
          <w:lang w:eastAsia="ar-SA"/>
        </w:rPr>
      </w:pPr>
      <w:r>
        <w:rPr>
          <w:szCs w:val="24"/>
          <w:lang w:eastAsia="ar-SA"/>
        </w:rPr>
        <w:t xml:space="preserve">Analiza projektów w podziale na sektory gospodarki została przedstawiona w </w:t>
      </w:r>
      <w:r w:rsidRPr="004E6046">
        <w:rPr>
          <w:szCs w:val="24"/>
          <w:lang w:eastAsia="ar-SA"/>
        </w:rPr>
        <w:t>analizie priorytetu I i III w pkt.</w:t>
      </w:r>
      <w:r>
        <w:rPr>
          <w:szCs w:val="24"/>
          <w:lang w:eastAsia="ar-SA"/>
        </w:rPr>
        <w:t xml:space="preserve">3 niniejszego </w:t>
      </w:r>
      <w:r w:rsidRPr="004E6046">
        <w:rPr>
          <w:i/>
          <w:szCs w:val="24"/>
          <w:lang w:eastAsia="ar-SA"/>
        </w:rPr>
        <w:t>Sprawozdania.</w:t>
      </w:r>
    </w:p>
    <w:p w14:paraId="0349F4B3" w14:textId="77777777" w:rsidR="007F5E4A" w:rsidRDefault="007F5E4A" w:rsidP="00C5442F">
      <w:pPr>
        <w:spacing w:after="0"/>
        <w:jc w:val="both"/>
        <w:rPr>
          <w:i/>
          <w:szCs w:val="24"/>
          <w:lang w:eastAsia="ar-SA"/>
        </w:rPr>
      </w:pPr>
    </w:p>
    <w:p w14:paraId="12F3E601" w14:textId="5E0A11FB" w:rsidR="007F5E4A" w:rsidRDefault="00D92D1D" w:rsidP="00D92D1D">
      <w:pPr>
        <w:spacing w:after="0" w:line="240" w:lineRule="auto"/>
        <w:rPr>
          <w:i/>
          <w:szCs w:val="24"/>
          <w:lang w:eastAsia="ar-SA"/>
        </w:rPr>
      </w:pPr>
      <w:r>
        <w:rPr>
          <w:i/>
          <w:szCs w:val="24"/>
          <w:lang w:eastAsia="ar-SA"/>
        </w:rPr>
        <w:br w:type="page"/>
      </w:r>
    </w:p>
    <w:p w14:paraId="42517019" w14:textId="77777777" w:rsidR="004E6046" w:rsidRPr="004E6046" w:rsidRDefault="004E6046" w:rsidP="00C5442F">
      <w:pPr>
        <w:spacing w:after="0"/>
        <w:jc w:val="both"/>
        <w:rPr>
          <w:szCs w:val="24"/>
          <w:lang w:eastAsia="ar-SA"/>
        </w:rPr>
      </w:pPr>
    </w:p>
    <w:p w14:paraId="21BAEA19" w14:textId="77777777" w:rsidR="00EF3367" w:rsidRPr="00367271" w:rsidRDefault="00EF3367" w:rsidP="00367271">
      <w:pPr>
        <w:pStyle w:val="Akapitzlist"/>
        <w:numPr>
          <w:ilvl w:val="0"/>
          <w:numId w:val="96"/>
        </w:numPr>
        <w:spacing w:after="120"/>
        <w:jc w:val="both"/>
        <w:rPr>
          <w:b/>
          <w:szCs w:val="24"/>
          <w:lang w:eastAsia="ar-SA"/>
        </w:rPr>
      </w:pPr>
      <w:r w:rsidRPr="00367271">
        <w:rPr>
          <w:b/>
          <w:szCs w:val="24"/>
          <w:lang w:eastAsia="ar-SA"/>
        </w:rPr>
        <w:t>Projekty w podziale na formę prawną beneficjentów</w:t>
      </w:r>
    </w:p>
    <w:p w14:paraId="1AB37C34" w14:textId="2D6E7E98" w:rsidR="00EF3367" w:rsidRDefault="00EF3367" w:rsidP="00EF3367">
      <w:pPr>
        <w:jc w:val="both"/>
        <w:rPr>
          <w:szCs w:val="24"/>
        </w:rPr>
      </w:pPr>
      <w:r>
        <w:rPr>
          <w:bCs/>
          <w:szCs w:val="24"/>
          <w:lang w:eastAsia="ar-SA"/>
        </w:rPr>
        <w:t xml:space="preserve">Analizując podział projektów pod względem formy prawnej beneficjentów należy zauważyć, że projekty o największej wartości dofinansowania UE realizowane </w:t>
      </w:r>
      <w:r w:rsidR="005756C5">
        <w:rPr>
          <w:bCs/>
          <w:szCs w:val="24"/>
          <w:lang w:eastAsia="ar-SA"/>
        </w:rPr>
        <w:t>były</w:t>
      </w:r>
      <w:r>
        <w:rPr>
          <w:bCs/>
          <w:szCs w:val="24"/>
          <w:lang w:eastAsia="ar-SA"/>
        </w:rPr>
        <w:t xml:space="preserve"> przez JST</w:t>
      </w:r>
      <w:r>
        <w:rPr>
          <w:szCs w:val="24"/>
        </w:rPr>
        <w:t xml:space="preserve"> </w:t>
      </w:r>
      <w:r w:rsidRPr="00D90934">
        <w:rPr>
          <w:szCs w:val="24"/>
        </w:rPr>
        <w:t>(</w:t>
      </w:r>
      <w:r>
        <w:rPr>
          <w:szCs w:val="24"/>
        </w:rPr>
        <w:t>1156,40</w:t>
      </w:r>
      <w:r w:rsidRPr="00D90934">
        <w:rPr>
          <w:szCs w:val="24"/>
        </w:rPr>
        <w:t xml:space="preserve"> mln EUR)</w:t>
      </w:r>
      <w:r>
        <w:rPr>
          <w:szCs w:val="24"/>
        </w:rPr>
        <w:t xml:space="preserve">, co stanowi 68% wartości dofinansowania w całej omawianej grupie beneficjentów. Projekty o najniższej wartości dofinansowania składane </w:t>
      </w:r>
      <w:r w:rsidR="005756C5">
        <w:rPr>
          <w:szCs w:val="24"/>
        </w:rPr>
        <w:t xml:space="preserve">były </w:t>
      </w:r>
      <w:r>
        <w:rPr>
          <w:szCs w:val="24"/>
        </w:rPr>
        <w:t xml:space="preserve">przez przedsiębiorców. </w:t>
      </w:r>
      <w:r w:rsidRPr="00D90934">
        <w:rPr>
          <w:szCs w:val="24"/>
        </w:rPr>
        <w:t xml:space="preserve">Powodem zaistniałej sytuacji </w:t>
      </w:r>
      <w:r w:rsidR="005756C5">
        <w:rPr>
          <w:szCs w:val="24"/>
        </w:rPr>
        <w:t>był</w:t>
      </w:r>
      <w:r w:rsidR="005756C5" w:rsidRPr="00D90934">
        <w:rPr>
          <w:szCs w:val="24"/>
        </w:rPr>
        <w:t xml:space="preserve"> </w:t>
      </w:r>
      <w:r w:rsidRPr="00D90934">
        <w:rPr>
          <w:szCs w:val="24"/>
        </w:rPr>
        <w:t>określony poziom maksymalnego dofinansowani</w:t>
      </w:r>
      <w:r>
        <w:rPr>
          <w:szCs w:val="24"/>
        </w:rPr>
        <w:t>a</w:t>
      </w:r>
      <w:r w:rsidRPr="00D90934">
        <w:rPr>
          <w:szCs w:val="24"/>
        </w:rPr>
        <w:t xml:space="preserve"> możliwego do otrzymania przez przedsiębiorców</w:t>
      </w:r>
      <w:r>
        <w:rPr>
          <w:szCs w:val="24"/>
        </w:rPr>
        <w:t xml:space="preserve"> (max. wartość dofinansowania wynosi 178,81 mln EUR)</w:t>
      </w:r>
      <w:r w:rsidRPr="00D90934">
        <w:rPr>
          <w:szCs w:val="24"/>
        </w:rPr>
        <w:t xml:space="preserve">. </w:t>
      </w:r>
      <w:r>
        <w:rPr>
          <w:szCs w:val="24"/>
        </w:rPr>
        <w:t xml:space="preserve">Natomiast pod względem aktywności i liczebności, </w:t>
      </w:r>
      <w:r>
        <w:rPr>
          <w:bCs/>
          <w:szCs w:val="24"/>
          <w:lang w:eastAsia="ar-SA"/>
        </w:rPr>
        <w:t>w</w:t>
      </w:r>
      <w:r>
        <w:rPr>
          <w:szCs w:val="24"/>
        </w:rPr>
        <w:t> </w:t>
      </w:r>
      <w:r w:rsidRPr="00D90934">
        <w:rPr>
          <w:szCs w:val="24"/>
        </w:rPr>
        <w:t>województwie śląskim duże zainteresowanie w pozyskiwaniu środków unijnych przejawia</w:t>
      </w:r>
      <w:r w:rsidR="005756C5">
        <w:rPr>
          <w:szCs w:val="24"/>
        </w:rPr>
        <w:t>li</w:t>
      </w:r>
      <w:r w:rsidRPr="00D90934">
        <w:rPr>
          <w:szCs w:val="24"/>
        </w:rPr>
        <w:t xml:space="preserve"> przedsiębiorcy, co znalazło odzwierciedlenie w ilości realizowanych projektów (</w:t>
      </w:r>
      <w:r w:rsidR="00FA067F">
        <w:rPr>
          <w:szCs w:val="24"/>
        </w:rPr>
        <w:t>3420</w:t>
      </w:r>
      <w:r w:rsidRPr="00D90934">
        <w:rPr>
          <w:szCs w:val="24"/>
        </w:rPr>
        <w:t xml:space="preserve"> projektów)</w:t>
      </w:r>
      <w:r>
        <w:rPr>
          <w:szCs w:val="24"/>
        </w:rPr>
        <w:t>, co stanowi aż 66% wszystkich podpisanych umów</w:t>
      </w:r>
      <w:r w:rsidRPr="00D90934">
        <w:rPr>
          <w:szCs w:val="24"/>
        </w:rPr>
        <w:t xml:space="preserve">. </w:t>
      </w:r>
      <w:r>
        <w:rPr>
          <w:szCs w:val="24"/>
        </w:rPr>
        <w:t xml:space="preserve">W dalszej kolejności najwięcej umów </w:t>
      </w:r>
      <w:r w:rsidR="005756C5">
        <w:rPr>
          <w:szCs w:val="24"/>
        </w:rPr>
        <w:t xml:space="preserve">podpisano z </w:t>
      </w:r>
      <w:r w:rsidRPr="00D90934">
        <w:rPr>
          <w:szCs w:val="24"/>
        </w:rPr>
        <w:t>JST (</w:t>
      </w:r>
      <w:r>
        <w:rPr>
          <w:szCs w:val="24"/>
        </w:rPr>
        <w:t>1360</w:t>
      </w:r>
      <w:r w:rsidRPr="00D90934">
        <w:rPr>
          <w:szCs w:val="24"/>
        </w:rPr>
        <w:t xml:space="preserve"> projektów), wśród których szczególną rolę odgrywają samor</w:t>
      </w:r>
      <w:r w:rsidR="005E76F5">
        <w:rPr>
          <w:szCs w:val="24"/>
        </w:rPr>
        <w:t>ządy niższego szczebla, gdyż to </w:t>
      </w:r>
      <w:r w:rsidRPr="00D90934">
        <w:rPr>
          <w:szCs w:val="24"/>
        </w:rPr>
        <w:t>one w największ</w:t>
      </w:r>
      <w:r>
        <w:rPr>
          <w:szCs w:val="24"/>
        </w:rPr>
        <w:t>ym stopniu odpowiedzialne są za </w:t>
      </w:r>
      <w:r w:rsidRPr="00D90934">
        <w:rPr>
          <w:szCs w:val="24"/>
        </w:rPr>
        <w:t xml:space="preserve">rozwój </w:t>
      </w:r>
      <w:r>
        <w:rPr>
          <w:szCs w:val="24"/>
        </w:rPr>
        <w:t>regionalny/</w:t>
      </w:r>
      <w:r w:rsidRPr="00D90934">
        <w:rPr>
          <w:szCs w:val="24"/>
        </w:rPr>
        <w:t>lokalny.</w:t>
      </w:r>
      <w:r>
        <w:rPr>
          <w:szCs w:val="24"/>
        </w:rPr>
        <w:t xml:space="preserve"> </w:t>
      </w:r>
    </w:p>
    <w:p w14:paraId="5C00AE1B" w14:textId="43C7D9F8" w:rsidR="00C5442F" w:rsidRDefault="009D32FA" w:rsidP="00C5442F">
      <w:pPr>
        <w:spacing w:after="120"/>
        <w:jc w:val="both"/>
        <w:rPr>
          <w:b/>
          <w:szCs w:val="24"/>
          <w:lang w:eastAsia="ar-SA"/>
        </w:rPr>
      </w:pPr>
      <w:r>
        <w:rPr>
          <w:noProof/>
        </w:rPr>
        <w:drawing>
          <wp:inline distT="0" distB="0" distL="0" distR="0" wp14:anchorId="6501D735" wp14:editId="61AE51DC">
            <wp:extent cx="5760720" cy="3319145"/>
            <wp:effectExtent l="0" t="0" r="0" b="0"/>
            <wp:docPr id="36" name="Wykres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CD24AEB" w14:textId="178DD585" w:rsidR="00EF3367" w:rsidRPr="005C6DE0" w:rsidRDefault="007A6688" w:rsidP="007A6688">
      <w:pPr>
        <w:pStyle w:val="Legenda"/>
        <w:rPr>
          <w:color w:val="auto"/>
          <w:szCs w:val="24"/>
        </w:rPr>
      </w:pPr>
      <w:bookmarkStart w:id="88" w:name="_Toc476832923"/>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w:t>
      </w:r>
      <w:r w:rsidR="00A44293" w:rsidRPr="00A44293">
        <w:rPr>
          <w:noProof/>
          <w:color w:val="auto"/>
        </w:rPr>
        <w:fldChar w:fldCharType="end"/>
      </w:r>
      <w:r>
        <w:t xml:space="preserve"> </w:t>
      </w:r>
      <w:r w:rsidR="00E740B2">
        <w:rPr>
          <w:b w:val="0"/>
          <w:i/>
          <w:color w:val="auto"/>
          <w:sz w:val="20"/>
          <w:szCs w:val="20"/>
        </w:rPr>
        <w:t>Rozkład projektów w ramach RPO WSL w podziale na beneficjentów</w:t>
      </w:r>
      <w:bookmarkEnd w:id="88"/>
    </w:p>
    <w:p w14:paraId="21241BA6" w14:textId="3CD70206" w:rsidR="00C5442F" w:rsidRPr="00367271" w:rsidRDefault="00C5442F" w:rsidP="00367271">
      <w:pPr>
        <w:pStyle w:val="Akapitzlist"/>
        <w:numPr>
          <w:ilvl w:val="0"/>
          <w:numId w:val="96"/>
        </w:numPr>
        <w:spacing w:after="120"/>
        <w:ind w:left="714" w:hanging="357"/>
        <w:jc w:val="both"/>
        <w:rPr>
          <w:b/>
          <w:szCs w:val="24"/>
          <w:lang w:eastAsia="ar-SA"/>
        </w:rPr>
      </w:pPr>
      <w:r w:rsidRPr="00367271">
        <w:rPr>
          <w:b/>
          <w:szCs w:val="24"/>
          <w:lang w:eastAsia="ar-SA"/>
        </w:rPr>
        <w:t>Projekty w podziale na rozkład terytorialny</w:t>
      </w:r>
    </w:p>
    <w:p w14:paraId="014580FB" w14:textId="16F52264" w:rsidR="00C5442F" w:rsidRPr="00882E37" w:rsidRDefault="00C5442F" w:rsidP="00C5442F">
      <w:pPr>
        <w:spacing w:after="0"/>
        <w:jc w:val="both"/>
        <w:rPr>
          <w:szCs w:val="24"/>
        </w:rPr>
      </w:pPr>
      <w:r w:rsidRPr="00B401C2">
        <w:rPr>
          <w:szCs w:val="24"/>
        </w:rPr>
        <w:t>Województwo śląskie jest najbardziej zurbanizowanym regionem w Polsce –</w:t>
      </w:r>
      <w:r>
        <w:rPr>
          <w:szCs w:val="24"/>
        </w:rPr>
        <w:t xml:space="preserve"> </w:t>
      </w:r>
      <w:r w:rsidRPr="00B401C2">
        <w:rPr>
          <w:szCs w:val="24"/>
        </w:rPr>
        <w:t>78 % ludności regionu zamieszkuje w miastach (w kraju jest to 60,9%). W województwie śląskim znajduje się 71 miast, a blisko połowa (46%) ludności zamieszkuje w 12 największych miastach (liczących ponad 100 tys. ludności). Największe z nich to Katowice (306,8 tys.), Częstochowa (238</w:t>
      </w:r>
      <w:r w:rsidR="002053A8">
        <w:rPr>
          <w:szCs w:val="24"/>
        </w:rPr>
        <w:t>,0 tys.) i Sosnowiec (217,3 tys.</w:t>
      </w:r>
      <w:r w:rsidRPr="00B401C2">
        <w:rPr>
          <w:szCs w:val="24"/>
        </w:rPr>
        <w:t>)</w:t>
      </w:r>
      <w:r>
        <w:rPr>
          <w:szCs w:val="24"/>
        </w:rPr>
        <w:t xml:space="preserve">. W związku z powyższym </w:t>
      </w:r>
      <w:r w:rsidRPr="00882E37">
        <w:rPr>
          <w:szCs w:val="24"/>
        </w:rPr>
        <w:t xml:space="preserve">kluczową </w:t>
      </w:r>
      <w:r>
        <w:rPr>
          <w:szCs w:val="24"/>
        </w:rPr>
        <w:t xml:space="preserve">sprawą </w:t>
      </w:r>
      <w:r w:rsidRPr="00882E37">
        <w:rPr>
          <w:szCs w:val="24"/>
        </w:rPr>
        <w:t xml:space="preserve">dla przyszłości </w:t>
      </w:r>
      <w:r>
        <w:rPr>
          <w:szCs w:val="24"/>
        </w:rPr>
        <w:t xml:space="preserve">województwa </w:t>
      </w:r>
      <w:r w:rsidRPr="00882E37">
        <w:rPr>
          <w:szCs w:val="24"/>
        </w:rPr>
        <w:t>jest kondycja dużych miast, które stanowią lokomotywy wzrostu dla całego regionu. Znajduje to odzwierciedlenie w odrębnym priorytecie</w:t>
      </w:r>
      <w:r>
        <w:rPr>
          <w:szCs w:val="24"/>
        </w:rPr>
        <w:t xml:space="preserve"> RPO WSL</w:t>
      </w:r>
      <w:r w:rsidRPr="00882E37">
        <w:rPr>
          <w:szCs w:val="24"/>
        </w:rPr>
        <w:t xml:space="preserve"> zorientowanym przede wszystkim na zrównoważony rozwój miast. </w:t>
      </w:r>
      <w:r>
        <w:rPr>
          <w:szCs w:val="24"/>
        </w:rPr>
        <w:t>Na etapie programowania problematyka obszarów wiejskich została potraktowana w</w:t>
      </w:r>
      <w:r w:rsidR="002053A8">
        <w:rPr>
          <w:szCs w:val="24"/>
        </w:rPr>
        <w:t xml:space="preserve"> RPO WSL horyzontalnie, pomoc </w:t>
      </w:r>
      <w:r w:rsidR="002053A8">
        <w:rPr>
          <w:szCs w:val="24"/>
        </w:rPr>
        <w:lastRenderedPageBreak/>
        <w:t>miała</w:t>
      </w:r>
      <w:r>
        <w:rPr>
          <w:szCs w:val="24"/>
        </w:rPr>
        <w:t xml:space="preserve"> charakter uzupełniający wobec wdrażanego w regionie </w:t>
      </w:r>
      <w:r w:rsidRPr="00882E37">
        <w:rPr>
          <w:i/>
          <w:szCs w:val="24"/>
        </w:rPr>
        <w:t>Programu Rozwoju Obszarów Wiejskich</w:t>
      </w:r>
      <w:r>
        <w:rPr>
          <w:szCs w:val="24"/>
        </w:rPr>
        <w:t>. Analiza rozkładu projektów w podziale na obszar wskazuje, że większość projektów realizowanych</w:t>
      </w:r>
      <w:r w:rsidR="005756C5">
        <w:rPr>
          <w:szCs w:val="24"/>
        </w:rPr>
        <w:t xml:space="preserve"> było</w:t>
      </w:r>
      <w:r>
        <w:rPr>
          <w:szCs w:val="24"/>
        </w:rPr>
        <w:t xml:space="preserve"> na obszarach miejskich, co nie powinno dziwić w związku z charakterem województwa.</w:t>
      </w:r>
    </w:p>
    <w:p w14:paraId="5B12DFBC" w14:textId="4BE99A47" w:rsidR="00EF3367" w:rsidRPr="00400F0E" w:rsidRDefault="00C5442F" w:rsidP="00400F0E">
      <w:pPr>
        <w:pStyle w:val="Akapitzlist"/>
        <w:spacing w:before="120" w:after="240"/>
        <w:ind w:left="0"/>
        <w:jc w:val="both"/>
        <w:rPr>
          <w:szCs w:val="24"/>
          <w:lang w:eastAsia="ar-SA"/>
        </w:rPr>
      </w:pPr>
      <w:r>
        <w:rPr>
          <w:szCs w:val="24"/>
          <w:lang w:eastAsia="ar-SA"/>
        </w:rPr>
        <w:t>Poniżej w tabeli zaprezentowano rozkład projektów w podziale na obszar.</w:t>
      </w:r>
      <w:bookmarkStart w:id="89" w:name="_Toc324853697"/>
      <w:bookmarkStart w:id="90" w:name="_Toc326046360"/>
      <w:bookmarkStart w:id="91" w:name="_Toc355688714"/>
    </w:p>
    <w:p w14:paraId="434D75D8" w14:textId="64A3885E" w:rsidR="00C5442F" w:rsidRPr="009F37C7" w:rsidRDefault="007A6688" w:rsidP="007A6688">
      <w:pPr>
        <w:pStyle w:val="Legenda"/>
        <w:rPr>
          <w:b w:val="0"/>
          <w:i/>
          <w:color w:val="auto"/>
          <w:sz w:val="20"/>
          <w:szCs w:val="20"/>
        </w:rPr>
      </w:pPr>
      <w:bookmarkStart w:id="92" w:name="_Toc476131785"/>
      <w:bookmarkEnd w:id="89"/>
      <w:bookmarkEnd w:id="90"/>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w:t>
      </w:r>
      <w:r w:rsidR="00A44293" w:rsidRPr="00A44293">
        <w:rPr>
          <w:noProof/>
          <w:color w:val="auto"/>
        </w:rPr>
        <w:fldChar w:fldCharType="end"/>
      </w:r>
      <w:r>
        <w:t xml:space="preserve"> </w:t>
      </w:r>
      <w:r w:rsidR="00E740B2">
        <w:rPr>
          <w:b w:val="0"/>
          <w:i/>
          <w:color w:val="auto"/>
          <w:sz w:val="20"/>
          <w:szCs w:val="20"/>
        </w:rPr>
        <w:t>Rozkład projektów w ramach RPO WSL w podziale na obszary</w:t>
      </w:r>
      <w:r w:rsidR="00C5442F" w:rsidRPr="009F37C7">
        <w:rPr>
          <w:rStyle w:val="Odwoanieprzypisudolnego"/>
          <w:b w:val="0"/>
          <w:i/>
          <w:color w:val="auto"/>
          <w:sz w:val="20"/>
          <w:szCs w:val="20"/>
        </w:rPr>
        <w:footnoteReference w:id="3"/>
      </w:r>
      <w:bookmarkEnd w:id="91"/>
      <w:bookmarkEnd w:id="92"/>
    </w:p>
    <w:tbl>
      <w:tblPr>
        <w:tblStyle w:val="Tabelalisty3akcent61"/>
        <w:tblW w:w="5275" w:type="dxa"/>
        <w:jc w:val="center"/>
        <w:tblLook w:val="04A0" w:firstRow="1" w:lastRow="0" w:firstColumn="1" w:lastColumn="0" w:noHBand="0" w:noVBand="1"/>
      </w:tblPr>
      <w:tblGrid>
        <w:gridCol w:w="1668"/>
        <w:gridCol w:w="1021"/>
        <w:gridCol w:w="2586"/>
      </w:tblGrid>
      <w:tr w:rsidR="00EF3367" w:rsidRPr="00A811C5" w14:paraId="69EB0648" w14:textId="77777777" w:rsidTr="00EE50E2">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100" w:firstRow="0" w:lastRow="0" w:firstColumn="1" w:lastColumn="0" w:oddVBand="0" w:evenVBand="0" w:oddHBand="0" w:evenHBand="0" w:firstRowFirstColumn="1" w:firstRowLastColumn="0" w:lastRowFirstColumn="0" w:lastRowLastColumn="0"/>
            <w:tcW w:w="1668" w:type="dxa"/>
            <w:vAlign w:val="center"/>
            <w:hideMark/>
          </w:tcPr>
          <w:p w14:paraId="0DAEB6B0" w14:textId="77777777" w:rsidR="00EF3367" w:rsidRPr="00A811C5" w:rsidRDefault="00EF3367" w:rsidP="00EE50E2">
            <w:pPr>
              <w:spacing w:before="120" w:after="120" w:line="240" w:lineRule="auto"/>
              <w:jc w:val="center"/>
              <w:rPr>
                <w:color w:val="000000"/>
                <w:sz w:val="20"/>
                <w:szCs w:val="20"/>
              </w:rPr>
            </w:pPr>
            <w:r w:rsidRPr="00A811C5">
              <w:rPr>
                <w:color w:val="000000"/>
                <w:sz w:val="20"/>
                <w:szCs w:val="20"/>
              </w:rPr>
              <w:t>OBSZAR</w:t>
            </w:r>
          </w:p>
        </w:tc>
        <w:tc>
          <w:tcPr>
            <w:tcW w:w="1021" w:type="dxa"/>
            <w:vAlign w:val="center"/>
            <w:hideMark/>
          </w:tcPr>
          <w:p w14:paraId="02A341E7" w14:textId="77777777" w:rsidR="00EF3367" w:rsidRPr="00A811C5" w:rsidRDefault="00EF3367"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A811C5">
              <w:rPr>
                <w:color w:val="000000"/>
                <w:sz w:val="20"/>
                <w:szCs w:val="20"/>
              </w:rPr>
              <w:t>LICZBA</w:t>
            </w:r>
          </w:p>
        </w:tc>
        <w:tc>
          <w:tcPr>
            <w:tcW w:w="2586" w:type="dxa"/>
            <w:vAlign w:val="center"/>
            <w:hideMark/>
          </w:tcPr>
          <w:p w14:paraId="180A9B0D" w14:textId="77777777" w:rsidR="00EF3367" w:rsidRPr="00A811C5" w:rsidRDefault="00EF3367"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A811C5">
              <w:rPr>
                <w:color w:val="000000"/>
                <w:sz w:val="20"/>
                <w:szCs w:val="20"/>
              </w:rPr>
              <w:t>DOFINANSOWANIE UE</w:t>
            </w:r>
          </w:p>
        </w:tc>
      </w:tr>
      <w:tr w:rsidR="00EF3367" w:rsidRPr="00A811C5" w14:paraId="7CF669C6" w14:textId="77777777" w:rsidTr="00EE50E2">
        <w:trPr>
          <w:cnfStyle w:val="000000100000" w:firstRow="0" w:lastRow="0" w:firstColumn="0" w:lastColumn="0" w:oddVBand="0" w:evenVBand="0" w:oddHBand="1" w:evenHBand="0" w:firstRowFirstColumn="0" w:firstRowLastColumn="0" w:lastRowFirstColumn="0" w:lastRowLastColumn="0"/>
          <w:trHeight w:val="466"/>
          <w:jc w:val="center"/>
        </w:trPr>
        <w:tc>
          <w:tcPr>
            <w:cnfStyle w:val="001000000000" w:firstRow="0" w:lastRow="0" w:firstColumn="1" w:lastColumn="0" w:oddVBand="0" w:evenVBand="0" w:oddHBand="0" w:evenHBand="0" w:firstRowFirstColumn="0" w:firstRowLastColumn="0" w:lastRowFirstColumn="0" w:lastRowLastColumn="0"/>
            <w:tcW w:w="1668" w:type="dxa"/>
            <w:vAlign w:val="center"/>
            <w:hideMark/>
          </w:tcPr>
          <w:p w14:paraId="785CD9B6" w14:textId="76846550" w:rsidR="00EF3367" w:rsidRPr="002053A8" w:rsidRDefault="00832C38" w:rsidP="00EE50E2">
            <w:pPr>
              <w:spacing w:before="120" w:after="120" w:line="240" w:lineRule="auto"/>
              <w:jc w:val="center"/>
              <w:rPr>
                <w:b w:val="0"/>
                <w:color w:val="000000"/>
                <w:sz w:val="20"/>
                <w:szCs w:val="20"/>
              </w:rPr>
            </w:pPr>
            <w:r w:rsidRPr="002053A8">
              <w:rPr>
                <w:b w:val="0"/>
                <w:color w:val="000000"/>
                <w:sz w:val="20"/>
                <w:szCs w:val="20"/>
              </w:rPr>
              <w:t>Miejski</w:t>
            </w:r>
          </w:p>
        </w:tc>
        <w:tc>
          <w:tcPr>
            <w:tcW w:w="1021" w:type="dxa"/>
            <w:vAlign w:val="center"/>
            <w:hideMark/>
          </w:tcPr>
          <w:p w14:paraId="1D1907FE" w14:textId="1D7C2E1D" w:rsidR="00EF3367" w:rsidRPr="00A811C5" w:rsidRDefault="00527824" w:rsidP="00EE50E2">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r>
              <w:rPr>
                <w:bCs/>
                <w:color w:val="000000"/>
                <w:sz w:val="20"/>
                <w:szCs w:val="20"/>
              </w:rPr>
              <w:t>4187</w:t>
            </w:r>
          </w:p>
        </w:tc>
        <w:tc>
          <w:tcPr>
            <w:tcW w:w="2586" w:type="dxa"/>
            <w:vAlign w:val="center"/>
          </w:tcPr>
          <w:p w14:paraId="10F0B257" w14:textId="6EDBFC06" w:rsidR="00EF3367" w:rsidRPr="00A811C5" w:rsidRDefault="00994BE7" w:rsidP="00EE50E2">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1 321,48</w:t>
            </w:r>
          </w:p>
        </w:tc>
      </w:tr>
      <w:tr w:rsidR="00EF3367" w:rsidRPr="00A811C5" w14:paraId="1B6CD87C" w14:textId="77777777" w:rsidTr="00EE50E2">
        <w:trPr>
          <w:trHeight w:val="415"/>
          <w:jc w:val="center"/>
        </w:trPr>
        <w:tc>
          <w:tcPr>
            <w:cnfStyle w:val="001000000000" w:firstRow="0" w:lastRow="0" w:firstColumn="1" w:lastColumn="0" w:oddVBand="0" w:evenVBand="0" w:oddHBand="0" w:evenHBand="0" w:firstRowFirstColumn="0" w:firstRowLastColumn="0" w:lastRowFirstColumn="0" w:lastRowLastColumn="0"/>
            <w:tcW w:w="1668" w:type="dxa"/>
            <w:vAlign w:val="center"/>
            <w:hideMark/>
          </w:tcPr>
          <w:p w14:paraId="1444DDA6" w14:textId="4F238520" w:rsidR="00EF3367" w:rsidRPr="002053A8" w:rsidRDefault="00832C38" w:rsidP="00EE50E2">
            <w:pPr>
              <w:spacing w:before="120" w:after="120" w:line="240" w:lineRule="auto"/>
              <w:jc w:val="center"/>
              <w:rPr>
                <w:b w:val="0"/>
                <w:color w:val="000000"/>
                <w:sz w:val="20"/>
                <w:szCs w:val="20"/>
              </w:rPr>
            </w:pPr>
            <w:r w:rsidRPr="002053A8">
              <w:rPr>
                <w:b w:val="0"/>
                <w:color w:val="000000"/>
                <w:sz w:val="20"/>
                <w:szCs w:val="20"/>
              </w:rPr>
              <w:t>Wiejski</w:t>
            </w:r>
          </w:p>
        </w:tc>
        <w:tc>
          <w:tcPr>
            <w:tcW w:w="1021" w:type="dxa"/>
            <w:vAlign w:val="center"/>
            <w:hideMark/>
          </w:tcPr>
          <w:p w14:paraId="30F7E194" w14:textId="4EF103E3" w:rsidR="00EF3367" w:rsidRPr="00A811C5" w:rsidRDefault="00EF3367" w:rsidP="00EE50E2">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bCs/>
                <w:color w:val="000000"/>
                <w:sz w:val="20"/>
                <w:szCs w:val="20"/>
              </w:rPr>
            </w:pPr>
            <w:r>
              <w:rPr>
                <w:bCs/>
                <w:color w:val="000000"/>
                <w:sz w:val="20"/>
                <w:szCs w:val="20"/>
              </w:rPr>
              <w:t>915</w:t>
            </w:r>
          </w:p>
        </w:tc>
        <w:tc>
          <w:tcPr>
            <w:tcW w:w="2586" w:type="dxa"/>
            <w:vAlign w:val="center"/>
          </w:tcPr>
          <w:p w14:paraId="794306E8" w14:textId="48681F50" w:rsidR="00EF3367" w:rsidRPr="00A811C5" w:rsidRDefault="00EF3367" w:rsidP="00EE50E2">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300,75</w:t>
            </w:r>
          </w:p>
        </w:tc>
      </w:tr>
      <w:tr w:rsidR="00EF3367" w:rsidRPr="00A811C5" w14:paraId="6CF6D144" w14:textId="77777777" w:rsidTr="00EE50E2">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1668" w:type="dxa"/>
            <w:vAlign w:val="center"/>
            <w:hideMark/>
          </w:tcPr>
          <w:p w14:paraId="39B9DD98" w14:textId="245C78F3" w:rsidR="00EF3367" w:rsidRPr="002053A8" w:rsidRDefault="00832C38" w:rsidP="00EE50E2">
            <w:pPr>
              <w:spacing w:before="120" w:after="120" w:line="240" w:lineRule="auto"/>
              <w:jc w:val="center"/>
              <w:rPr>
                <w:b w:val="0"/>
                <w:color w:val="000000"/>
                <w:sz w:val="20"/>
                <w:szCs w:val="20"/>
              </w:rPr>
            </w:pPr>
            <w:r w:rsidRPr="002053A8">
              <w:rPr>
                <w:b w:val="0"/>
                <w:color w:val="000000"/>
                <w:sz w:val="20"/>
                <w:szCs w:val="20"/>
              </w:rPr>
              <w:t>Górski</w:t>
            </w:r>
          </w:p>
        </w:tc>
        <w:tc>
          <w:tcPr>
            <w:tcW w:w="1021" w:type="dxa"/>
            <w:vAlign w:val="center"/>
            <w:hideMark/>
          </w:tcPr>
          <w:p w14:paraId="2A76F42D" w14:textId="77777777" w:rsidR="00EF3367" w:rsidRPr="00A811C5" w:rsidRDefault="00EF3367" w:rsidP="00EE50E2">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r>
              <w:rPr>
                <w:bCs/>
                <w:color w:val="000000"/>
                <w:sz w:val="20"/>
                <w:szCs w:val="20"/>
              </w:rPr>
              <w:t>72</w:t>
            </w:r>
          </w:p>
        </w:tc>
        <w:tc>
          <w:tcPr>
            <w:tcW w:w="2586" w:type="dxa"/>
            <w:vAlign w:val="center"/>
          </w:tcPr>
          <w:p w14:paraId="0B523CE5" w14:textId="7BFE6BB3" w:rsidR="00EF3367" w:rsidRPr="00A811C5" w:rsidRDefault="00EF3367" w:rsidP="00EE50E2">
            <w:pPr>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19,02</w:t>
            </w:r>
          </w:p>
        </w:tc>
      </w:tr>
    </w:tbl>
    <w:p w14:paraId="1474F16A" w14:textId="53EA2E7B" w:rsidR="00C5442F" w:rsidRPr="00C90407" w:rsidRDefault="00C5442F" w:rsidP="00C5442F">
      <w:pPr>
        <w:spacing w:before="120" w:after="0"/>
        <w:jc w:val="both"/>
        <w:rPr>
          <w:szCs w:val="24"/>
        </w:rPr>
      </w:pPr>
      <w:r w:rsidRPr="00C90407">
        <w:rPr>
          <w:szCs w:val="24"/>
        </w:rPr>
        <w:t xml:space="preserve">Analizując proces kontraktacji na poziomie poszczególnych powiatów można stwierdzić, że od uruchomienia </w:t>
      </w:r>
      <w:r w:rsidRPr="00C90407">
        <w:rPr>
          <w:i/>
          <w:szCs w:val="24"/>
        </w:rPr>
        <w:t>Programu</w:t>
      </w:r>
      <w:r w:rsidR="00700B49" w:rsidRPr="00C90407">
        <w:rPr>
          <w:szCs w:val="24"/>
        </w:rPr>
        <w:t xml:space="preserve"> do końca 2016</w:t>
      </w:r>
      <w:r w:rsidRPr="00C90407">
        <w:rPr>
          <w:szCs w:val="24"/>
        </w:rPr>
        <w:t xml:space="preserve"> </w:t>
      </w:r>
      <w:r w:rsidR="00756285" w:rsidRPr="00C90407">
        <w:rPr>
          <w:szCs w:val="24"/>
        </w:rPr>
        <w:t>roku najwięcej środków pozyska</w:t>
      </w:r>
      <w:r w:rsidR="00C90407">
        <w:rPr>
          <w:szCs w:val="24"/>
        </w:rPr>
        <w:t>ły</w:t>
      </w:r>
      <w:r w:rsidRPr="00C90407">
        <w:rPr>
          <w:szCs w:val="24"/>
        </w:rPr>
        <w:t xml:space="preserve"> miasta na prawach powiatu np.: Katowice</w:t>
      </w:r>
      <w:r w:rsidR="00756285" w:rsidRPr="00C90407">
        <w:rPr>
          <w:szCs w:val="24"/>
        </w:rPr>
        <w:t xml:space="preserve"> 414 projektów na kwotę dofinasowania 191,78 mln EUR</w:t>
      </w:r>
      <w:r w:rsidR="00C90407">
        <w:rPr>
          <w:szCs w:val="24"/>
        </w:rPr>
        <w:t xml:space="preserve"> oraz</w:t>
      </w:r>
      <w:r w:rsidRPr="00C90407">
        <w:rPr>
          <w:szCs w:val="24"/>
        </w:rPr>
        <w:t xml:space="preserve"> </w:t>
      </w:r>
      <w:r w:rsidR="00756285" w:rsidRPr="00C90407">
        <w:rPr>
          <w:szCs w:val="24"/>
        </w:rPr>
        <w:t>Bielsko - Biała</w:t>
      </w:r>
      <w:r w:rsidR="00C90407">
        <w:rPr>
          <w:szCs w:val="24"/>
        </w:rPr>
        <w:t xml:space="preserve"> 312</w:t>
      </w:r>
      <w:r w:rsidR="00756285" w:rsidRPr="00C90407">
        <w:rPr>
          <w:szCs w:val="24"/>
        </w:rPr>
        <w:t xml:space="preserve"> projektów na kwotę dofinansowania</w:t>
      </w:r>
      <w:r w:rsidR="00C90407">
        <w:rPr>
          <w:szCs w:val="24"/>
        </w:rPr>
        <w:t xml:space="preserve"> 94,75</w:t>
      </w:r>
      <w:r w:rsidR="00756285" w:rsidRPr="00C90407">
        <w:rPr>
          <w:szCs w:val="24"/>
        </w:rPr>
        <w:t xml:space="preserve"> mln EUR</w:t>
      </w:r>
      <w:r w:rsidRPr="00C90407">
        <w:rPr>
          <w:szCs w:val="24"/>
        </w:rPr>
        <w:t>. Spośród powiatów ziemskich</w:t>
      </w:r>
      <w:r w:rsidR="00700B49" w:rsidRPr="00C90407">
        <w:rPr>
          <w:szCs w:val="24"/>
        </w:rPr>
        <w:t xml:space="preserve"> najbardziej efektyw</w:t>
      </w:r>
      <w:r w:rsidR="00C90407">
        <w:rPr>
          <w:szCs w:val="24"/>
        </w:rPr>
        <w:t>nym</w:t>
      </w:r>
      <w:r w:rsidR="00700B49" w:rsidRPr="00C90407">
        <w:rPr>
          <w:szCs w:val="24"/>
        </w:rPr>
        <w:t xml:space="preserve"> w </w:t>
      </w:r>
      <w:r w:rsidRPr="00C90407">
        <w:rPr>
          <w:szCs w:val="24"/>
        </w:rPr>
        <w:t xml:space="preserve">pozyskiwaniu środków </w:t>
      </w:r>
      <w:r w:rsidR="00C90407">
        <w:rPr>
          <w:szCs w:val="24"/>
        </w:rPr>
        <w:t>był</w:t>
      </w:r>
      <w:r w:rsidRPr="00C90407">
        <w:rPr>
          <w:szCs w:val="24"/>
        </w:rPr>
        <w:t xml:space="preserve"> powiat cieszyński</w:t>
      </w:r>
      <w:r w:rsidR="00A2735F">
        <w:rPr>
          <w:szCs w:val="24"/>
        </w:rPr>
        <w:t>,</w:t>
      </w:r>
      <w:r w:rsidRPr="00C90407">
        <w:rPr>
          <w:szCs w:val="24"/>
        </w:rPr>
        <w:t xml:space="preserve"> zarówno pod względem ilości</w:t>
      </w:r>
      <w:r w:rsidR="00C90407">
        <w:rPr>
          <w:szCs w:val="24"/>
        </w:rPr>
        <w:t xml:space="preserve"> </w:t>
      </w:r>
      <w:r w:rsidRPr="00C90407">
        <w:rPr>
          <w:szCs w:val="24"/>
        </w:rPr>
        <w:t xml:space="preserve">realizowanych projektów jak i wielkości otrzymanego dofinansowania. </w:t>
      </w:r>
      <w:r w:rsidR="005E76F5">
        <w:rPr>
          <w:szCs w:val="24"/>
        </w:rPr>
        <w:t>Na </w:t>
      </w:r>
      <w:r w:rsidR="00A2735F">
        <w:rPr>
          <w:szCs w:val="24"/>
        </w:rPr>
        <w:t>obszarze tego powiatu zrealizowano</w:t>
      </w:r>
      <w:r w:rsidR="00C90407">
        <w:rPr>
          <w:szCs w:val="24"/>
        </w:rPr>
        <w:t xml:space="preserve"> 350 projektów na kwotę dofinasowania 60,37 mln EUR.</w:t>
      </w:r>
    </w:p>
    <w:p w14:paraId="683D0609" w14:textId="77777777" w:rsidR="00C5442F" w:rsidRPr="00880E1F" w:rsidRDefault="00C5442F" w:rsidP="00C5442F">
      <w:pPr>
        <w:spacing w:after="0"/>
        <w:jc w:val="both"/>
        <w:rPr>
          <w:szCs w:val="24"/>
        </w:rPr>
      </w:pPr>
    </w:p>
    <w:p w14:paraId="081D6EF9" w14:textId="7E78C3F2" w:rsidR="00C5442F" w:rsidRDefault="00C5442F" w:rsidP="00C5442F">
      <w:pPr>
        <w:spacing w:after="120"/>
        <w:jc w:val="both"/>
        <w:rPr>
          <w:szCs w:val="24"/>
        </w:rPr>
      </w:pPr>
      <w:r w:rsidRPr="00880E1F">
        <w:rPr>
          <w:szCs w:val="24"/>
        </w:rPr>
        <w:t xml:space="preserve">Poniżej zaprezentowano rozkład zakontraktowanych środków EFRR w podziale na powiaty </w:t>
      </w:r>
      <w:r>
        <w:rPr>
          <w:szCs w:val="24"/>
        </w:rPr>
        <w:t>(</w:t>
      </w:r>
      <w:r w:rsidRPr="00880E1F">
        <w:rPr>
          <w:szCs w:val="24"/>
        </w:rPr>
        <w:t xml:space="preserve">wartość w </w:t>
      </w:r>
      <w:r>
        <w:rPr>
          <w:szCs w:val="24"/>
        </w:rPr>
        <w:t>mln</w:t>
      </w:r>
      <w:r w:rsidRPr="00880E1F">
        <w:rPr>
          <w:szCs w:val="24"/>
        </w:rPr>
        <w:t xml:space="preserve"> EUR</w:t>
      </w:r>
      <w:r w:rsidR="00700B49">
        <w:rPr>
          <w:szCs w:val="24"/>
        </w:rPr>
        <w:t xml:space="preserve"> oraz liczba</w:t>
      </w:r>
      <w:r w:rsidRPr="00880E1F">
        <w:rPr>
          <w:szCs w:val="24"/>
        </w:rPr>
        <w:t xml:space="preserve">). </w:t>
      </w:r>
    </w:p>
    <w:p w14:paraId="0809FE0D" w14:textId="2D45E889" w:rsidR="00C5442F" w:rsidRDefault="00700B49" w:rsidP="0094320D">
      <w:pPr>
        <w:tabs>
          <w:tab w:val="left" w:pos="2070"/>
        </w:tabs>
        <w:spacing w:after="120"/>
        <w:jc w:val="both"/>
        <w:rPr>
          <w:b/>
          <w:szCs w:val="24"/>
          <w:lang w:eastAsia="ar-SA"/>
        </w:rPr>
      </w:pPr>
      <w:r w:rsidRPr="00700B49">
        <w:rPr>
          <w:b/>
          <w:noProof/>
          <w:szCs w:val="24"/>
        </w:rPr>
        <w:lastRenderedPageBreak/>
        <w:drawing>
          <wp:inline distT="0" distB="0" distL="0" distR="0" wp14:anchorId="4C3DDC06" wp14:editId="3C680AF2">
            <wp:extent cx="5760720" cy="8148272"/>
            <wp:effectExtent l="0" t="0" r="0" b="5715"/>
            <wp:docPr id="25" name="Obraz 25" descr="W:\RRF\!Zespół ds monitoringu\Perspektywa 2007-2013\Sprawozdanie końcowe\Piotr\mapki\Program\Liczb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RRF\!Zespół ds monitoringu\Perspektywa 2007-2013\Sprawozdanie końcowe\Piotr\mapki\Program\Liczba.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8148272"/>
                    </a:xfrm>
                    <a:prstGeom prst="rect">
                      <a:avLst/>
                    </a:prstGeom>
                    <a:noFill/>
                    <a:ln>
                      <a:noFill/>
                    </a:ln>
                  </pic:spPr>
                </pic:pic>
              </a:graphicData>
            </a:graphic>
          </wp:inline>
        </w:drawing>
      </w:r>
    </w:p>
    <w:p w14:paraId="4162E3E3" w14:textId="19DC33BF" w:rsidR="00700B49" w:rsidRPr="00AE63BF" w:rsidRDefault="007A6688" w:rsidP="007A6688">
      <w:pPr>
        <w:pStyle w:val="Legenda"/>
        <w:rPr>
          <w:b w:val="0"/>
          <w:i/>
          <w:color w:val="auto"/>
          <w:sz w:val="20"/>
          <w:szCs w:val="20"/>
          <w:lang w:eastAsia="ar-SA"/>
        </w:rPr>
      </w:pPr>
      <w:bookmarkStart w:id="93" w:name="_Toc476832924"/>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5</w:t>
      </w:r>
      <w:r w:rsidR="00A44293" w:rsidRPr="00A44293">
        <w:rPr>
          <w:noProof/>
          <w:color w:val="auto"/>
        </w:rPr>
        <w:fldChar w:fldCharType="end"/>
      </w:r>
      <w:r>
        <w:t xml:space="preserve"> </w:t>
      </w:r>
      <w:r w:rsidR="00AE63BF" w:rsidRPr="00AE63BF">
        <w:rPr>
          <w:b w:val="0"/>
          <w:i/>
          <w:color w:val="auto"/>
          <w:sz w:val="20"/>
          <w:szCs w:val="20"/>
        </w:rPr>
        <w:t xml:space="preserve">Rozkład projektów </w:t>
      </w:r>
      <w:r w:rsidR="00E740B2">
        <w:rPr>
          <w:b w:val="0"/>
          <w:i/>
          <w:color w:val="auto"/>
          <w:sz w:val="20"/>
          <w:szCs w:val="20"/>
        </w:rPr>
        <w:t xml:space="preserve">w ramach RPO WSL </w:t>
      </w:r>
      <w:r w:rsidR="00AE63BF" w:rsidRPr="00AE63BF">
        <w:rPr>
          <w:b w:val="0"/>
          <w:i/>
          <w:color w:val="auto"/>
          <w:sz w:val="20"/>
          <w:szCs w:val="20"/>
        </w:rPr>
        <w:t>w podziale na powiaty (liczba)</w:t>
      </w:r>
      <w:bookmarkEnd w:id="93"/>
    </w:p>
    <w:p w14:paraId="7ED35DD9" w14:textId="38514744" w:rsidR="00AE63BF" w:rsidRDefault="00AE63BF" w:rsidP="00700B49">
      <w:pPr>
        <w:spacing w:after="120"/>
        <w:jc w:val="both"/>
        <w:rPr>
          <w:b/>
          <w:szCs w:val="24"/>
          <w:lang w:eastAsia="ar-SA"/>
        </w:rPr>
      </w:pPr>
      <w:r w:rsidRPr="00AE63BF">
        <w:rPr>
          <w:b/>
          <w:noProof/>
          <w:szCs w:val="24"/>
        </w:rPr>
        <w:lastRenderedPageBreak/>
        <w:drawing>
          <wp:inline distT="0" distB="0" distL="0" distR="0" wp14:anchorId="7B7B4CE1" wp14:editId="1BC7881D">
            <wp:extent cx="5760720" cy="8140463"/>
            <wp:effectExtent l="0" t="0" r="0" b="0"/>
            <wp:docPr id="26" name="Obraz 26" descr="W:\RRF\!Zespół ds monitoringu\Perspektywa 2007-2013\Sprawozdanie końcowe\Piotr\mapki\Program\Wartość.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RRF\!Zespół ds monitoringu\Perspektywa 2007-2013\Sprawozdanie końcowe\Piotr\mapki\Program\Wartość.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8140463"/>
                    </a:xfrm>
                    <a:prstGeom prst="rect">
                      <a:avLst/>
                    </a:prstGeom>
                    <a:noFill/>
                    <a:ln>
                      <a:noFill/>
                    </a:ln>
                  </pic:spPr>
                </pic:pic>
              </a:graphicData>
            </a:graphic>
          </wp:inline>
        </w:drawing>
      </w:r>
    </w:p>
    <w:p w14:paraId="50BD7B34" w14:textId="47E6DBAA" w:rsidR="00AE63BF" w:rsidRDefault="007A6688" w:rsidP="007A6688">
      <w:pPr>
        <w:pStyle w:val="Legenda"/>
        <w:rPr>
          <w:b w:val="0"/>
          <w:i/>
          <w:color w:val="auto"/>
          <w:sz w:val="20"/>
          <w:szCs w:val="20"/>
        </w:rPr>
      </w:pPr>
      <w:bookmarkStart w:id="94" w:name="_Toc476832925"/>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6</w:t>
      </w:r>
      <w:r w:rsidR="00A44293" w:rsidRPr="00A44293">
        <w:rPr>
          <w:noProof/>
          <w:color w:val="auto"/>
        </w:rPr>
        <w:fldChar w:fldCharType="end"/>
      </w:r>
      <w:r w:rsidRPr="00A44293">
        <w:rPr>
          <w:color w:val="auto"/>
        </w:rPr>
        <w:t xml:space="preserve"> </w:t>
      </w:r>
      <w:r w:rsidR="00AE63BF" w:rsidRPr="00AE63BF">
        <w:rPr>
          <w:b w:val="0"/>
          <w:i/>
          <w:color w:val="auto"/>
          <w:sz w:val="20"/>
          <w:szCs w:val="20"/>
        </w:rPr>
        <w:t xml:space="preserve">Rozkład projektów </w:t>
      </w:r>
      <w:r w:rsidR="00E740B2">
        <w:rPr>
          <w:b w:val="0"/>
          <w:i/>
          <w:color w:val="auto"/>
          <w:sz w:val="20"/>
          <w:szCs w:val="20"/>
        </w:rPr>
        <w:t xml:space="preserve">w ramach RPO WSL </w:t>
      </w:r>
      <w:r w:rsidR="00AE63BF" w:rsidRPr="00AE63BF">
        <w:rPr>
          <w:b w:val="0"/>
          <w:i/>
          <w:color w:val="auto"/>
          <w:sz w:val="20"/>
          <w:szCs w:val="20"/>
        </w:rPr>
        <w:t>w podziale na powiaty (wartość w mln EUR)</w:t>
      </w:r>
      <w:bookmarkEnd w:id="94"/>
    </w:p>
    <w:p w14:paraId="33BF6EF6" w14:textId="77777777" w:rsidR="001F484B" w:rsidRPr="001F484B" w:rsidRDefault="001F484B" w:rsidP="001F484B"/>
    <w:p w14:paraId="121875F2" w14:textId="77777777" w:rsidR="00700B49" w:rsidRPr="00367271" w:rsidRDefault="00700B49" w:rsidP="00367271">
      <w:pPr>
        <w:pStyle w:val="Akapitzlist"/>
        <w:numPr>
          <w:ilvl w:val="0"/>
          <w:numId w:val="96"/>
        </w:numPr>
        <w:spacing w:after="120"/>
        <w:jc w:val="both"/>
        <w:rPr>
          <w:b/>
          <w:szCs w:val="24"/>
          <w:lang w:eastAsia="ar-SA"/>
        </w:rPr>
      </w:pPr>
      <w:r w:rsidRPr="00367271">
        <w:rPr>
          <w:b/>
          <w:szCs w:val="24"/>
          <w:lang w:eastAsia="ar-SA"/>
        </w:rPr>
        <w:lastRenderedPageBreak/>
        <w:t>Projekty w podziale na obszary wsparcia</w:t>
      </w:r>
    </w:p>
    <w:p w14:paraId="4F716F3F" w14:textId="187FEC18" w:rsidR="00700B49" w:rsidRDefault="00700B49" w:rsidP="00700B49">
      <w:pPr>
        <w:jc w:val="both"/>
        <w:rPr>
          <w:szCs w:val="24"/>
          <w:lang w:eastAsia="ar-SA"/>
        </w:rPr>
      </w:pPr>
      <w:r>
        <w:rPr>
          <w:szCs w:val="24"/>
          <w:lang w:eastAsia="ar-SA"/>
        </w:rPr>
        <w:t>Analizując kontraktację w</w:t>
      </w:r>
      <w:r w:rsidRPr="00D90934">
        <w:rPr>
          <w:szCs w:val="24"/>
          <w:lang w:eastAsia="ar-SA"/>
        </w:rPr>
        <w:t xml:space="preserve"> RPO WSL </w:t>
      </w:r>
      <w:r>
        <w:rPr>
          <w:szCs w:val="24"/>
          <w:lang w:eastAsia="ar-SA"/>
        </w:rPr>
        <w:t>w podziale na obszary wsparcia, najwięcej środków zostało zakontraktowanych w ramach</w:t>
      </w:r>
      <w:r w:rsidRPr="00D90934">
        <w:rPr>
          <w:szCs w:val="24"/>
          <w:lang w:eastAsia="ar-SA"/>
        </w:rPr>
        <w:t xml:space="preserve"> o</w:t>
      </w:r>
      <w:r>
        <w:rPr>
          <w:szCs w:val="24"/>
          <w:lang w:eastAsia="ar-SA"/>
        </w:rPr>
        <w:t xml:space="preserve">bszaru </w:t>
      </w:r>
      <w:r w:rsidRPr="00B12EE1">
        <w:rPr>
          <w:i/>
          <w:szCs w:val="24"/>
          <w:lang w:eastAsia="ar-SA"/>
        </w:rPr>
        <w:t>transport</w:t>
      </w:r>
      <w:r w:rsidR="00B02077">
        <w:rPr>
          <w:i/>
          <w:szCs w:val="24"/>
          <w:lang w:eastAsia="ar-SA"/>
        </w:rPr>
        <w:t>, zrównoważony rozwój miast</w:t>
      </w:r>
      <w:r>
        <w:rPr>
          <w:szCs w:val="24"/>
          <w:lang w:eastAsia="ar-SA"/>
        </w:rPr>
        <w:t xml:space="preserve"> oraz </w:t>
      </w:r>
      <w:r w:rsidRPr="00CF3BFE">
        <w:rPr>
          <w:i/>
          <w:szCs w:val="24"/>
          <w:lang w:eastAsia="ar-SA"/>
        </w:rPr>
        <w:t>przedsiębiorczość i B+R.</w:t>
      </w:r>
      <w:r>
        <w:rPr>
          <w:i/>
          <w:szCs w:val="24"/>
          <w:lang w:eastAsia="ar-SA"/>
        </w:rPr>
        <w:t xml:space="preserve"> </w:t>
      </w:r>
      <w:r>
        <w:rPr>
          <w:szCs w:val="24"/>
          <w:lang w:eastAsia="ar-SA"/>
        </w:rPr>
        <w:t xml:space="preserve">Powyższa sytuacja spowodowana jest głównie faktem, iż na wyżej wskazane obszary w  ramach RPO WSL zostało przekazanych </w:t>
      </w:r>
      <w:r w:rsidRPr="003F5F3D">
        <w:rPr>
          <w:szCs w:val="24"/>
          <w:lang w:eastAsia="ar-SA"/>
        </w:rPr>
        <w:t>najwięcej</w:t>
      </w:r>
      <w:r>
        <w:rPr>
          <w:szCs w:val="24"/>
          <w:lang w:eastAsia="ar-SA"/>
        </w:rPr>
        <w:t xml:space="preserve"> środków.</w:t>
      </w:r>
    </w:p>
    <w:p w14:paraId="0C16C993" w14:textId="77777777" w:rsidR="00BF365E" w:rsidRDefault="00700B49" w:rsidP="00BF365E">
      <w:pPr>
        <w:jc w:val="both"/>
        <w:rPr>
          <w:noProof/>
        </w:rPr>
      </w:pPr>
      <w:r>
        <w:rPr>
          <w:szCs w:val="24"/>
        </w:rPr>
        <w:t>Poniżej na wykresie rozkład realizowanych projektów w ramach RPO WSL w podziale na obszary wsparcia.</w:t>
      </w:r>
      <w:r w:rsidR="00BF365E" w:rsidRPr="00BF365E">
        <w:rPr>
          <w:noProof/>
        </w:rPr>
        <w:t xml:space="preserve"> </w:t>
      </w:r>
    </w:p>
    <w:p w14:paraId="4B979ABF" w14:textId="553501EF" w:rsidR="00700B49" w:rsidRPr="00BF365E" w:rsidRDefault="00535DBC" w:rsidP="00367271">
      <w:pPr>
        <w:jc w:val="center"/>
        <w:rPr>
          <w:szCs w:val="24"/>
        </w:rPr>
      </w:pPr>
      <w:r>
        <w:rPr>
          <w:noProof/>
        </w:rPr>
        <w:drawing>
          <wp:inline distT="0" distB="0" distL="0" distR="0" wp14:anchorId="06F28E35" wp14:editId="4D21F5D0">
            <wp:extent cx="5760720" cy="3906520"/>
            <wp:effectExtent l="0" t="0" r="0" b="0"/>
            <wp:docPr id="4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01B00B3" w14:textId="45B515D7" w:rsidR="003F10E9" w:rsidRPr="003F10E9" w:rsidRDefault="004A6A0C" w:rsidP="004A6A0C">
      <w:pPr>
        <w:pStyle w:val="Legenda"/>
        <w:rPr>
          <w:b w:val="0"/>
          <w:i/>
          <w:color w:val="auto"/>
          <w:sz w:val="20"/>
          <w:szCs w:val="20"/>
          <w:lang w:eastAsia="ar-SA"/>
        </w:rPr>
      </w:pPr>
      <w:r w:rsidRPr="004A6A0C">
        <w:rPr>
          <w:color w:val="auto"/>
          <w:sz w:val="20"/>
          <w:szCs w:val="20"/>
        </w:rPr>
        <w:t xml:space="preserve">Wykres </w:t>
      </w:r>
      <w:r w:rsidRPr="004A6A0C">
        <w:rPr>
          <w:color w:val="auto"/>
          <w:sz w:val="20"/>
          <w:szCs w:val="20"/>
        </w:rPr>
        <w:fldChar w:fldCharType="begin"/>
      </w:r>
      <w:r w:rsidRPr="004A6A0C">
        <w:rPr>
          <w:color w:val="auto"/>
          <w:sz w:val="20"/>
          <w:szCs w:val="20"/>
        </w:rPr>
        <w:instrText xml:space="preserve"> SEQ Wykres \* ARABIC </w:instrText>
      </w:r>
      <w:r w:rsidRPr="004A6A0C">
        <w:rPr>
          <w:color w:val="auto"/>
          <w:sz w:val="20"/>
          <w:szCs w:val="20"/>
        </w:rPr>
        <w:fldChar w:fldCharType="separate"/>
      </w:r>
      <w:r w:rsidR="0050297D">
        <w:rPr>
          <w:noProof/>
          <w:color w:val="auto"/>
          <w:sz w:val="20"/>
          <w:szCs w:val="20"/>
        </w:rPr>
        <w:t>1</w:t>
      </w:r>
      <w:r w:rsidRPr="004A6A0C">
        <w:rPr>
          <w:color w:val="auto"/>
          <w:sz w:val="20"/>
          <w:szCs w:val="20"/>
        </w:rPr>
        <w:fldChar w:fldCharType="end"/>
      </w:r>
      <w:r w:rsidRPr="004A6A0C">
        <w:rPr>
          <w:color w:val="auto"/>
        </w:rPr>
        <w:t xml:space="preserve"> </w:t>
      </w:r>
      <w:r w:rsidR="003F10E9" w:rsidRPr="003F10E9">
        <w:rPr>
          <w:b w:val="0"/>
          <w:i/>
          <w:color w:val="auto"/>
          <w:sz w:val="20"/>
          <w:szCs w:val="20"/>
        </w:rPr>
        <w:t>Udział procentowy środków w podziale na obszary tematyczne</w:t>
      </w:r>
      <w:r w:rsidR="003F10E9" w:rsidRPr="003F10E9">
        <w:rPr>
          <w:i/>
          <w:color w:val="auto"/>
          <w:sz w:val="20"/>
          <w:szCs w:val="20"/>
        </w:rPr>
        <w:t xml:space="preserve"> </w:t>
      </w:r>
    </w:p>
    <w:p w14:paraId="5207E5C7" w14:textId="57A17C10" w:rsidR="00700B49" w:rsidRDefault="00700B49" w:rsidP="00700B49">
      <w:pPr>
        <w:jc w:val="both"/>
        <w:rPr>
          <w:szCs w:val="24"/>
        </w:rPr>
      </w:pPr>
      <w:r>
        <w:rPr>
          <w:szCs w:val="24"/>
        </w:rPr>
        <w:t xml:space="preserve">Dopełnieniem działań realizowanych z RPO WSL </w:t>
      </w:r>
      <w:r w:rsidR="00EE50E2">
        <w:rPr>
          <w:szCs w:val="24"/>
        </w:rPr>
        <w:t>były</w:t>
      </w:r>
      <w:r>
        <w:rPr>
          <w:szCs w:val="24"/>
        </w:rPr>
        <w:t xml:space="preserve"> projekty realizowane na terenie województwa śląskiego w ramach NSRO. </w:t>
      </w:r>
      <w:r w:rsidRPr="00D90934">
        <w:rPr>
          <w:szCs w:val="24"/>
        </w:rPr>
        <w:t xml:space="preserve">Poniżej </w:t>
      </w:r>
      <w:r w:rsidR="00A64270">
        <w:rPr>
          <w:szCs w:val="24"/>
        </w:rPr>
        <w:t>w</w:t>
      </w:r>
      <w:r>
        <w:rPr>
          <w:szCs w:val="24"/>
        </w:rPr>
        <w:t xml:space="preserve"> </w:t>
      </w:r>
      <w:r w:rsidR="008A48A7">
        <w:rPr>
          <w:szCs w:val="24"/>
        </w:rPr>
        <w:t>tabeli</w:t>
      </w:r>
      <w:r>
        <w:rPr>
          <w:szCs w:val="24"/>
        </w:rPr>
        <w:t xml:space="preserve"> </w:t>
      </w:r>
      <w:r w:rsidRPr="00D90934">
        <w:rPr>
          <w:szCs w:val="24"/>
        </w:rPr>
        <w:t xml:space="preserve">przedstawiono rozkład realizowanych projektów </w:t>
      </w:r>
      <w:r>
        <w:rPr>
          <w:szCs w:val="24"/>
        </w:rPr>
        <w:t>w </w:t>
      </w:r>
      <w:r w:rsidR="008A48A7">
        <w:rPr>
          <w:szCs w:val="24"/>
        </w:rPr>
        <w:t>województwie śląskim z </w:t>
      </w:r>
      <w:r w:rsidRPr="00D90934">
        <w:rPr>
          <w:szCs w:val="24"/>
        </w:rPr>
        <w:t>programów krajowych</w:t>
      </w:r>
      <w:r w:rsidR="005E76F5">
        <w:rPr>
          <w:szCs w:val="24"/>
        </w:rPr>
        <w:t xml:space="preserve"> w podziale na </w:t>
      </w:r>
      <w:r>
        <w:rPr>
          <w:szCs w:val="24"/>
        </w:rPr>
        <w:t>obszary</w:t>
      </w:r>
      <w:r w:rsidRPr="00D90934">
        <w:rPr>
          <w:szCs w:val="24"/>
        </w:rPr>
        <w:t xml:space="preserve">. </w:t>
      </w:r>
      <w:r>
        <w:rPr>
          <w:szCs w:val="24"/>
        </w:rPr>
        <w:t xml:space="preserve">Jak wynika z przeprowadzonej </w:t>
      </w:r>
      <w:r w:rsidRPr="00A062F9">
        <w:rPr>
          <w:szCs w:val="24"/>
        </w:rPr>
        <w:t xml:space="preserve">analizy najwięcej projektów realizowanych </w:t>
      </w:r>
      <w:r w:rsidR="00EE50E2">
        <w:rPr>
          <w:szCs w:val="24"/>
        </w:rPr>
        <w:t xml:space="preserve">było </w:t>
      </w:r>
      <w:r w:rsidR="00A64270">
        <w:rPr>
          <w:szCs w:val="24"/>
        </w:rPr>
        <w:t>w </w:t>
      </w:r>
      <w:r>
        <w:rPr>
          <w:szCs w:val="24"/>
        </w:rPr>
        <w:t xml:space="preserve">obszarze kapitał ludzki z </w:t>
      </w:r>
      <w:r w:rsidRPr="00EE50E2">
        <w:rPr>
          <w:i/>
          <w:szCs w:val="24"/>
        </w:rPr>
        <w:t>PO Kapitał Ludzki</w:t>
      </w:r>
      <w:r w:rsidR="008A48A7">
        <w:rPr>
          <w:szCs w:val="24"/>
        </w:rPr>
        <w:t>.</w:t>
      </w:r>
      <w:r>
        <w:rPr>
          <w:szCs w:val="24"/>
        </w:rPr>
        <w:t xml:space="preserve"> Pod względem kwotowym największe projekty realizowane </w:t>
      </w:r>
      <w:r w:rsidR="00EE50E2">
        <w:rPr>
          <w:szCs w:val="24"/>
        </w:rPr>
        <w:t>były</w:t>
      </w:r>
      <w:r>
        <w:rPr>
          <w:szCs w:val="24"/>
        </w:rPr>
        <w:t xml:space="preserve"> w ramach o</w:t>
      </w:r>
      <w:r w:rsidR="008A48A7">
        <w:rPr>
          <w:szCs w:val="24"/>
        </w:rPr>
        <w:t>bszaru transport i środowisko w </w:t>
      </w:r>
      <w:r>
        <w:rPr>
          <w:szCs w:val="24"/>
        </w:rPr>
        <w:t>r</w:t>
      </w:r>
      <w:r w:rsidR="00A64270">
        <w:rPr>
          <w:szCs w:val="24"/>
        </w:rPr>
        <w:t>amach</w:t>
      </w:r>
      <w:r w:rsidR="00EE50E2">
        <w:rPr>
          <w:szCs w:val="24"/>
        </w:rPr>
        <w:t xml:space="preserve"> </w:t>
      </w:r>
      <w:r w:rsidR="00EE50E2" w:rsidRPr="00EE50E2">
        <w:rPr>
          <w:i/>
          <w:szCs w:val="24"/>
        </w:rPr>
        <w:t>PO</w:t>
      </w:r>
      <w:r w:rsidR="00A64270" w:rsidRPr="00EE50E2">
        <w:rPr>
          <w:i/>
          <w:szCs w:val="24"/>
        </w:rPr>
        <w:t xml:space="preserve"> Infrastruktura i </w:t>
      </w:r>
      <w:r w:rsidRPr="00EE50E2">
        <w:rPr>
          <w:i/>
          <w:szCs w:val="24"/>
        </w:rPr>
        <w:t>Środowisko</w:t>
      </w:r>
      <w:r>
        <w:rPr>
          <w:szCs w:val="24"/>
        </w:rPr>
        <w:t>. Najmniej projektów zarówno pod względem kwotowym jak i liczbowym realizowanych było w ramach obszaru turystyka.</w:t>
      </w:r>
    </w:p>
    <w:p w14:paraId="36F15C71" w14:textId="77777777" w:rsidR="008A48A7" w:rsidRDefault="008A48A7" w:rsidP="00700B49">
      <w:pPr>
        <w:jc w:val="both"/>
        <w:rPr>
          <w:szCs w:val="24"/>
        </w:rPr>
      </w:pPr>
    </w:p>
    <w:p w14:paraId="4EAC4132" w14:textId="5210B4B3" w:rsidR="001F484B" w:rsidRDefault="001F484B">
      <w:pPr>
        <w:spacing w:after="0" w:line="240" w:lineRule="auto"/>
        <w:rPr>
          <w:b/>
          <w:bCs/>
          <w:color w:val="4F81BD"/>
          <w:sz w:val="18"/>
          <w:szCs w:val="18"/>
        </w:rPr>
      </w:pPr>
      <w:r>
        <w:br w:type="page"/>
      </w:r>
    </w:p>
    <w:p w14:paraId="4D1DF4B9" w14:textId="1388CD82" w:rsidR="008A48A7" w:rsidRPr="008A48A7" w:rsidRDefault="007A6688" w:rsidP="007A6688">
      <w:pPr>
        <w:pStyle w:val="Legenda"/>
        <w:rPr>
          <w:b w:val="0"/>
          <w:i/>
          <w:color w:val="auto"/>
          <w:sz w:val="20"/>
          <w:szCs w:val="20"/>
        </w:rPr>
      </w:pPr>
      <w:bookmarkStart w:id="95" w:name="_Toc476131786"/>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3</w:t>
      </w:r>
      <w:r w:rsidR="00A44293" w:rsidRPr="00A44293">
        <w:rPr>
          <w:noProof/>
          <w:color w:val="auto"/>
        </w:rPr>
        <w:fldChar w:fldCharType="end"/>
      </w:r>
      <w:r w:rsidRPr="00A44293">
        <w:rPr>
          <w:color w:val="auto"/>
        </w:rPr>
        <w:t xml:space="preserve"> </w:t>
      </w:r>
      <w:r w:rsidR="008A48A7" w:rsidRPr="008A48A7">
        <w:rPr>
          <w:b w:val="0"/>
          <w:i/>
          <w:color w:val="auto"/>
          <w:sz w:val="20"/>
          <w:szCs w:val="20"/>
        </w:rPr>
        <w:t>Informacja nt. projektów realizowanych w ramach programów operacyjnych krajowych</w:t>
      </w:r>
      <w:bookmarkEnd w:id="95"/>
    </w:p>
    <w:tbl>
      <w:tblPr>
        <w:tblStyle w:val="Tabelalisty3akcent6"/>
        <w:tblW w:w="8789" w:type="dxa"/>
        <w:tblLayout w:type="fixed"/>
        <w:tblLook w:val="04A0" w:firstRow="1" w:lastRow="0" w:firstColumn="1" w:lastColumn="0" w:noHBand="0" w:noVBand="1"/>
      </w:tblPr>
      <w:tblGrid>
        <w:gridCol w:w="2263"/>
        <w:gridCol w:w="144"/>
        <w:gridCol w:w="841"/>
        <w:gridCol w:w="1421"/>
        <w:gridCol w:w="1710"/>
        <w:gridCol w:w="851"/>
        <w:gridCol w:w="709"/>
        <w:gridCol w:w="850"/>
      </w:tblGrid>
      <w:tr w:rsidR="008A48A7" w:rsidRPr="0048035B" w14:paraId="5E567420" w14:textId="77777777" w:rsidTr="00367271">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2263" w:type="dxa"/>
            <w:vAlign w:val="center"/>
            <w:hideMark/>
          </w:tcPr>
          <w:p w14:paraId="6FD02F63" w14:textId="55A70259" w:rsidR="008A48A7" w:rsidRPr="0048035B" w:rsidRDefault="00440CAD" w:rsidP="00EE50E2">
            <w:pPr>
              <w:spacing w:before="120" w:after="120" w:line="240" w:lineRule="auto"/>
              <w:ind w:left="-916"/>
              <w:jc w:val="center"/>
              <w:rPr>
                <w:color w:val="000000"/>
                <w:sz w:val="20"/>
                <w:szCs w:val="20"/>
              </w:rPr>
            </w:pPr>
            <w:r>
              <w:rPr>
                <w:color w:val="000000"/>
                <w:sz w:val="20"/>
                <w:szCs w:val="20"/>
              </w:rPr>
              <w:t>OBSZAR</w:t>
            </w:r>
          </w:p>
        </w:tc>
        <w:tc>
          <w:tcPr>
            <w:tcW w:w="985" w:type="dxa"/>
            <w:gridSpan w:val="2"/>
            <w:vAlign w:val="center"/>
            <w:hideMark/>
          </w:tcPr>
          <w:p w14:paraId="20B6EDF7" w14:textId="64E38287" w:rsidR="008A48A7" w:rsidRPr="0048035B" w:rsidRDefault="00440CAD"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8035B">
              <w:rPr>
                <w:color w:val="000000"/>
                <w:sz w:val="20"/>
                <w:szCs w:val="20"/>
              </w:rPr>
              <w:t>LICZBA</w:t>
            </w:r>
          </w:p>
        </w:tc>
        <w:tc>
          <w:tcPr>
            <w:tcW w:w="1421" w:type="dxa"/>
            <w:vAlign w:val="center"/>
            <w:hideMark/>
          </w:tcPr>
          <w:p w14:paraId="24D3E018" w14:textId="0F88E5F2" w:rsidR="008A48A7" w:rsidRPr="0048035B" w:rsidRDefault="00440CAD"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8035B">
              <w:rPr>
                <w:color w:val="000000"/>
                <w:sz w:val="20"/>
                <w:szCs w:val="20"/>
              </w:rPr>
              <w:t>WARTOŚĆ OGÓŁEM (MLN EUR)</w:t>
            </w:r>
          </w:p>
        </w:tc>
        <w:tc>
          <w:tcPr>
            <w:tcW w:w="1710" w:type="dxa"/>
            <w:vAlign w:val="center"/>
            <w:hideMark/>
          </w:tcPr>
          <w:p w14:paraId="6F48B782" w14:textId="74070AD7" w:rsidR="008A48A7" w:rsidRPr="0048035B" w:rsidRDefault="00440CAD"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8035B">
              <w:rPr>
                <w:color w:val="000000"/>
                <w:sz w:val="20"/>
                <w:szCs w:val="20"/>
              </w:rPr>
              <w:t>WARTOŚĆ DOFINANSOWANIA (MLN EUR)</w:t>
            </w:r>
          </w:p>
        </w:tc>
        <w:tc>
          <w:tcPr>
            <w:tcW w:w="851" w:type="dxa"/>
            <w:vAlign w:val="center"/>
            <w:hideMark/>
          </w:tcPr>
          <w:p w14:paraId="53B4D84F" w14:textId="72B63AC2" w:rsidR="008A48A7" w:rsidRPr="0048035B" w:rsidRDefault="00440CAD"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8035B">
              <w:rPr>
                <w:color w:val="000000"/>
                <w:sz w:val="20"/>
                <w:szCs w:val="20"/>
              </w:rPr>
              <w:t>POIG</w:t>
            </w:r>
          </w:p>
        </w:tc>
        <w:tc>
          <w:tcPr>
            <w:tcW w:w="709" w:type="dxa"/>
            <w:vAlign w:val="center"/>
            <w:hideMark/>
          </w:tcPr>
          <w:p w14:paraId="5BDB1FB2" w14:textId="140A46B0" w:rsidR="008A48A7" w:rsidRPr="0048035B" w:rsidRDefault="00440CAD"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8035B">
              <w:rPr>
                <w:color w:val="000000"/>
                <w:sz w:val="20"/>
                <w:szCs w:val="20"/>
              </w:rPr>
              <w:t>POIS</w:t>
            </w:r>
          </w:p>
        </w:tc>
        <w:tc>
          <w:tcPr>
            <w:tcW w:w="850" w:type="dxa"/>
            <w:vAlign w:val="center"/>
            <w:hideMark/>
          </w:tcPr>
          <w:p w14:paraId="005BD712" w14:textId="526F1F34" w:rsidR="008A48A7" w:rsidRPr="0048035B" w:rsidRDefault="00440CAD" w:rsidP="00EE50E2">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8035B">
              <w:rPr>
                <w:color w:val="000000"/>
                <w:sz w:val="20"/>
                <w:szCs w:val="20"/>
              </w:rPr>
              <w:t>POKL</w:t>
            </w:r>
          </w:p>
        </w:tc>
      </w:tr>
      <w:tr w:rsidR="008A48A7" w:rsidRPr="0048035B" w14:paraId="06D7005F" w14:textId="77777777" w:rsidTr="0036727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35B1DE5F"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Kapitał ludzki</w:t>
            </w:r>
          </w:p>
        </w:tc>
        <w:tc>
          <w:tcPr>
            <w:tcW w:w="841" w:type="dxa"/>
            <w:vAlign w:val="center"/>
          </w:tcPr>
          <w:p w14:paraId="03ACB636"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5173</w:t>
            </w:r>
          </w:p>
        </w:tc>
        <w:tc>
          <w:tcPr>
            <w:tcW w:w="1421" w:type="dxa"/>
            <w:vAlign w:val="center"/>
          </w:tcPr>
          <w:p w14:paraId="13D6E4FA"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824,39</w:t>
            </w:r>
          </w:p>
        </w:tc>
        <w:tc>
          <w:tcPr>
            <w:tcW w:w="1710" w:type="dxa"/>
            <w:vAlign w:val="center"/>
          </w:tcPr>
          <w:p w14:paraId="361AF681"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689,45</w:t>
            </w:r>
          </w:p>
        </w:tc>
        <w:tc>
          <w:tcPr>
            <w:tcW w:w="851" w:type="dxa"/>
            <w:vAlign w:val="center"/>
          </w:tcPr>
          <w:p w14:paraId="436F88BB"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c>
          <w:tcPr>
            <w:tcW w:w="709" w:type="dxa"/>
            <w:vAlign w:val="center"/>
          </w:tcPr>
          <w:p w14:paraId="28DD4DEB"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c>
          <w:tcPr>
            <w:tcW w:w="850" w:type="dxa"/>
            <w:vAlign w:val="center"/>
          </w:tcPr>
          <w:p w14:paraId="4D02FDFF"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5173</w:t>
            </w:r>
          </w:p>
        </w:tc>
      </w:tr>
      <w:tr w:rsidR="008A48A7" w:rsidRPr="0048035B" w14:paraId="0D3334E4" w14:textId="77777777" w:rsidTr="00367271">
        <w:trPr>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01360319"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Transport</w:t>
            </w:r>
          </w:p>
        </w:tc>
        <w:tc>
          <w:tcPr>
            <w:tcW w:w="841" w:type="dxa"/>
            <w:vAlign w:val="center"/>
          </w:tcPr>
          <w:p w14:paraId="10218D9B"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121</w:t>
            </w:r>
          </w:p>
        </w:tc>
        <w:tc>
          <w:tcPr>
            <w:tcW w:w="1421" w:type="dxa"/>
            <w:vAlign w:val="center"/>
          </w:tcPr>
          <w:p w14:paraId="72423DA3"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2766,78</w:t>
            </w:r>
          </w:p>
        </w:tc>
        <w:tc>
          <w:tcPr>
            <w:tcW w:w="1710" w:type="dxa"/>
            <w:vAlign w:val="center"/>
          </w:tcPr>
          <w:p w14:paraId="724382BF"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1821,09</w:t>
            </w:r>
          </w:p>
        </w:tc>
        <w:tc>
          <w:tcPr>
            <w:tcW w:w="851" w:type="dxa"/>
            <w:vAlign w:val="center"/>
          </w:tcPr>
          <w:p w14:paraId="22FBCA9B"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c>
          <w:tcPr>
            <w:tcW w:w="709" w:type="dxa"/>
            <w:vAlign w:val="center"/>
          </w:tcPr>
          <w:p w14:paraId="30986178"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121</w:t>
            </w:r>
          </w:p>
        </w:tc>
        <w:tc>
          <w:tcPr>
            <w:tcW w:w="850" w:type="dxa"/>
            <w:vAlign w:val="center"/>
          </w:tcPr>
          <w:p w14:paraId="60E0052B"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r>
      <w:tr w:rsidR="008A48A7" w:rsidRPr="0048035B" w14:paraId="06A69443" w14:textId="77777777" w:rsidTr="0036727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0080C262"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Przedsiębiorczość i B+R</w:t>
            </w:r>
          </w:p>
        </w:tc>
        <w:tc>
          <w:tcPr>
            <w:tcW w:w="841" w:type="dxa"/>
            <w:vAlign w:val="center"/>
          </w:tcPr>
          <w:p w14:paraId="66ADDBE0"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946</w:t>
            </w:r>
          </w:p>
        </w:tc>
        <w:tc>
          <w:tcPr>
            <w:tcW w:w="1421" w:type="dxa"/>
            <w:vAlign w:val="center"/>
          </w:tcPr>
          <w:p w14:paraId="36D91C02"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1662,01</w:t>
            </w:r>
          </w:p>
        </w:tc>
        <w:tc>
          <w:tcPr>
            <w:tcW w:w="1710" w:type="dxa"/>
            <w:vAlign w:val="center"/>
          </w:tcPr>
          <w:p w14:paraId="421452CA"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512,61</w:t>
            </w:r>
          </w:p>
        </w:tc>
        <w:tc>
          <w:tcPr>
            <w:tcW w:w="851" w:type="dxa"/>
            <w:vAlign w:val="center"/>
          </w:tcPr>
          <w:p w14:paraId="20B8F5F6"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938</w:t>
            </w:r>
          </w:p>
        </w:tc>
        <w:tc>
          <w:tcPr>
            <w:tcW w:w="709" w:type="dxa"/>
            <w:vAlign w:val="center"/>
          </w:tcPr>
          <w:p w14:paraId="72C0AB64"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8</w:t>
            </w:r>
          </w:p>
        </w:tc>
        <w:tc>
          <w:tcPr>
            <w:tcW w:w="850" w:type="dxa"/>
            <w:vAlign w:val="center"/>
          </w:tcPr>
          <w:p w14:paraId="647C110A"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r>
      <w:tr w:rsidR="008A48A7" w:rsidRPr="0048035B" w14:paraId="0B63A945" w14:textId="77777777" w:rsidTr="00367271">
        <w:trPr>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3F9289D5"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Społeczeństwo informacyjne</w:t>
            </w:r>
          </w:p>
        </w:tc>
        <w:tc>
          <w:tcPr>
            <w:tcW w:w="841" w:type="dxa"/>
            <w:vAlign w:val="center"/>
          </w:tcPr>
          <w:p w14:paraId="73BE92C2"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917</w:t>
            </w:r>
          </w:p>
        </w:tc>
        <w:tc>
          <w:tcPr>
            <w:tcW w:w="1421" w:type="dxa"/>
            <w:vAlign w:val="center"/>
          </w:tcPr>
          <w:p w14:paraId="71110945" w14:textId="77777777" w:rsidR="008A48A7" w:rsidRPr="00440CAD" w:rsidRDefault="008A48A7" w:rsidP="00EE50E2">
            <w:pPr>
              <w:spacing w:after="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162,74</w:t>
            </w:r>
          </w:p>
        </w:tc>
        <w:tc>
          <w:tcPr>
            <w:tcW w:w="1710" w:type="dxa"/>
            <w:vAlign w:val="center"/>
          </w:tcPr>
          <w:p w14:paraId="359D9261"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92,09</w:t>
            </w:r>
          </w:p>
        </w:tc>
        <w:tc>
          <w:tcPr>
            <w:tcW w:w="851" w:type="dxa"/>
            <w:vAlign w:val="center"/>
          </w:tcPr>
          <w:p w14:paraId="790565E2"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917</w:t>
            </w:r>
          </w:p>
        </w:tc>
        <w:tc>
          <w:tcPr>
            <w:tcW w:w="709" w:type="dxa"/>
            <w:vAlign w:val="center"/>
          </w:tcPr>
          <w:p w14:paraId="5F22765A"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c>
          <w:tcPr>
            <w:tcW w:w="850" w:type="dxa"/>
            <w:vAlign w:val="center"/>
          </w:tcPr>
          <w:p w14:paraId="48234039"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r>
      <w:tr w:rsidR="008A48A7" w:rsidRPr="0048035B" w14:paraId="58B4C51A" w14:textId="77777777" w:rsidTr="0036727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09617863"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Środowisko</w:t>
            </w:r>
          </w:p>
        </w:tc>
        <w:tc>
          <w:tcPr>
            <w:tcW w:w="841" w:type="dxa"/>
            <w:vAlign w:val="center"/>
          </w:tcPr>
          <w:p w14:paraId="7B5429E7"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141</w:t>
            </w:r>
          </w:p>
        </w:tc>
        <w:tc>
          <w:tcPr>
            <w:tcW w:w="1421" w:type="dxa"/>
            <w:vAlign w:val="center"/>
          </w:tcPr>
          <w:p w14:paraId="66D88F1B" w14:textId="77777777" w:rsidR="008A48A7" w:rsidRPr="00440CAD" w:rsidRDefault="008A48A7" w:rsidP="00EE50E2">
            <w:pPr>
              <w:spacing w:after="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1496,70</w:t>
            </w:r>
          </w:p>
        </w:tc>
        <w:tc>
          <w:tcPr>
            <w:tcW w:w="1710" w:type="dxa"/>
            <w:vAlign w:val="center"/>
          </w:tcPr>
          <w:p w14:paraId="1CF6F952" w14:textId="77777777" w:rsidR="008A48A7" w:rsidRPr="00440CAD" w:rsidRDefault="008A48A7" w:rsidP="00EE50E2">
            <w:pPr>
              <w:spacing w:after="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774,98</w:t>
            </w:r>
          </w:p>
        </w:tc>
        <w:tc>
          <w:tcPr>
            <w:tcW w:w="851" w:type="dxa"/>
            <w:vAlign w:val="center"/>
          </w:tcPr>
          <w:p w14:paraId="49C77197"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c>
          <w:tcPr>
            <w:tcW w:w="709" w:type="dxa"/>
            <w:vAlign w:val="center"/>
          </w:tcPr>
          <w:p w14:paraId="035D8D8B"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141</w:t>
            </w:r>
          </w:p>
        </w:tc>
        <w:tc>
          <w:tcPr>
            <w:tcW w:w="850" w:type="dxa"/>
            <w:vAlign w:val="center"/>
          </w:tcPr>
          <w:p w14:paraId="370BBF40"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r>
      <w:tr w:rsidR="008A48A7" w:rsidRPr="0048035B" w14:paraId="47230753" w14:textId="77777777" w:rsidTr="00367271">
        <w:trPr>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29FA61E5"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Energetyka</w:t>
            </w:r>
          </w:p>
        </w:tc>
        <w:tc>
          <w:tcPr>
            <w:tcW w:w="841" w:type="dxa"/>
            <w:vAlign w:val="center"/>
          </w:tcPr>
          <w:p w14:paraId="058A53CE"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97</w:t>
            </w:r>
          </w:p>
        </w:tc>
        <w:tc>
          <w:tcPr>
            <w:tcW w:w="1421" w:type="dxa"/>
            <w:vAlign w:val="center"/>
          </w:tcPr>
          <w:p w14:paraId="26BDAF7F"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197,45</w:t>
            </w:r>
          </w:p>
        </w:tc>
        <w:tc>
          <w:tcPr>
            <w:tcW w:w="1710" w:type="dxa"/>
            <w:vAlign w:val="center"/>
          </w:tcPr>
          <w:p w14:paraId="560274AD"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69,37</w:t>
            </w:r>
          </w:p>
        </w:tc>
        <w:tc>
          <w:tcPr>
            <w:tcW w:w="851" w:type="dxa"/>
            <w:vAlign w:val="center"/>
          </w:tcPr>
          <w:p w14:paraId="3742ED03"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c>
          <w:tcPr>
            <w:tcW w:w="709" w:type="dxa"/>
            <w:vAlign w:val="center"/>
          </w:tcPr>
          <w:p w14:paraId="1D8B4F9A"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97</w:t>
            </w:r>
          </w:p>
        </w:tc>
        <w:tc>
          <w:tcPr>
            <w:tcW w:w="850" w:type="dxa"/>
            <w:vAlign w:val="center"/>
          </w:tcPr>
          <w:p w14:paraId="047993AD"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r>
      <w:tr w:rsidR="008A48A7" w:rsidRPr="0048035B" w14:paraId="521E477E" w14:textId="77777777" w:rsidTr="0036727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25DCCCD3"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Infrastruktura społeczna</w:t>
            </w:r>
          </w:p>
        </w:tc>
        <w:tc>
          <w:tcPr>
            <w:tcW w:w="841" w:type="dxa"/>
            <w:vAlign w:val="center"/>
          </w:tcPr>
          <w:p w14:paraId="22AA940B"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31</w:t>
            </w:r>
          </w:p>
        </w:tc>
        <w:tc>
          <w:tcPr>
            <w:tcW w:w="1421" w:type="dxa"/>
            <w:vAlign w:val="center"/>
          </w:tcPr>
          <w:p w14:paraId="04FE383A"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72,2</w:t>
            </w:r>
          </w:p>
        </w:tc>
        <w:tc>
          <w:tcPr>
            <w:tcW w:w="1710" w:type="dxa"/>
            <w:vAlign w:val="center"/>
          </w:tcPr>
          <w:p w14:paraId="27BFAE76"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55,13</w:t>
            </w:r>
          </w:p>
        </w:tc>
        <w:tc>
          <w:tcPr>
            <w:tcW w:w="851" w:type="dxa"/>
            <w:vAlign w:val="center"/>
          </w:tcPr>
          <w:p w14:paraId="7F94B0D7"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c>
          <w:tcPr>
            <w:tcW w:w="709" w:type="dxa"/>
            <w:vAlign w:val="center"/>
          </w:tcPr>
          <w:p w14:paraId="06512F5B"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31</w:t>
            </w:r>
          </w:p>
        </w:tc>
        <w:tc>
          <w:tcPr>
            <w:tcW w:w="850" w:type="dxa"/>
            <w:vAlign w:val="center"/>
          </w:tcPr>
          <w:p w14:paraId="73926449"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r>
      <w:tr w:rsidR="008A48A7" w:rsidRPr="0048035B" w14:paraId="053BA87A" w14:textId="77777777" w:rsidTr="00367271">
        <w:trPr>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6EA99A17"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Turystyka</w:t>
            </w:r>
          </w:p>
        </w:tc>
        <w:tc>
          <w:tcPr>
            <w:tcW w:w="841" w:type="dxa"/>
            <w:vAlign w:val="center"/>
          </w:tcPr>
          <w:p w14:paraId="7B896514"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w:t>
            </w:r>
          </w:p>
        </w:tc>
        <w:tc>
          <w:tcPr>
            <w:tcW w:w="1421" w:type="dxa"/>
            <w:vAlign w:val="center"/>
          </w:tcPr>
          <w:p w14:paraId="60F7B2DD"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20,87</w:t>
            </w:r>
          </w:p>
        </w:tc>
        <w:tc>
          <w:tcPr>
            <w:tcW w:w="1710" w:type="dxa"/>
            <w:vAlign w:val="center"/>
          </w:tcPr>
          <w:p w14:paraId="1995B934"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10,57</w:t>
            </w:r>
          </w:p>
        </w:tc>
        <w:tc>
          <w:tcPr>
            <w:tcW w:w="851" w:type="dxa"/>
            <w:vAlign w:val="center"/>
          </w:tcPr>
          <w:p w14:paraId="1FEECF77"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440CAD">
              <w:rPr>
                <w:bCs/>
                <w:color w:val="000000"/>
                <w:sz w:val="20"/>
                <w:szCs w:val="20"/>
              </w:rPr>
              <w:t>1</w:t>
            </w:r>
          </w:p>
        </w:tc>
        <w:tc>
          <w:tcPr>
            <w:tcW w:w="709" w:type="dxa"/>
            <w:vAlign w:val="center"/>
          </w:tcPr>
          <w:p w14:paraId="2799DE53"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c>
          <w:tcPr>
            <w:tcW w:w="850" w:type="dxa"/>
            <w:vAlign w:val="center"/>
          </w:tcPr>
          <w:p w14:paraId="54F2E4AD" w14:textId="77777777" w:rsidR="008A48A7" w:rsidRPr="00440CAD"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Cs/>
                <w:color w:val="000000"/>
                <w:sz w:val="20"/>
                <w:szCs w:val="20"/>
              </w:rPr>
            </w:pPr>
          </w:p>
        </w:tc>
      </w:tr>
      <w:tr w:rsidR="008A48A7" w:rsidRPr="0048035B" w14:paraId="1D00B7EA" w14:textId="77777777" w:rsidTr="00367271">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5CBB0BD0" w14:textId="77777777" w:rsidR="008A48A7" w:rsidRPr="00440CAD" w:rsidRDefault="008A48A7" w:rsidP="00EE50E2">
            <w:pPr>
              <w:spacing w:before="120" w:after="120" w:line="240" w:lineRule="auto"/>
              <w:rPr>
                <w:b w:val="0"/>
                <w:color w:val="000000"/>
                <w:sz w:val="20"/>
                <w:szCs w:val="20"/>
              </w:rPr>
            </w:pPr>
            <w:r w:rsidRPr="00440CAD">
              <w:rPr>
                <w:b w:val="0"/>
                <w:color w:val="000000"/>
                <w:sz w:val="20"/>
                <w:szCs w:val="20"/>
              </w:rPr>
              <w:t>Kultura</w:t>
            </w:r>
          </w:p>
        </w:tc>
        <w:tc>
          <w:tcPr>
            <w:tcW w:w="841" w:type="dxa"/>
            <w:vAlign w:val="center"/>
          </w:tcPr>
          <w:p w14:paraId="0EC10CF2"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5</w:t>
            </w:r>
          </w:p>
        </w:tc>
        <w:tc>
          <w:tcPr>
            <w:tcW w:w="1421" w:type="dxa"/>
            <w:vAlign w:val="center"/>
          </w:tcPr>
          <w:p w14:paraId="1F1A6659"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98,92</w:t>
            </w:r>
          </w:p>
        </w:tc>
        <w:tc>
          <w:tcPr>
            <w:tcW w:w="1710" w:type="dxa"/>
            <w:vAlign w:val="center"/>
          </w:tcPr>
          <w:p w14:paraId="52D53448"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48,34</w:t>
            </w:r>
          </w:p>
        </w:tc>
        <w:tc>
          <w:tcPr>
            <w:tcW w:w="851" w:type="dxa"/>
            <w:vAlign w:val="center"/>
          </w:tcPr>
          <w:p w14:paraId="584380BA"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c>
          <w:tcPr>
            <w:tcW w:w="709" w:type="dxa"/>
            <w:vAlign w:val="center"/>
          </w:tcPr>
          <w:p w14:paraId="30AE3FDB"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440CAD">
              <w:rPr>
                <w:bCs/>
                <w:color w:val="000000"/>
                <w:sz w:val="20"/>
                <w:szCs w:val="20"/>
              </w:rPr>
              <w:t>5</w:t>
            </w:r>
          </w:p>
        </w:tc>
        <w:tc>
          <w:tcPr>
            <w:tcW w:w="850" w:type="dxa"/>
            <w:vAlign w:val="center"/>
          </w:tcPr>
          <w:p w14:paraId="27D477B2" w14:textId="77777777" w:rsidR="008A48A7" w:rsidRPr="00440CAD" w:rsidRDefault="008A48A7" w:rsidP="00EE50E2">
            <w:pPr>
              <w:spacing w:before="120" w:after="120" w:line="240" w:lineRule="auto"/>
              <w:jc w:val="right"/>
              <w:cnfStyle w:val="000000100000" w:firstRow="0" w:lastRow="0" w:firstColumn="0" w:lastColumn="0" w:oddVBand="0" w:evenVBand="0" w:oddHBand="1" w:evenHBand="0" w:firstRowFirstColumn="0" w:firstRowLastColumn="0" w:lastRowFirstColumn="0" w:lastRowLastColumn="0"/>
              <w:rPr>
                <w:bCs/>
                <w:color w:val="000000"/>
                <w:sz w:val="20"/>
                <w:szCs w:val="20"/>
              </w:rPr>
            </w:pPr>
          </w:p>
        </w:tc>
      </w:tr>
      <w:tr w:rsidR="008A48A7" w:rsidRPr="0048035B" w14:paraId="1C4E91F6" w14:textId="77777777" w:rsidTr="00367271">
        <w:trPr>
          <w:trHeight w:val="454"/>
        </w:trPr>
        <w:tc>
          <w:tcPr>
            <w:cnfStyle w:val="001000000000" w:firstRow="0" w:lastRow="0" w:firstColumn="1" w:lastColumn="0" w:oddVBand="0" w:evenVBand="0" w:oddHBand="0" w:evenHBand="0" w:firstRowFirstColumn="0" w:firstRowLastColumn="0" w:lastRowFirstColumn="0" w:lastRowLastColumn="0"/>
            <w:tcW w:w="2407" w:type="dxa"/>
            <w:gridSpan w:val="2"/>
            <w:vAlign w:val="center"/>
            <w:hideMark/>
          </w:tcPr>
          <w:p w14:paraId="54E9568B" w14:textId="77777777" w:rsidR="008A48A7" w:rsidRPr="00EE50E2" w:rsidRDefault="008A48A7" w:rsidP="00367271">
            <w:pPr>
              <w:spacing w:before="120" w:after="120" w:line="240" w:lineRule="auto"/>
              <w:rPr>
                <w:color w:val="000000"/>
                <w:sz w:val="20"/>
                <w:szCs w:val="20"/>
              </w:rPr>
            </w:pPr>
            <w:r w:rsidRPr="00EE50E2">
              <w:rPr>
                <w:color w:val="000000"/>
                <w:sz w:val="20"/>
                <w:szCs w:val="20"/>
              </w:rPr>
              <w:t>SUMA</w:t>
            </w:r>
          </w:p>
        </w:tc>
        <w:tc>
          <w:tcPr>
            <w:tcW w:w="841" w:type="dxa"/>
            <w:noWrap/>
            <w:vAlign w:val="center"/>
          </w:tcPr>
          <w:p w14:paraId="16A9F6AE" w14:textId="77777777" w:rsidR="008A48A7" w:rsidRPr="00EE50E2"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EE50E2">
              <w:rPr>
                <w:b/>
                <w:bCs/>
                <w:color w:val="000000"/>
                <w:sz w:val="20"/>
                <w:szCs w:val="20"/>
              </w:rPr>
              <w:t>7432</w:t>
            </w:r>
          </w:p>
        </w:tc>
        <w:tc>
          <w:tcPr>
            <w:tcW w:w="1421" w:type="dxa"/>
            <w:noWrap/>
            <w:vAlign w:val="center"/>
          </w:tcPr>
          <w:p w14:paraId="11691F12" w14:textId="77777777" w:rsidR="008A48A7" w:rsidRPr="00EE50E2"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EE50E2">
              <w:rPr>
                <w:b/>
                <w:bCs/>
                <w:color w:val="000000"/>
                <w:sz w:val="20"/>
                <w:szCs w:val="20"/>
              </w:rPr>
              <w:t>7302,06</w:t>
            </w:r>
          </w:p>
        </w:tc>
        <w:tc>
          <w:tcPr>
            <w:tcW w:w="1710" w:type="dxa"/>
            <w:noWrap/>
            <w:vAlign w:val="center"/>
          </w:tcPr>
          <w:p w14:paraId="08D9AF50" w14:textId="77777777" w:rsidR="008A48A7" w:rsidRPr="00EE50E2"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EE50E2">
              <w:rPr>
                <w:b/>
                <w:bCs/>
                <w:color w:val="000000"/>
                <w:sz w:val="20"/>
                <w:szCs w:val="20"/>
              </w:rPr>
              <w:t>4073,63</w:t>
            </w:r>
          </w:p>
        </w:tc>
        <w:tc>
          <w:tcPr>
            <w:tcW w:w="851" w:type="dxa"/>
            <w:noWrap/>
            <w:vAlign w:val="center"/>
          </w:tcPr>
          <w:p w14:paraId="22274544" w14:textId="77777777" w:rsidR="008A48A7" w:rsidRPr="00EE50E2"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EE50E2">
              <w:rPr>
                <w:b/>
                <w:bCs/>
                <w:color w:val="000000"/>
                <w:sz w:val="20"/>
                <w:szCs w:val="20"/>
              </w:rPr>
              <w:t>1855</w:t>
            </w:r>
          </w:p>
        </w:tc>
        <w:tc>
          <w:tcPr>
            <w:tcW w:w="709" w:type="dxa"/>
            <w:noWrap/>
            <w:vAlign w:val="center"/>
          </w:tcPr>
          <w:p w14:paraId="5798F3D4" w14:textId="77777777" w:rsidR="008A48A7" w:rsidRPr="00EE50E2"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EE50E2">
              <w:rPr>
                <w:b/>
                <w:bCs/>
                <w:color w:val="000000"/>
                <w:sz w:val="20"/>
                <w:szCs w:val="20"/>
              </w:rPr>
              <w:t>398</w:t>
            </w:r>
          </w:p>
        </w:tc>
        <w:tc>
          <w:tcPr>
            <w:tcW w:w="850" w:type="dxa"/>
            <w:noWrap/>
            <w:vAlign w:val="center"/>
          </w:tcPr>
          <w:p w14:paraId="21CEF9B6" w14:textId="77777777" w:rsidR="008A48A7" w:rsidRPr="00EE50E2" w:rsidRDefault="008A48A7" w:rsidP="00EE50E2">
            <w:pPr>
              <w:spacing w:before="120" w:after="120" w:line="240" w:lineRule="auto"/>
              <w:jc w:val="right"/>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EE50E2">
              <w:rPr>
                <w:b/>
                <w:bCs/>
                <w:color w:val="000000"/>
                <w:sz w:val="20"/>
                <w:szCs w:val="20"/>
              </w:rPr>
              <w:t>5173</w:t>
            </w:r>
          </w:p>
        </w:tc>
      </w:tr>
    </w:tbl>
    <w:p w14:paraId="2551E697" w14:textId="77777777" w:rsidR="00700B49" w:rsidRDefault="00700B49" w:rsidP="0094320D">
      <w:pPr>
        <w:tabs>
          <w:tab w:val="left" w:pos="2070"/>
        </w:tabs>
        <w:spacing w:after="120"/>
        <w:jc w:val="both"/>
        <w:rPr>
          <w:b/>
          <w:szCs w:val="24"/>
          <w:lang w:eastAsia="ar-SA"/>
        </w:rPr>
      </w:pPr>
    </w:p>
    <w:p w14:paraId="78AEF295" w14:textId="77777777" w:rsidR="00BF365E" w:rsidRDefault="001E62D6" w:rsidP="00BF365E">
      <w:pPr>
        <w:tabs>
          <w:tab w:val="left" w:pos="2070"/>
        </w:tabs>
        <w:spacing w:after="120"/>
        <w:jc w:val="both"/>
        <w:rPr>
          <w:b/>
          <w:szCs w:val="24"/>
          <w:lang w:eastAsia="ar-SA"/>
        </w:rPr>
      </w:pPr>
      <w:r w:rsidRPr="001E62D6">
        <w:rPr>
          <w:b/>
          <w:szCs w:val="24"/>
          <w:lang w:eastAsia="ar-SA"/>
        </w:rPr>
        <w:t>Analiza postępu rzeczowego</w:t>
      </w:r>
      <w:bookmarkStart w:id="96" w:name="_Toc292789250"/>
      <w:bookmarkStart w:id="97" w:name="_Toc292793535"/>
      <w:bookmarkStart w:id="98" w:name="_Toc391466342"/>
      <w:bookmarkStart w:id="99" w:name="_Toc423351758"/>
      <w:bookmarkStart w:id="100" w:name="_Toc473117311"/>
    </w:p>
    <w:p w14:paraId="3716A324" w14:textId="01FC78FC" w:rsidR="00BF365E" w:rsidRDefault="00BF365E" w:rsidP="00BF365E">
      <w:pPr>
        <w:tabs>
          <w:tab w:val="left" w:pos="2070"/>
        </w:tabs>
        <w:spacing w:after="120"/>
        <w:jc w:val="both"/>
        <w:rPr>
          <w:szCs w:val="24"/>
        </w:rPr>
      </w:pPr>
      <w:r w:rsidRPr="00BF365E">
        <w:rPr>
          <w:szCs w:val="24"/>
        </w:rPr>
        <w:t xml:space="preserve">Informacje dotyczące postępu rzeczowego </w:t>
      </w:r>
      <w:r w:rsidRPr="00EE50E2">
        <w:rPr>
          <w:i/>
          <w:szCs w:val="24"/>
        </w:rPr>
        <w:t>Programu</w:t>
      </w:r>
      <w:r w:rsidRPr="00BF365E">
        <w:rPr>
          <w:szCs w:val="24"/>
        </w:rPr>
        <w:t xml:space="preserve">, czyli wskaźniki monitorowania celu głównego </w:t>
      </w:r>
      <w:r w:rsidR="00EE50E2">
        <w:rPr>
          <w:szCs w:val="24"/>
        </w:rPr>
        <w:t>RPO WSL</w:t>
      </w:r>
      <w:r w:rsidRPr="00BF365E">
        <w:rPr>
          <w:szCs w:val="24"/>
        </w:rPr>
        <w:t xml:space="preserve"> i horyzontalne zostały przedstawione w załączniku nr I do niniejszego </w:t>
      </w:r>
      <w:r w:rsidRPr="00BF365E">
        <w:rPr>
          <w:i/>
          <w:szCs w:val="24"/>
        </w:rPr>
        <w:t>Sprawozdania</w:t>
      </w:r>
      <w:r w:rsidRPr="00BF365E">
        <w:rPr>
          <w:szCs w:val="24"/>
        </w:rPr>
        <w:t>. W załączniku nr V zostały zamieszczone w</w:t>
      </w:r>
      <w:r>
        <w:rPr>
          <w:szCs w:val="24"/>
        </w:rPr>
        <w:t>skaźniki kontekstowe. Ponadto w </w:t>
      </w:r>
      <w:r w:rsidRPr="00BF365E">
        <w:rPr>
          <w:szCs w:val="24"/>
        </w:rPr>
        <w:t xml:space="preserve">załączniku nr VIII przedstawiono realizację wskaźników kluczowych Komisji Europejskiej – core indicators. </w:t>
      </w:r>
    </w:p>
    <w:p w14:paraId="426A66AF" w14:textId="77777777" w:rsidR="00FB2805" w:rsidRDefault="00FB2805" w:rsidP="00FB2805">
      <w:pPr>
        <w:tabs>
          <w:tab w:val="left" w:pos="2070"/>
        </w:tabs>
        <w:spacing w:after="120"/>
        <w:jc w:val="both"/>
        <w:rPr>
          <w:b/>
          <w:szCs w:val="24"/>
        </w:rPr>
      </w:pPr>
      <w:r w:rsidRPr="00BF365E">
        <w:rPr>
          <w:b/>
          <w:szCs w:val="24"/>
        </w:rPr>
        <w:t>Wskaźniki celu głównego</w:t>
      </w:r>
    </w:p>
    <w:p w14:paraId="06F22BE8" w14:textId="6D982316" w:rsidR="00FB2805" w:rsidRDefault="00FB2805" w:rsidP="00FB2805">
      <w:pPr>
        <w:tabs>
          <w:tab w:val="left" w:pos="2070"/>
        </w:tabs>
        <w:spacing w:after="120"/>
        <w:jc w:val="both"/>
        <w:rPr>
          <w:szCs w:val="24"/>
        </w:rPr>
      </w:pPr>
      <w:r w:rsidRPr="00BF365E">
        <w:rPr>
          <w:szCs w:val="24"/>
        </w:rPr>
        <w:t xml:space="preserve">Wskaźniki programowe </w:t>
      </w:r>
      <w:r>
        <w:rPr>
          <w:i/>
          <w:szCs w:val="24"/>
        </w:rPr>
        <w:t>Wpływ realizacji p</w:t>
      </w:r>
      <w:r w:rsidRPr="0022154B">
        <w:rPr>
          <w:i/>
          <w:szCs w:val="24"/>
        </w:rPr>
        <w:t>rogramu na zmianę PKB</w:t>
      </w:r>
      <w:r w:rsidRPr="00BF365E">
        <w:rPr>
          <w:szCs w:val="24"/>
        </w:rPr>
        <w:t xml:space="preserve"> oraz </w:t>
      </w:r>
      <w:r w:rsidRPr="0022154B">
        <w:rPr>
          <w:i/>
          <w:szCs w:val="24"/>
        </w:rPr>
        <w:t>Liczba utworzonych miejsc pracy netto</w:t>
      </w:r>
      <w:r w:rsidRPr="00BF365E">
        <w:rPr>
          <w:szCs w:val="24"/>
        </w:rPr>
        <w:t xml:space="preserve"> zostały zmierzone w 201</w:t>
      </w:r>
      <w:r>
        <w:rPr>
          <w:szCs w:val="24"/>
        </w:rPr>
        <w:t>5</w:t>
      </w:r>
      <w:r w:rsidRPr="00BF365E">
        <w:rPr>
          <w:szCs w:val="24"/>
        </w:rPr>
        <w:t xml:space="preserve"> mode</w:t>
      </w:r>
      <w:r>
        <w:rPr>
          <w:szCs w:val="24"/>
        </w:rPr>
        <w:t>lem makroekonomicznym HERMIN. W </w:t>
      </w:r>
      <w:r w:rsidRPr="00BF365E">
        <w:rPr>
          <w:szCs w:val="24"/>
        </w:rPr>
        <w:t>201</w:t>
      </w:r>
      <w:r>
        <w:rPr>
          <w:szCs w:val="24"/>
        </w:rPr>
        <w:t>6</w:t>
      </w:r>
      <w:r w:rsidRPr="00BF365E">
        <w:rPr>
          <w:szCs w:val="24"/>
        </w:rPr>
        <w:t xml:space="preserve"> roku wskaźnik dot. </w:t>
      </w:r>
      <w:r w:rsidRPr="00862C9A">
        <w:rPr>
          <w:i/>
          <w:szCs w:val="24"/>
        </w:rPr>
        <w:t>Liczby miejsc pracy netto</w:t>
      </w:r>
      <w:r>
        <w:rPr>
          <w:szCs w:val="24"/>
        </w:rPr>
        <w:t xml:space="preserve"> osiągnął poziom ponad 18,1</w:t>
      </w:r>
      <w:r w:rsidRPr="00BF365E">
        <w:rPr>
          <w:szCs w:val="24"/>
        </w:rPr>
        <w:t xml:space="preserve"> ty</w:t>
      </w:r>
      <w:r w:rsidR="000160B4">
        <w:rPr>
          <w:szCs w:val="24"/>
        </w:rPr>
        <w:t>s</w:t>
      </w:r>
      <w:r w:rsidRPr="00BF365E">
        <w:rPr>
          <w:szCs w:val="24"/>
        </w:rPr>
        <w:t xml:space="preserve">; co daje </w:t>
      </w:r>
      <w:r>
        <w:rPr>
          <w:szCs w:val="24"/>
        </w:rPr>
        <w:t>781</w:t>
      </w:r>
      <w:r w:rsidRPr="00BF365E">
        <w:rPr>
          <w:szCs w:val="24"/>
        </w:rPr>
        <w:t xml:space="preserve">% zakładanej wartości docelowej dla 2015 roku. </w:t>
      </w:r>
      <w:r w:rsidRPr="00F8554E">
        <w:rPr>
          <w:szCs w:val="24"/>
        </w:rPr>
        <w:t xml:space="preserve">Różnice pomiędzy poziomami wskaźników realizacji celu głównego </w:t>
      </w:r>
      <w:r>
        <w:rPr>
          <w:szCs w:val="24"/>
        </w:rPr>
        <w:t>uzyskanymi dzięki ewaluacji</w:t>
      </w:r>
      <w:r w:rsidRPr="00F8554E">
        <w:rPr>
          <w:szCs w:val="24"/>
        </w:rPr>
        <w:t>,</w:t>
      </w:r>
      <w:r>
        <w:rPr>
          <w:szCs w:val="24"/>
        </w:rPr>
        <w:t xml:space="preserve"> </w:t>
      </w:r>
      <w:r w:rsidRPr="00F8554E">
        <w:rPr>
          <w:szCs w:val="24"/>
        </w:rPr>
        <w:t>a założonymi na etapie oceny ex-ante RPO WSL 2007-2013 w 2007 roku, determinowane są przez wiele różnych</w:t>
      </w:r>
      <w:r>
        <w:rPr>
          <w:szCs w:val="24"/>
        </w:rPr>
        <w:t xml:space="preserve"> </w:t>
      </w:r>
      <w:r w:rsidRPr="00F8554E">
        <w:rPr>
          <w:szCs w:val="24"/>
        </w:rPr>
        <w:t>czynników, które zais</w:t>
      </w:r>
      <w:r>
        <w:rPr>
          <w:szCs w:val="24"/>
        </w:rPr>
        <w:t xml:space="preserve">tniały w okresie wdrażania programu. </w:t>
      </w:r>
      <w:r w:rsidRPr="00F8554E">
        <w:rPr>
          <w:szCs w:val="24"/>
        </w:rPr>
        <w:t>Przede wszystkim rozbieżności między rezultatami dwóch badań wynikają z różnic pomiędzy danymi dotyczącymi płatności</w:t>
      </w:r>
      <w:r>
        <w:rPr>
          <w:szCs w:val="24"/>
        </w:rPr>
        <w:t xml:space="preserve"> </w:t>
      </w:r>
      <w:r w:rsidRPr="00F8554E">
        <w:rPr>
          <w:szCs w:val="24"/>
        </w:rPr>
        <w:t xml:space="preserve">realizowanych w ramach RPO WSL – </w:t>
      </w:r>
      <w:r>
        <w:rPr>
          <w:szCs w:val="24"/>
        </w:rPr>
        <w:t>w</w:t>
      </w:r>
      <w:r w:rsidRPr="00F8554E">
        <w:rPr>
          <w:szCs w:val="24"/>
        </w:rPr>
        <w:t xml:space="preserve"> badaniu </w:t>
      </w:r>
      <w:r>
        <w:rPr>
          <w:szCs w:val="24"/>
        </w:rPr>
        <w:t xml:space="preserve">przeprowadzonym w 2015r. </w:t>
      </w:r>
      <w:r w:rsidRPr="00F8554E">
        <w:rPr>
          <w:szCs w:val="24"/>
        </w:rPr>
        <w:t xml:space="preserve">analizowany </w:t>
      </w:r>
      <w:r>
        <w:rPr>
          <w:szCs w:val="24"/>
        </w:rPr>
        <w:t>był</w:t>
      </w:r>
      <w:r w:rsidRPr="00F8554E">
        <w:rPr>
          <w:szCs w:val="24"/>
        </w:rPr>
        <w:t xml:space="preserve"> wpływ środków UE i środków z budżetu</w:t>
      </w:r>
      <w:r>
        <w:rPr>
          <w:szCs w:val="24"/>
        </w:rPr>
        <w:t xml:space="preserve"> </w:t>
      </w:r>
      <w:r w:rsidRPr="00F8554E">
        <w:rPr>
          <w:szCs w:val="24"/>
        </w:rPr>
        <w:t>państwa, natomiast na etapie ex-ante badany był wpływ wszystkich publicznych środków finansowych przeznaczonych na</w:t>
      </w:r>
      <w:r>
        <w:rPr>
          <w:szCs w:val="24"/>
        </w:rPr>
        <w:t xml:space="preserve"> </w:t>
      </w:r>
      <w:r w:rsidRPr="00F8554E">
        <w:rPr>
          <w:szCs w:val="24"/>
        </w:rPr>
        <w:t>realizację Programu (czyli środków UE + środków z budżetu państwa + środków z budżetu JST + innych publicznych).</w:t>
      </w:r>
      <w:r>
        <w:rPr>
          <w:szCs w:val="24"/>
        </w:rPr>
        <w:t xml:space="preserve"> </w:t>
      </w:r>
      <w:r w:rsidRPr="00F8554E">
        <w:rPr>
          <w:szCs w:val="24"/>
        </w:rPr>
        <w:t xml:space="preserve">Różnica między całkowitymi alokacjami tych funduszy wynosi ok. 0,2 mld euro </w:t>
      </w:r>
      <w:r w:rsidRPr="00F8554E">
        <w:rPr>
          <w:szCs w:val="24"/>
        </w:rPr>
        <w:lastRenderedPageBreak/>
        <w:t>(na etapie ex- ante badano wpływ 2 mld</w:t>
      </w:r>
      <w:r>
        <w:rPr>
          <w:szCs w:val="24"/>
        </w:rPr>
        <w:t xml:space="preserve"> </w:t>
      </w:r>
      <w:r w:rsidRPr="00F8554E">
        <w:rPr>
          <w:szCs w:val="24"/>
        </w:rPr>
        <w:t>euro, obecnie badany jest wpływ 1,8 mld euro). Różnice dotyczą również struktury tych środków.</w:t>
      </w:r>
      <w:r>
        <w:rPr>
          <w:szCs w:val="24"/>
        </w:rPr>
        <w:t xml:space="preserve"> </w:t>
      </w:r>
      <w:r w:rsidRPr="00F8554E">
        <w:rPr>
          <w:szCs w:val="24"/>
        </w:rPr>
        <w:t xml:space="preserve">Po drugie, przez ostatnie </w:t>
      </w:r>
      <w:r>
        <w:rPr>
          <w:szCs w:val="24"/>
        </w:rPr>
        <w:t>9</w:t>
      </w:r>
      <w:r w:rsidRPr="00F8554E">
        <w:rPr>
          <w:szCs w:val="24"/>
        </w:rPr>
        <w:t xml:space="preserve"> lat zmieniła się sytuacja na rynkach międzynarodowych (kryzys w roku 2008, a następnie</w:t>
      </w:r>
      <w:r>
        <w:rPr>
          <w:szCs w:val="24"/>
        </w:rPr>
        <w:t xml:space="preserve"> </w:t>
      </w:r>
      <w:r w:rsidRPr="00F8554E">
        <w:rPr>
          <w:szCs w:val="24"/>
        </w:rPr>
        <w:t>kryzys zadłużenia sektora finansów publicznych), co wpłynęło na kształt scenariuszy rozwoju wielu krajów i regionów,</w:t>
      </w:r>
      <w:r>
        <w:rPr>
          <w:szCs w:val="24"/>
        </w:rPr>
        <w:t xml:space="preserve"> </w:t>
      </w:r>
      <w:r w:rsidRPr="00F8554E">
        <w:rPr>
          <w:szCs w:val="24"/>
        </w:rPr>
        <w:t>w tym również województwa śląskiego.</w:t>
      </w:r>
      <w:r>
        <w:rPr>
          <w:szCs w:val="24"/>
        </w:rPr>
        <w:t xml:space="preserve"> </w:t>
      </w:r>
      <w:r w:rsidRPr="00F8554E">
        <w:rPr>
          <w:szCs w:val="24"/>
        </w:rPr>
        <w:t>Po trzecie, wpływ na różnice w wynikach mają zmiany metodologiczne publikowanych przez GUS danych (m.in. przejście</w:t>
      </w:r>
      <w:r>
        <w:rPr>
          <w:szCs w:val="24"/>
        </w:rPr>
        <w:t xml:space="preserve"> </w:t>
      </w:r>
      <w:r w:rsidRPr="00F8554E">
        <w:rPr>
          <w:szCs w:val="24"/>
        </w:rPr>
        <w:t>z klasyfikacji PKD 2004 na PKD 2007, zmiana ESA 2005 na ESA 2010). Różnice mogą również wynikać z charakteru</w:t>
      </w:r>
      <w:r>
        <w:rPr>
          <w:szCs w:val="24"/>
        </w:rPr>
        <w:t xml:space="preserve"> </w:t>
      </w:r>
      <w:r w:rsidRPr="00F8554E">
        <w:rPr>
          <w:szCs w:val="24"/>
        </w:rPr>
        <w:t>badania (badanie ex-ante, które przeprowadzane jest w warunkach ograniczonej wiedzy o wpływie projektowanej</w:t>
      </w:r>
      <w:r>
        <w:rPr>
          <w:szCs w:val="24"/>
        </w:rPr>
        <w:t xml:space="preserve"> </w:t>
      </w:r>
      <w:r w:rsidRPr="00F8554E">
        <w:rPr>
          <w:szCs w:val="24"/>
        </w:rPr>
        <w:t>interwencji na podażową stronę danej gospodarki, ma z natury charakter bardziej optymistyczny).</w:t>
      </w:r>
      <w:r>
        <w:rPr>
          <w:szCs w:val="24"/>
        </w:rPr>
        <w:t xml:space="preserve"> </w:t>
      </w:r>
      <w:r w:rsidRPr="00F8554E">
        <w:rPr>
          <w:szCs w:val="24"/>
        </w:rPr>
        <w:t>Rozbieżności między wynikami spowodowane są ponadto wykorzystaniem w badaniach różnych wersji modelu HERMIN –</w:t>
      </w:r>
      <w:r>
        <w:rPr>
          <w:szCs w:val="24"/>
        </w:rPr>
        <w:t xml:space="preserve"> </w:t>
      </w:r>
      <w:r w:rsidRPr="00F8554E">
        <w:rPr>
          <w:szCs w:val="24"/>
        </w:rPr>
        <w:t xml:space="preserve">do oceny ex-ante wartości wskaźników RPO WSL wykorzystany został 4-sektorowy model HERMIN, podczas gdy </w:t>
      </w:r>
      <w:r>
        <w:rPr>
          <w:szCs w:val="24"/>
        </w:rPr>
        <w:t>w 2015 roku użyto</w:t>
      </w:r>
      <w:r w:rsidRPr="00F8554E">
        <w:rPr>
          <w:szCs w:val="24"/>
        </w:rPr>
        <w:t xml:space="preserve"> modelu 5-sektorowego. Różnice między modelami obejmują również bazę danych</w:t>
      </w:r>
      <w:r>
        <w:rPr>
          <w:szCs w:val="24"/>
        </w:rPr>
        <w:t xml:space="preserve"> </w:t>
      </w:r>
      <w:r w:rsidRPr="00F8554E">
        <w:rPr>
          <w:szCs w:val="24"/>
        </w:rPr>
        <w:t>potrzebną do konstrukcji modelu – w 2007 roku dostępność danych makroekonomicznych z poziomu regionalnego była</w:t>
      </w:r>
      <w:r>
        <w:rPr>
          <w:szCs w:val="24"/>
        </w:rPr>
        <w:t xml:space="preserve"> </w:t>
      </w:r>
      <w:r w:rsidRPr="00F8554E">
        <w:rPr>
          <w:szCs w:val="24"/>
        </w:rPr>
        <w:t>bardzo ograniczona i duża część musiała być rozszacowywana z poz</w:t>
      </w:r>
      <w:r>
        <w:rPr>
          <w:szCs w:val="24"/>
        </w:rPr>
        <w:t>iomu krajowego. W ciągu 8</w:t>
      </w:r>
      <w:r w:rsidRPr="00F8554E">
        <w:rPr>
          <w:szCs w:val="24"/>
        </w:rPr>
        <w:t xml:space="preserve"> lat zaszły w tym</w:t>
      </w:r>
      <w:r>
        <w:rPr>
          <w:szCs w:val="24"/>
        </w:rPr>
        <w:t xml:space="preserve"> </w:t>
      </w:r>
      <w:r w:rsidRPr="00F8554E">
        <w:rPr>
          <w:szCs w:val="24"/>
        </w:rPr>
        <w:t>obszarze duże zmiany – ośrodki badawcze znacznie poszerzyły zakres dostępności danych statystycznych z poziomu</w:t>
      </w:r>
      <w:r>
        <w:rPr>
          <w:szCs w:val="24"/>
        </w:rPr>
        <w:t xml:space="preserve"> </w:t>
      </w:r>
      <w:r w:rsidRPr="00F8554E">
        <w:rPr>
          <w:szCs w:val="24"/>
        </w:rPr>
        <w:t>regionalnego, przez co baza danych modelu mogła ewaluować i dostosować się do bazy danych systemu CSHM</w:t>
      </w:r>
      <w:r>
        <w:rPr>
          <w:szCs w:val="24"/>
        </w:rPr>
        <w:t xml:space="preserve"> </w:t>
      </w:r>
      <w:r w:rsidRPr="00F8554E">
        <w:rPr>
          <w:szCs w:val="24"/>
        </w:rPr>
        <w:t>(Cohesion System of HERMIN Models) stosowanego przez Komisję Europejską. Dzięki temu</w:t>
      </w:r>
      <w:r w:rsidR="000160B4">
        <w:rPr>
          <w:szCs w:val="24"/>
        </w:rPr>
        <w:t>,</w:t>
      </w:r>
      <w:r w:rsidRPr="00F8554E">
        <w:rPr>
          <w:szCs w:val="24"/>
        </w:rPr>
        <w:t xml:space="preserve"> obecnie model HERMIN</w:t>
      </w:r>
      <w:r>
        <w:rPr>
          <w:szCs w:val="24"/>
        </w:rPr>
        <w:t xml:space="preserve"> </w:t>
      </w:r>
      <w:r w:rsidRPr="00F8554E">
        <w:rPr>
          <w:szCs w:val="24"/>
        </w:rPr>
        <w:t>dla województwa śląskiego pozwala w większym stopniu odzwierciedlić rzeczywiste procesy społeczno-gospodarcze</w:t>
      </w:r>
      <w:r>
        <w:rPr>
          <w:szCs w:val="24"/>
        </w:rPr>
        <w:t xml:space="preserve"> </w:t>
      </w:r>
      <w:r w:rsidRPr="00F8554E">
        <w:rPr>
          <w:szCs w:val="24"/>
        </w:rPr>
        <w:t>zachodzące w regionie.</w:t>
      </w:r>
    </w:p>
    <w:p w14:paraId="138B1F14" w14:textId="1BF6FEC7" w:rsidR="00FB2805" w:rsidRDefault="00FB2805" w:rsidP="00FB2805">
      <w:pPr>
        <w:tabs>
          <w:tab w:val="left" w:pos="2070"/>
        </w:tabs>
        <w:spacing w:after="120"/>
        <w:jc w:val="both"/>
        <w:rPr>
          <w:szCs w:val="24"/>
        </w:rPr>
      </w:pPr>
      <w:r w:rsidRPr="00BF365E">
        <w:rPr>
          <w:szCs w:val="24"/>
        </w:rPr>
        <w:t xml:space="preserve">Drugi wskaźnik </w:t>
      </w:r>
      <w:r w:rsidRPr="00862C9A">
        <w:rPr>
          <w:i/>
          <w:szCs w:val="24"/>
        </w:rPr>
        <w:t>Wpływ realizacji programu na zmianę PKB</w:t>
      </w:r>
      <w:r>
        <w:rPr>
          <w:i/>
          <w:szCs w:val="24"/>
        </w:rPr>
        <w:t>,</w:t>
      </w:r>
      <w:r w:rsidRPr="00BF365E">
        <w:rPr>
          <w:szCs w:val="24"/>
        </w:rPr>
        <w:t xml:space="preserve"> mierzony za pomocą ww. modelu, został przeszacowany i pomimo wzrostu rok rocznie, osiągnął </w:t>
      </w:r>
      <w:r>
        <w:rPr>
          <w:szCs w:val="24"/>
        </w:rPr>
        <w:t>wartość 1,4% (tj. 71</w:t>
      </w:r>
      <w:r w:rsidRPr="00BF365E">
        <w:rPr>
          <w:szCs w:val="24"/>
        </w:rPr>
        <w:t>% zakładanej wartości docelowej</w:t>
      </w:r>
      <w:r>
        <w:rPr>
          <w:szCs w:val="24"/>
        </w:rPr>
        <w:t>)</w:t>
      </w:r>
      <w:r w:rsidRPr="00BF365E">
        <w:rPr>
          <w:szCs w:val="24"/>
        </w:rPr>
        <w:t xml:space="preserve">. </w:t>
      </w:r>
      <w:r>
        <w:rPr>
          <w:szCs w:val="24"/>
        </w:rPr>
        <w:t xml:space="preserve"> Z</w:t>
      </w:r>
      <w:r w:rsidRPr="00F8554E">
        <w:rPr>
          <w:szCs w:val="24"/>
        </w:rPr>
        <w:t>godnie z wynikami przeprowadzonych symulacji realizacja RPO WSL 2007-2013</w:t>
      </w:r>
      <w:r>
        <w:rPr>
          <w:szCs w:val="24"/>
        </w:rPr>
        <w:t xml:space="preserve"> </w:t>
      </w:r>
      <w:r w:rsidRPr="00F8554E">
        <w:rPr>
          <w:szCs w:val="24"/>
        </w:rPr>
        <w:t>w całym badanym okresie pozytywnie oddział</w:t>
      </w:r>
      <w:r>
        <w:rPr>
          <w:szCs w:val="24"/>
        </w:rPr>
        <w:t>ywała</w:t>
      </w:r>
      <w:r w:rsidRPr="00F8554E">
        <w:rPr>
          <w:szCs w:val="24"/>
        </w:rPr>
        <w:t xml:space="preserve"> na zmiany PKB w województwie śląskim. W latach 2008-2016</w:t>
      </w:r>
      <w:r>
        <w:rPr>
          <w:szCs w:val="24"/>
        </w:rPr>
        <w:t xml:space="preserve"> </w:t>
      </w:r>
      <w:r w:rsidRPr="00F8554E">
        <w:rPr>
          <w:szCs w:val="24"/>
        </w:rPr>
        <w:t>fundusze zaimplementowane do gospodarki województwa śląskiego w ramach realizacji Programu przyczyni</w:t>
      </w:r>
      <w:r>
        <w:rPr>
          <w:szCs w:val="24"/>
        </w:rPr>
        <w:t xml:space="preserve">ły </w:t>
      </w:r>
      <w:r w:rsidRPr="00F8554E">
        <w:rPr>
          <w:szCs w:val="24"/>
        </w:rPr>
        <w:t>się średniorocznie do osiągania wyższego o 1,2% poziomu PKB w relacji do poziomu jaki zostałby osiągnięty</w:t>
      </w:r>
      <w:r>
        <w:rPr>
          <w:szCs w:val="24"/>
        </w:rPr>
        <w:t xml:space="preserve"> </w:t>
      </w:r>
      <w:r w:rsidRPr="00F8554E">
        <w:rPr>
          <w:szCs w:val="24"/>
        </w:rPr>
        <w:t xml:space="preserve">w przypadku ich braku. Najbardziej odczuwalna skala efektów RPO WSL widoczna </w:t>
      </w:r>
      <w:r>
        <w:rPr>
          <w:szCs w:val="24"/>
        </w:rPr>
        <w:t>była</w:t>
      </w:r>
      <w:r w:rsidRPr="00F8554E">
        <w:rPr>
          <w:szCs w:val="24"/>
        </w:rPr>
        <w:t xml:space="preserve"> w latach 2013, 2014 i 2015</w:t>
      </w:r>
      <w:r>
        <w:rPr>
          <w:szCs w:val="24"/>
        </w:rPr>
        <w:t xml:space="preserve"> </w:t>
      </w:r>
      <w:r w:rsidRPr="00F8554E">
        <w:rPr>
          <w:szCs w:val="24"/>
        </w:rPr>
        <w:t>kiedy to wielkości wpływów są najwyższe i wynoszą odpowiednio: 1,69% (2013), 1,81% (2014) oraz 1,87% wartości</w:t>
      </w:r>
      <w:r>
        <w:rPr>
          <w:szCs w:val="24"/>
        </w:rPr>
        <w:t xml:space="preserve"> </w:t>
      </w:r>
      <w:r w:rsidRPr="00F8554E">
        <w:rPr>
          <w:szCs w:val="24"/>
        </w:rPr>
        <w:t>wpływu w roku 2015.</w:t>
      </w:r>
      <w:r w:rsidR="000160B4">
        <w:rPr>
          <w:szCs w:val="24"/>
        </w:rPr>
        <w:t xml:space="preserve"> </w:t>
      </w:r>
      <w:r w:rsidRPr="00BF365E">
        <w:rPr>
          <w:szCs w:val="24"/>
        </w:rPr>
        <w:t xml:space="preserve">Jedynym wskaźnikiem celu głównego zasilanym bezpośrednio przez projekty jest wskaźnik </w:t>
      </w:r>
      <w:r w:rsidRPr="00862C9A">
        <w:rPr>
          <w:i/>
          <w:szCs w:val="24"/>
        </w:rPr>
        <w:t>Utworzone miejsca pracy brutto</w:t>
      </w:r>
      <w:r w:rsidRPr="00BF365E">
        <w:rPr>
          <w:szCs w:val="24"/>
        </w:rPr>
        <w:t xml:space="preserve">, gdzie wartość równa jest </w:t>
      </w:r>
      <w:r>
        <w:rPr>
          <w:szCs w:val="24"/>
        </w:rPr>
        <w:t>10 532,03 szt. (miejsca pracy w </w:t>
      </w:r>
      <w:r w:rsidRPr="00BF365E">
        <w:rPr>
          <w:szCs w:val="24"/>
        </w:rPr>
        <w:t>EPC). W związku z faktem, że system informatyczny KSI (SIMIK 07-13) uniemożliwia uzyskanie danych o postępie ww. wskaźnika w podziale na kobiety i mężczyzn, prezentowane dane w podziale na płeć pochodzą z Lokalnego Systemu Informacyjnego. Realizacja przedmiotowego wskaźnika w podziale na kobiety i mężczyzn wskazuje na większą liczbę utworzonych miejsc pracy dla mężczyzn. Równość szans kobiet i mężczyzn jest ważnym elementem szerszej kwestii równości szans, której</w:t>
      </w:r>
      <w:r>
        <w:rPr>
          <w:szCs w:val="24"/>
        </w:rPr>
        <w:t xml:space="preserve"> przestrzeganie stanowi jedną z </w:t>
      </w:r>
      <w:r w:rsidRPr="00BF365E">
        <w:rPr>
          <w:szCs w:val="24"/>
        </w:rPr>
        <w:t xml:space="preserve">podstawowych zasad RPO WSL. Przy programowaniu zostały założone podwskaźniki: miejsca pracy w podziale na kobiety i mężczyzn, gdzie przewidziano utworzenie większej liczby miejsc pracy dla kobiet. Beneficjenci składając wnioski o dofinansowanie nie deklarują kogo zatrudnią, gdyż zostałaby zaburzona omawiana </w:t>
      </w:r>
      <w:r w:rsidRPr="00BF365E">
        <w:rPr>
          <w:szCs w:val="24"/>
        </w:rPr>
        <w:lastRenderedPageBreak/>
        <w:t>zasada, każdy powinien mieć równy dostęp do zatrudnienia. Beneficjenci wykazują miejsca pra</w:t>
      </w:r>
      <w:r>
        <w:rPr>
          <w:szCs w:val="24"/>
        </w:rPr>
        <w:t>cy w podziale na płeć dopiero w </w:t>
      </w:r>
      <w:r w:rsidRPr="00BF365E">
        <w:rPr>
          <w:szCs w:val="24"/>
        </w:rPr>
        <w:t>momencie składania wniosku o płatność. Dysproporcje w twor</w:t>
      </w:r>
      <w:r>
        <w:rPr>
          <w:szCs w:val="24"/>
        </w:rPr>
        <w:t>zeniu miejsc pracy dla kobiet i </w:t>
      </w:r>
      <w:r w:rsidRPr="00BF365E">
        <w:rPr>
          <w:szCs w:val="24"/>
        </w:rPr>
        <w:t>mężczyzn wynikają przede wszystkim ze struktury wspartych beneficjentów (rodzaju działalności). W ramach priorytetu I projekty realizowane są w branżach, w których zatrudnienie zdominowane jest przez mężczyzn, m.in.: przetwórstwo przemysłowe, budownictwo. Natomiast w priorytecie III, przeważają miejsca pracy dla kobiet, co również wynika ze specyfiki obszaru wsparcia</w:t>
      </w:r>
      <w:r>
        <w:rPr>
          <w:szCs w:val="24"/>
        </w:rPr>
        <w:t>,</w:t>
      </w:r>
      <w:r w:rsidRPr="00BF365E">
        <w:rPr>
          <w:szCs w:val="24"/>
        </w:rPr>
        <w:t xml:space="preserve"> jakim jest turystyka. </w:t>
      </w:r>
    </w:p>
    <w:p w14:paraId="5B33F3CB" w14:textId="77777777" w:rsidR="00FB2805" w:rsidRPr="00BF365E" w:rsidRDefault="00FB2805" w:rsidP="00FB2805">
      <w:pPr>
        <w:pStyle w:val="Nagwek1"/>
        <w:numPr>
          <w:ilvl w:val="0"/>
          <w:numId w:val="0"/>
        </w:numPr>
        <w:tabs>
          <w:tab w:val="left" w:pos="2127"/>
        </w:tabs>
        <w:spacing w:before="240" w:after="120"/>
        <w:jc w:val="both"/>
        <w:rPr>
          <w:bCs w:val="0"/>
          <w:szCs w:val="24"/>
        </w:rPr>
      </w:pPr>
      <w:bookmarkStart w:id="101" w:name="_Toc477779745"/>
      <w:r w:rsidRPr="00BF365E">
        <w:rPr>
          <w:bCs w:val="0"/>
          <w:szCs w:val="24"/>
        </w:rPr>
        <w:t>Wskaźniki horyzontalne</w:t>
      </w:r>
      <w:bookmarkEnd w:id="101"/>
    </w:p>
    <w:p w14:paraId="731C8F0E" w14:textId="06DBAE03" w:rsidR="00FB2805" w:rsidRPr="00862C9A" w:rsidRDefault="00FB2805" w:rsidP="00FB2805">
      <w:pPr>
        <w:pStyle w:val="Nagwek1"/>
        <w:numPr>
          <w:ilvl w:val="0"/>
          <w:numId w:val="0"/>
        </w:numPr>
        <w:tabs>
          <w:tab w:val="left" w:pos="2127"/>
        </w:tabs>
        <w:spacing w:before="240" w:after="120"/>
        <w:jc w:val="both"/>
        <w:rPr>
          <w:b w:val="0"/>
          <w:bCs w:val="0"/>
          <w:i/>
          <w:szCs w:val="24"/>
        </w:rPr>
      </w:pPr>
      <w:bookmarkStart w:id="102" w:name="_Toc477779746"/>
      <w:r>
        <w:rPr>
          <w:b w:val="0"/>
          <w:bCs w:val="0"/>
          <w:szCs w:val="24"/>
        </w:rPr>
        <w:t>Zakończono realizację 446</w:t>
      </w:r>
      <w:r w:rsidRPr="00BF365E">
        <w:rPr>
          <w:b w:val="0"/>
          <w:bCs w:val="0"/>
          <w:szCs w:val="24"/>
        </w:rPr>
        <w:t xml:space="preserve"> projektów w ramach wskaźnika horyzontalnego produktu </w:t>
      </w:r>
      <w:r w:rsidRPr="00862C9A">
        <w:rPr>
          <w:b w:val="0"/>
          <w:bCs w:val="0"/>
          <w:i/>
          <w:szCs w:val="24"/>
        </w:rPr>
        <w:t>Liczba projektów w zakresie usuwania barier funkcjonalnych dla osób niepełnosprawnych</w:t>
      </w:r>
      <w:r w:rsidRPr="00BF365E">
        <w:rPr>
          <w:b w:val="0"/>
          <w:bCs w:val="0"/>
          <w:szCs w:val="24"/>
        </w:rPr>
        <w:t xml:space="preserve"> </w:t>
      </w:r>
      <w:r>
        <w:rPr>
          <w:b w:val="0"/>
          <w:bCs w:val="0"/>
          <w:szCs w:val="24"/>
        </w:rPr>
        <w:t xml:space="preserve">(194% wartości docelowej) </w:t>
      </w:r>
      <w:r w:rsidRPr="00BF365E">
        <w:rPr>
          <w:b w:val="0"/>
          <w:bCs w:val="0"/>
          <w:szCs w:val="24"/>
        </w:rPr>
        <w:t>oraz</w:t>
      </w:r>
      <w:r>
        <w:rPr>
          <w:b w:val="0"/>
          <w:bCs w:val="0"/>
          <w:szCs w:val="24"/>
        </w:rPr>
        <w:t xml:space="preserve"> 253 w </w:t>
      </w:r>
      <w:r w:rsidRPr="00BF365E">
        <w:rPr>
          <w:b w:val="0"/>
          <w:bCs w:val="0"/>
          <w:szCs w:val="24"/>
        </w:rPr>
        <w:t xml:space="preserve">ramach wskaźnika horyzontalnego </w:t>
      </w:r>
      <w:r w:rsidRPr="00862C9A">
        <w:rPr>
          <w:b w:val="0"/>
          <w:bCs w:val="0"/>
          <w:i/>
          <w:szCs w:val="24"/>
        </w:rPr>
        <w:t>Liczba projektów w zakresie poprawy efektywności energetycznej</w:t>
      </w:r>
      <w:r w:rsidR="000160B4">
        <w:rPr>
          <w:b w:val="0"/>
          <w:bCs w:val="0"/>
          <w:i/>
          <w:szCs w:val="24"/>
        </w:rPr>
        <w:t xml:space="preserve"> </w:t>
      </w:r>
      <w:r>
        <w:rPr>
          <w:b w:val="0"/>
          <w:bCs w:val="0"/>
          <w:szCs w:val="24"/>
        </w:rPr>
        <w:t>(110% wartości docelowej)</w:t>
      </w:r>
      <w:r w:rsidRPr="00862C9A">
        <w:rPr>
          <w:b w:val="0"/>
          <w:bCs w:val="0"/>
          <w:i/>
          <w:szCs w:val="24"/>
        </w:rPr>
        <w:t>.</w:t>
      </w:r>
      <w:bookmarkEnd w:id="102"/>
    </w:p>
    <w:p w14:paraId="29A903E6" w14:textId="77777777" w:rsidR="00FB2805" w:rsidRPr="00BF365E" w:rsidRDefault="00FB2805" w:rsidP="00FB2805">
      <w:pPr>
        <w:pStyle w:val="Nagwek1"/>
        <w:numPr>
          <w:ilvl w:val="0"/>
          <w:numId w:val="0"/>
        </w:numPr>
        <w:tabs>
          <w:tab w:val="left" w:pos="2127"/>
        </w:tabs>
        <w:spacing w:before="240" w:after="120"/>
        <w:jc w:val="both"/>
        <w:rPr>
          <w:b w:val="0"/>
          <w:bCs w:val="0"/>
          <w:szCs w:val="24"/>
        </w:rPr>
      </w:pPr>
      <w:bookmarkStart w:id="103" w:name="_Toc477779747"/>
      <w:r w:rsidRPr="00BF365E">
        <w:rPr>
          <w:b w:val="0"/>
          <w:bCs w:val="0"/>
          <w:szCs w:val="24"/>
        </w:rPr>
        <w:t xml:space="preserve">Na wskaźnik horyzontalny </w:t>
      </w:r>
      <w:r w:rsidRPr="00862C9A">
        <w:rPr>
          <w:b w:val="0"/>
          <w:bCs w:val="0"/>
          <w:i/>
          <w:szCs w:val="24"/>
        </w:rPr>
        <w:t>Liczba projektów w zakresie poprawy efektywności energetycznej</w:t>
      </w:r>
      <w:r w:rsidRPr="00BF365E">
        <w:rPr>
          <w:b w:val="0"/>
          <w:bCs w:val="0"/>
          <w:szCs w:val="24"/>
        </w:rPr>
        <w:t xml:space="preserve"> nie zostały zagregowane projekty, których beneficjenci nie przedstawili wartości zaoszczędzonej energii. Mimo, iż beneficjenci zaznacza</w:t>
      </w:r>
      <w:r>
        <w:rPr>
          <w:b w:val="0"/>
          <w:bCs w:val="0"/>
          <w:szCs w:val="24"/>
        </w:rPr>
        <w:t>li</w:t>
      </w:r>
      <w:r w:rsidRPr="00BF365E">
        <w:rPr>
          <w:b w:val="0"/>
          <w:bCs w:val="0"/>
          <w:szCs w:val="24"/>
        </w:rPr>
        <w:t xml:space="preserve"> </w:t>
      </w:r>
      <w:r>
        <w:rPr>
          <w:b w:val="0"/>
          <w:bCs w:val="0"/>
          <w:szCs w:val="24"/>
        </w:rPr>
        <w:t>we wniosku o dofinansowanie, iż </w:t>
      </w:r>
      <w:r w:rsidRPr="00BF365E">
        <w:rPr>
          <w:b w:val="0"/>
          <w:bCs w:val="0"/>
          <w:szCs w:val="24"/>
        </w:rPr>
        <w:t>projekty wpływa</w:t>
      </w:r>
      <w:r>
        <w:rPr>
          <w:b w:val="0"/>
          <w:bCs w:val="0"/>
          <w:szCs w:val="24"/>
        </w:rPr>
        <w:t>ły</w:t>
      </w:r>
      <w:r w:rsidRPr="00BF365E">
        <w:rPr>
          <w:b w:val="0"/>
          <w:bCs w:val="0"/>
          <w:szCs w:val="24"/>
        </w:rPr>
        <w:t>/poprawia</w:t>
      </w:r>
      <w:r>
        <w:rPr>
          <w:b w:val="0"/>
          <w:bCs w:val="0"/>
          <w:szCs w:val="24"/>
        </w:rPr>
        <w:t>ły</w:t>
      </w:r>
      <w:r w:rsidRPr="00BF365E">
        <w:rPr>
          <w:b w:val="0"/>
          <w:bCs w:val="0"/>
          <w:szCs w:val="24"/>
        </w:rPr>
        <w:t xml:space="preserve"> efektywność energetyczną, w konsekwencji nie wykaz</w:t>
      </w:r>
      <w:r>
        <w:rPr>
          <w:b w:val="0"/>
          <w:bCs w:val="0"/>
          <w:szCs w:val="24"/>
        </w:rPr>
        <w:t>ywali</w:t>
      </w:r>
      <w:r w:rsidRPr="00BF365E">
        <w:rPr>
          <w:b w:val="0"/>
          <w:bCs w:val="0"/>
          <w:szCs w:val="24"/>
        </w:rPr>
        <w:t xml:space="preserve"> oni wartości zaoszczędzonej energii. </w:t>
      </w:r>
      <w:r>
        <w:rPr>
          <w:b w:val="0"/>
          <w:bCs w:val="0"/>
          <w:szCs w:val="24"/>
        </w:rPr>
        <w:t>W związku z tym,</w:t>
      </w:r>
      <w:r w:rsidRPr="00BF365E">
        <w:rPr>
          <w:b w:val="0"/>
          <w:bCs w:val="0"/>
          <w:szCs w:val="24"/>
        </w:rPr>
        <w:t xml:space="preserve"> wartość wskaźnika obejmuje wyłącznie projekty, których beneficjenci</w:t>
      </w:r>
      <w:r>
        <w:rPr>
          <w:b w:val="0"/>
          <w:bCs w:val="0"/>
          <w:szCs w:val="24"/>
        </w:rPr>
        <w:t>,</w:t>
      </w:r>
      <w:r w:rsidRPr="00BF365E">
        <w:rPr>
          <w:b w:val="0"/>
          <w:bCs w:val="0"/>
          <w:szCs w:val="24"/>
        </w:rPr>
        <w:t xml:space="preserve"> czy to dzięki audytowi energetycznemu</w:t>
      </w:r>
      <w:r>
        <w:rPr>
          <w:b w:val="0"/>
          <w:bCs w:val="0"/>
          <w:szCs w:val="24"/>
        </w:rPr>
        <w:t>,</w:t>
      </w:r>
      <w:r w:rsidRPr="00BF365E">
        <w:rPr>
          <w:b w:val="0"/>
          <w:bCs w:val="0"/>
          <w:szCs w:val="24"/>
        </w:rPr>
        <w:t xml:space="preserve"> czy też na podstawie własnych obliczeń, byli w stanie wykazać wartości przedmiotowego wskaźnika.</w:t>
      </w:r>
      <w:bookmarkEnd w:id="103"/>
    </w:p>
    <w:p w14:paraId="5407531D" w14:textId="77777777" w:rsidR="00FB2805" w:rsidRPr="00BF365E" w:rsidRDefault="00FB2805" w:rsidP="00FB2805">
      <w:pPr>
        <w:pStyle w:val="Nagwek1"/>
        <w:numPr>
          <w:ilvl w:val="0"/>
          <w:numId w:val="0"/>
        </w:numPr>
        <w:tabs>
          <w:tab w:val="left" w:pos="2127"/>
        </w:tabs>
        <w:spacing w:before="240" w:after="120"/>
        <w:jc w:val="both"/>
        <w:rPr>
          <w:b w:val="0"/>
          <w:bCs w:val="0"/>
          <w:szCs w:val="24"/>
        </w:rPr>
      </w:pPr>
      <w:bookmarkStart w:id="104" w:name="_Toc477779748"/>
      <w:r w:rsidRPr="00BF365E">
        <w:rPr>
          <w:b w:val="0"/>
          <w:bCs w:val="0"/>
          <w:szCs w:val="24"/>
        </w:rPr>
        <w:t>Osiągnięte wartości ww. wskaźników horyzontalnych produktu mają swoje</w:t>
      </w:r>
      <w:r>
        <w:rPr>
          <w:b w:val="0"/>
          <w:bCs w:val="0"/>
          <w:szCs w:val="24"/>
        </w:rPr>
        <w:t xml:space="preserve"> przełożenie na wskaźniki </w:t>
      </w:r>
      <w:r w:rsidRPr="00BF365E">
        <w:rPr>
          <w:b w:val="0"/>
          <w:bCs w:val="0"/>
          <w:szCs w:val="24"/>
        </w:rPr>
        <w:t>rezultat</w:t>
      </w:r>
      <w:r>
        <w:rPr>
          <w:b w:val="0"/>
          <w:bCs w:val="0"/>
          <w:szCs w:val="24"/>
        </w:rPr>
        <w:t>u</w:t>
      </w:r>
      <w:r w:rsidRPr="00BF365E">
        <w:rPr>
          <w:b w:val="0"/>
          <w:bCs w:val="0"/>
          <w:szCs w:val="24"/>
        </w:rPr>
        <w:t xml:space="preserve">. W ramach wskaźnika </w:t>
      </w:r>
      <w:r w:rsidRPr="00862C9A">
        <w:rPr>
          <w:b w:val="0"/>
          <w:bCs w:val="0"/>
          <w:i/>
          <w:szCs w:val="24"/>
        </w:rPr>
        <w:t>Redukcja zużycia energii we wspartych budynkach</w:t>
      </w:r>
      <w:r w:rsidRPr="00BF365E">
        <w:rPr>
          <w:b w:val="0"/>
          <w:bCs w:val="0"/>
          <w:szCs w:val="24"/>
        </w:rPr>
        <w:t xml:space="preserve"> osiągnięta wartość to </w:t>
      </w:r>
      <w:r>
        <w:rPr>
          <w:b w:val="0"/>
          <w:bCs w:val="0"/>
          <w:szCs w:val="24"/>
        </w:rPr>
        <w:t>141 427</w:t>
      </w:r>
      <w:r w:rsidRPr="00BF365E">
        <w:rPr>
          <w:b w:val="0"/>
          <w:bCs w:val="0"/>
          <w:szCs w:val="24"/>
        </w:rPr>
        <w:t xml:space="preserve"> MWh</w:t>
      </w:r>
      <w:r>
        <w:rPr>
          <w:b w:val="0"/>
          <w:bCs w:val="0"/>
          <w:szCs w:val="24"/>
        </w:rPr>
        <w:t xml:space="preserve"> (337% wartości docelowej)</w:t>
      </w:r>
      <w:r w:rsidRPr="00BF365E">
        <w:rPr>
          <w:b w:val="0"/>
          <w:bCs w:val="0"/>
          <w:szCs w:val="24"/>
        </w:rPr>
        <w:t xml:space="preserve">, </w:t>
      </w:r>
      <w:r>
        <w:rPr>
          <w:b w:val="0"/>
          <w:bCs w:val="0"/>
          <w:szCs w:val="24"/>
        </w:rPr>
        <w:t>a przekroczenie wartości docelowej związane było, z większą niż przewidziano średnią</w:t>
      </w:r>
      <w:r w:rsidRPr="00BF365E">
        <w:rPr>
          <w:b w:val="0"/>
          <w:bCs w:val="0"/>
          <w:szCs w:val="24"/>
        </w:rPr>
        <w:t xml:space="preserve"> wartość oszczędności energii. Dla wskaźnika </w:t>
      </w:r>
      <w:r w:rsidRPr="00862C9A">
        <w:rPr>
          <w:b w:val="0"/>
          <w:bCs w:val="0"/>
          <w:i/>
          <w:szCs w:val="24"/>
        </w:rPr>
        <w:t xml:space="preserve">Liczba osób niepełnosprawnych korzystających z udogodnień powstałych w ramach wsparcia RPO </w:t>
      </w:r>
      <w:r w:rsidRPr="00BF365E">
        <w:rPr>
          <w:b w:val="0"/>
          <w:bCs w:val="0"/>
          <w:szCs w:val="24"/>
        </w:rPr>
        <w:t xml:space="preserve">osiągnięto realizację wynoszącą </w:t>
      </w:r>
      <w:r>
        <w:rPr>
          <w:b w:val="0"/>
          <w:bCs w:val="0"/>
          <w:szCs w:val="24"/>
        </w:rPr>
        <w:t>195 477</w:t>
      </w:r>
      <w:r w:rsidRPr="00BF365E">
        <w:rPr>
          <w:b w:val="0"/>
          <w:bCs w:val="0"/>
          <w:szCs w:val="24"/>
        </w:rPr>
        <w:t xml:space="preserve"> osób</w:t>
      </w:r>
      <w:r>
        <w:rPr>
          <w:b w:val="0"/>
          <w:bCs w:val="0"/>
          <w:szCs w:val="24"/>
        </w:rPr>
        <w:t xml:space="preserve"> (326% wartości docelowej)</w:t>
      </w:r>
      <w:r w:rsidRPr="00BF365E">
        <w:rPr>
          <w:b w:val="0"/>
          <w:bCs w:val="0"/>
          <w:szCs w:val="24"/>
        </w:rPr>
        <w:t>, co również oznacza większą od spodziewanej średniej liczby osób objętych wsparciem w pojedynczym projekcie</w:t>
      </w:r>
      <w:r>
        <w:rPr>
          <w:b w:val="0"/>
          <w:bCs w:val="0"/>
          <w:szCs w:val="24"/>
        </w:rPr>
        <w:t>.</w:t>
      </w:r>
      <w:bookmarkEnd w:id="104"/>
    </w:p>
    <w:p w14:paraId="380C6118" w14:textId="77777777" w:rsidR="00FB2805" w:rsidRPr="00BF365E" w:rsidRDefault="00FB2805" w:rsidP="00FB2805">
      <w:pPr>
        <w:pStyle w:val="Nagwek1"/>
        <w:numPr>
          <w:ilvl w:val="0"/>
          <w:numId w:val="0"/>
        </w:numPr>
        <w:tabs>
          <w:tab w:val="left" w:pos="2127"/>
        </w:tabs>
        <w:spacing w:before="240" w:after="120"/>
        <w:jc w:val="both"/>
        <w:rPr>
          <w:b w:val="0"/>
          <w:bCs w:val="0"/>
          <w:szCs w:val="24"/>
        </w:rPr>
      </w:pPr>
      <w:bookmarkStart w:id="105" w:name="_Toc477779749"/>
      <w:r w:rsidRPr="00BF365E">
        <w:rPr>
          <w:b w:val="0"/>
          <w:bCs w:val="0"/>
          <w:szCs w:val="24"/>
        </w:rPr>
        <w:t>Przeprowadzona analiza SWOT wykazała najważniejsze problemy województwa. Na tej podstawie został określony jeden z celów głównych a mianowicie, wpływ realizacji programu na zmianę PKB, który jest odpowiedzią na zdiagnozowany spadek potencjału ekonomicznego regionu.</w:t>
      </w:r>
      <w:bookmarkEnd w:id="105"/>
      <w:r w:rsidRPr="00BF365E">
        <w:rPr>
          <w:b w:val="0"/>
          <w:bCs w:val="0"/>
          <w:szCs w:val="24"/>
        </w:rPr>
        <w:t xml:space="preserve"> </w:t>
      </w:r>
    </w:p>
    <w:p w14:paraId="1E3744F0" w14:textId="77777777" w:rsidR="0018155F" w:rsidRPr="00BA2CDA" w:rsidRDefault="00ED61D8" w:rsidP="0021401A">
      <w:pPr>
        <w:pStyle w:val="Nagwek1"/>
        <w:numPr>
          <w:ilvl w:val="3"/>
          <w:numId w:val="40"/>
        </w:numPr>
        <w:tabs>
          <w:tab w:val="left" w:pos="2127"/>
        </w:tabs>
        <w:spacing w:before="240" w:after="120"/>
        <w:ind w:left="1418" w:hanging="709"/>
        <w:jc w:val="both"/>
        <w:rPr>
          <w:szCs w:val="24"/>
          <w:lang w:eastAsia="ar-SA"/>
        </w:rPr>
      </w:pPr>
      <w:bookmarkStart w:id="106" w:name="_Toc477779750"/>
      <w:r w:rsidRPr="00BA2CDA">
        <w:rPr>
          <w:szCs w:val="24"/>
          <w:lang w:eastAsia="ar-SA"/>
        </w:rPr>
        <w:t>R</w:t>
      </w:r>
      <w:r w:rsidR="00173F77" w:rsidRPr="00BA2CDA">
        <w:rPr>
          <w:szCs w:val="24"/>
          <w:lang w:eastAsia="ar-SA"/>
        </w:rPr>
        <w:t xml:space="preserve">ekomendacje </w:t>
      </w:r>
      <w:bookmarkEnd w:id="96"/>
      <w:bookmarkEnd w:id="97"/>
      <w:r w:rsidR="00173F77" w:rsidRPr="00BA2CDA">
        <w:rPr>
          <w:szCs w:val="24"/>
          <w:lang w:eastAsia="ar-SA"/>
        </w:rPr>
        <w:t>KE</w:t>
      </w:r>
      <w:bookmarkEnd w:id="98"/>
      <w:bookmarkEnd w:id="99"/>
      <w:bookmarkEnd w:id="100"/>
      <w:bookmarkEnd w:id="106"/>
    </w:p>
    <w:p w14:paraId="65B86742" w14:textId="1B35CA5B" w:rsidR="001E62D6" w:rsidRPr="00BA2CDA" w:rsidRDefault="00936A9C" w:rsidP="00BA2CDA">
      <w:pPr>
        <w:jc w:val="both"/>
        <w:rPr>
          <w:lang w:eastAsia="ar-SA"/>
        </w:rPr>
      </w:pPr>
      <w:r w:rsidRPr="00BA2CDA">
        <w:rPr>
          <w:lang w:eastAsia="ar-SA"/>
        </w:rPr>
        <w:t>IZ RPO WSL przez ca</w:t>
      </w:r>
      <w:r w:rsidR="00BA2CDA" w:rsidRPr="00BA2CDA">
        <w:rPr>
          <w:lang w:eastAsia="ar-SA"/>
        </w:rPr>
        <w:t xml:space="preserve">ły okres programowania </w:t>
      </w:r>
      <w:r w:rsidR="00F52A28">
        <w:rPr>
          <w:lang w:eastAsia="ar-SA"/>
        </w:rPr>
        <w:t>otrzymywała zalecenie</w:t>
      </w:r>
      <w:r w:rsidR="008B2457">
        <w:rPr>
          <w:lang w:eastAsia="ar-SA"/>
        </w:rPr>
        <w:t>/rekomendacje ze </w:t>
      </w:r>
      <w:r w:rsidR="00F52A28">
        <w:rPr>
          <w:lang w:eastAsia="ar-SA"/>
        </w:rPr>
        <w:t xml:space="preserve">strony Komisji </w:t>
      </w:r>
      <w:r w:rsidR="008B2457">
        <w:rPr>
          <w:lang w:eastAsia="ar-SA"/>
        </w:rPr>
        <w:t>Europejskiej, które omawiane były podczas spotkania bilateralnego</w:t>
      </w:r>
      <w:r w:rsidR="00F52A28">
        <w:rPr>
          <w:lang w:eastAsia="ar-SA"/>
        </w:rPr>
        <w:t xml:space="preserve"> lub w</w:t>
      </w:r>
      <w:r w:rsidR="008B2457">
        <w:rPr>
          <w:lang w:eastAsia="ar-SA"/>
        </w:rPr>
        <w:t>yjaśniane w</w:t>
      </w:r>
      <w:r w:rsidR="00F81A05">
        <w:rPr>
          <w:lang w:eastAsia="ar-SA"/>
        </w:rPr>
        <w:t> </w:t>
      </w:r>
      <w:r w:rsidR="00F52A28">
        <w:rPr>
          <w:lang w:eastAsia="ar-SA"/>
        </w:rPr>
        <w:t>kolejnych sprawozdaniach rocznych.</w:t>
      </w:r>
    </w:p>
    <w:p w14:paraId="0C61F314" w14:textId="77777777" w:rsidR="00BC4E1A" w:rsidRDefault="00173F77" w:rsidP="0021401A">
      <w:pPr>
        <w:pStyle w:val="Nagwek1"/>
        <w:numPr>
          <w:ilvl w:val="3"/>
          <w:numId w:val="40"/>
        </w:numPr>
        <w:tabs>
          <w:tab w:val="left" w:pos="2127"/>
        </w:tabs>
        <w:spacing w:before="240" w:after="120"/>
        <w:ind w:left="1418" w:hanging="709"/>
        <w:jc w:val="both"/>
        <w:rPr>
          <w:szCs w:val="24"/>
          <w:lang w:eastAsia="ar-SA"/>
        </w:rPr>
      </w:pPr>
      <w:bookmarkStart w:id="107" w:name="_Toc292789251"/>
      <w:bookmarkStart w:id="108" w:name="_Toc292793536"/>
      <w:bookmarkStart w:id="109" w:name="_Toc391466343"/>
      <w:bookmarkStart w:id="110" w:name="_Toc423351759"/>
      <w:bookmarkStart w:id="111" w:name="_Toc473117312"/>
      <w:bookmarkStart w:id="112" w:name="_Toc477779751"/>
      <w:r w:rsidRPr="00BA2CDA">
        <w:rPr>
          <w:szCs w:val="24"/>
          <w:lang w:eastAsia="ar-SA"/>
        </w:rPr>
        <w:lastRenderedPageBreak/>
        <w:t>Rekomendacje IZ i innych instytucji</w:t>
      </w:r>
      <w:bookmarkEnd w:id="107"/>
      <w:bookmarkEnd w:id="108"/>
      <w:bookmarkEnd w:id="109"/>
      <w:bookmarkEnd w:id="110"/>
      <w:bookmarkEnd w:id="111"/>
      <w:bookmarkEnd w:id="112"/>
    </w:p>
    <w:p w14:paraId="3DEC42A0" w14:textId="21D50897" w:rsidR="008B2457" w:rsidRPr="008B2457" w:rsidRDefault="008B2457" w:rsidP="008B2457">
      <w:pPr>
        <w:jc w:val="both"/>
        <w:rPr>
          <w:lang w:eastAsia="ar-SA"/>
        </w:rPr>
      </w:pPr>
      <w:r w:rsidRPr="00BA2CDA">
        <w:rPr>
          <w:lang w:eastAsia="ar-SA"/>
        </w:rPr>
        <w:t xml:space="preserve">IZ RPO WSL przez cały okres programowania </w:t>
      </w:r>
      <w:r>
        <w:rPr>
          <w:lang w:eastAsia="ar-SA"/>
        </w:rPr>
        <w:t xml:space="preserve">otrzymywała zapytania, zalecenia ze strony różnych </w:t>
      </w:r>
      <w:r w:rsidR="00F81A05">
        <w:rPr>
          <w:lang w:eastAsia="ar-SA"/>
        </w:rPr>
        <w:t>podmiotów w tym również członków KM RPO WSL, do których przekazywane były wyjaśnienia.</w:t>
      </w:r>
    </w:p>
    <w:p w14:paraId="62B33BE4" w14:textId="77777777" w:rsidR="00416F60" w:rsidRDefault="00173F77" w:rsidP="00367271">
      <w:pPr>
        <w:pStyle w:val="Nagwek1"/>
        <w:numPr>
          <w:ilvl w:val="3"/>
          <w:numId w:val="40"/>
        </w:numPr>
        <w:tabs>
          <w:tab w:val="left" w:pos="2127"/>
        </w:tabs>
        <w:spacing w:before="240" w:after="120"/>
        <w:ind w:left="1418" w:hanging="709"/>
        <w:jc w:val="both"/>
        <w:rPr>
          <w:szCs w:val="24"/>
          <w:lang w:eastAsia="ar-SA"/>
        </w:rPr>
      </w:pPr>
      <w:bookmarkStart w:id="113" w:name="_Toc292789252"/>
      <w:bookmarkStart w:id="114" w:name="_Toc292793537"/>
      <w:bookmarkStart w:id="115" w:name="_Toc391466344"/>
      <w:bookmarkStart w:id="116" w:name="_Toc423351760"/>
      <w:bookmarkStart w:id="117" w:name="_Toc473117313"/>
      <w:bookmarkStart w:id="118" w:name="_Toc477779752"/>
      <w:r w:rsidRPr="008B2457">
        <w:rPr>
          <w:szCs w:val="24"/>
          <w:lang w:eastAsia="ar-SA"/>
        </w:rPr>
        <w:t>Instrumenty inżynierii finansowej</w:t>
      </w:r>
      <w:bookmarkEnd w:id="113"/>
      <w:bookmarkEnd w:id="114"/>
      <w:r w:rsidR="004E1FDF" w:rsidRPr="008B2457">
        <w:rPr>
          <w:rStyle w:val="Odwoanieprzypisudolnego"/>
          <w:szCs w:val="24"/>
          <w:lang w:eastAsia="ar-SA"/>
        </w:rPr>
        <w:footnoteReference w:id="4"/>
      </w:r>
      <w:bookmarkEnd w:id="115"/>
      <w:bookmarkEnd w:id="116"/>
      <w:bookmarkEnd w:id="117"/>
      <w:bookmarkEnd w:id="118"/>
    </w:p>
    <w:p w14:paraId="3B154C4E" w14:textId="013DA8DA" w:rsidR="00416F60" w:rsidRPr="00367271" w:rsidRDefault="00416F60" w:rsidP="00367271">
      <w:pPr>
        <w:pStyle w:val="Nagwek1"/>
        <w:numPr>
          <w:ilvl w:val="0"/>
          <w:numId w:val="0"/>
        </w:numPr>
        <w:tabs>
          <w:tab w:val="left" w:pos="2127"/>
        </w:tabs>
        <w:spacing w:before="240" w:after="120"/>
        <w:jc w:val="both"/>
        <w:rPr>
          <w:b w:val="0"/>
          <w:szCs w:val="24"/>
          <w:lang w:eastAsia="ar-SA"/>
        </w:rPr>
      </w:pPr>
      <w:bookmarkStart w:id="119" w:name="_Toc477779753"/>
      <w:r w:rsidRPr="00367271">
        <w:rPr>
          <w:b w:val="0"/>
          <w:szCs w:val="24"/>
        </w:rPr>
        <w:t xml:space="preserve">Instrumenty finansowe w ramach RPO WSL 2007-2013 były wdrażane w ramach Podziałania 1.1.1 </w:t>
      </w:r>
      <w:r w:rsidRPr="00367271">
        <w:rPr>
          <w:b w:val="0"/>
          <w:i/>
          <w:szCs w:val="24"/>
        </w:rPr>
        <w:t>Dokapitalizowanie zewnętrznych źródeł finansowania przedsiębiorczości</w:t>
      </w:r>
      <w:r w:rsidRPr="00367271">
        <w:rPr>
          <w:b w:val="0"/>
          <w:szCs w:val="24"/>
        </w:rPr>
        <w:t xml:space="preserve"> oraz Podziałania 6.2.3 Rewitalizacja – inicjatywa JESSICA. W ramach Programu wsparcie zwrotne było udzielane w formie pożyczek i poręczeń. </w:t>
      </w:r>
      <w:r w:rsidRPr="00367271">
        <w:rPr>
          <w:b w:val="0"/>
        </w:rPr>
        <w:t>Nie stosowano rozwiązań w zakresie dotacji na spłatę odsetek oraz dotacji na opłaty gwarancyjne.</w:t>
      </w:r>
      <w:bookmarkEnd w:id="119"/>
    </w:p>
    <w:p w14:paraId="1C0F9F73" w14:textId="6648591B" w:rsidR="00C63321" w:rsidRPr="00367271" w:rsidRDefault="00FD0CB0" w:rsidP="00C63321">
      <w:pPr>
        <w:spacing w:after="0" w:line="360" w:lineRule="auto"/>
        <w:jc w:val="both"/>
        <w:rPr>
          <w:b/>
          <w:bCs/>
          <w:szCs w:val="24"/>
        </w:rPr>
      </w:pPr>
      <w:r w:rsidRPr="00534A43">
        <w:rPr>
          <w:b/>
          <w:bCs/>
          <w:szCs w:val="24"/>
        </w:rPr>
        <w:t>I</w:t>
      </w:r>
      <w:r w:rsidR="00C63321" w:rsidRPr="00367271">
        <w:rPr>
          <w:b/>
          <w:bCs/>
          <w:szCs w:val="24"/>
        </w:rPr>
        <w:t xml:space="preserve">nicjatywa JESSICA  </w:t>
      </w:r>
    </w:p>
    <w:p w14:paraId="1E64BA59" w14:textId="0CBEC965" w:rsidR="00C63321" w:rsidRPr="00C63321" w:rsidRDefault="00C63321" w:rsidP="00367271">
      <w:pPr>
        <w:pStyle w:val="NormalnyWeb"/>
        <w:spacing w:after="0"/>
        <w:jc w:val="both"/>
      </w:pPr>
      <w:r w:rsidRPr="00C63321">
        <w:t xml:space="preserve">Na wdrażanie Inicjatywy JESSICA w województwie śląskim przeznaczono 60 mln EUR tj.: </w:t>
      </w:r>
      <w:r>
        <w:t>51 </w:t>
      </w:r>
      <w:r w:rsidRPr="00C63321">
        <w:t xml:space="preserve">min EUR z </w:t>
      </w:r>
      <w:r w:rsidRPr="00C63321">
        <w:rPr>
          <w:i/>
        </w:rPr>
        <w:t>działania 6.2. Rewitalizacja obszarów zdegradowanych</w:t>
      </w:r>
      <w:r w:rsidRPr="00C63321">
        <w:t xml:space="preserve"> RPO WSL 2007-2013 </w:t>
      </w:r>
      <w:r>
        <w:t>i </w:t>
      </w:r>
      <w:r w:rsidRPr="00C63321">
        <w:t>9 mln EUR z budżetu państwa</w:t>
      </w:r>
      <w:r w:rsidR="00416F60">
        <w:t xml:space="preserve"> (współfinansowanie krajowe)</w:t>
      </w:r>
      <w:r w:rsidRPr="00C63321">
        <w:t xml:space="preserve"> na podstawie Umowy o Finansowaniu zawartej pomiędzy Europejskim Bankiem Inwestycyjnym (EBI) a Województwem Śląskim z dnia 9 lipca 2010 r.</w:t>
      </w:r>
    </w:p>
    <w:p w14:paraId="194DAB52" w14:textId="42EFB89A" w:rsidR="00C63321" w:rsidRPr="00C63321" w:rsidRDefault="00FD0CB0" w:rsidP="00367271">
      <w:pPr>
        <w:pStyle w:val="NormalnyWeb"/>
        <w:spacing w:after="0"/>
        <w:jc w:val="both"/>
      </w:pPr>
      <w:r w:rsidRPr="00C63321">
        <w:t>Pierwotna umowa</w:t>
      </w:r>
      <w:r w:rsidR="00C63321" w:rsidRPr="00C63321">
        <w:t xml:space="preserve"> o finansowaniu została zawarta na okres od 9 lipca 2010 r. do 31 grudnia 2015 r. </w:t>
      </w:r>
      <w:r w:rsidR="00416F60">
        <w:t>W</w:t>
      </w:r>
      <w:r w:rsidR="00416F60" w:rsidRPr="00B015E7">
        <w:t>sparcie dla projektów miejskich było wdrażane w formie holding fund</w:t>
      </w:r>
      <w:r w:rsidR="00416F60">
        <w:t>.</w:t>
      </w:r>
      <w:r w:rsidR="00416F60" w:rsidRPr="00C63321">
        <w:t xml:space="preserve"> </w:t>
      </w:r>
      <w:r w:rsidR="00C63321" w:rsidRPr="00C63321">
        <w:t>Wdrażanie instrumentów finansowych zostało powierzone Europejskiemu Bankowi Inwestycyjnemu zgodnie z art. 44 akapit 2 lit. c</w:t>
      </w:r>
      <w:r w:rsidR="00C63321">
        <w:rPr>
          <w:color w:val="FF0000"/>
        </w:rPr>
        <w:t xml:space="preserve"> </w:t>
      </w:r>
      <w:r w:rsidR="00C63321" w:rsidRPr="00C63321">
        <w:t>Rozporzą</w:t>
      </w:r>
      <w:r>
        <w:t>dzenia Rady (WE) nr 1083/2006 z </w:t>
      </w:r>
      <w:r w:rsidR="00C63321" w:rsidRPr="00C63321">
        <w:t xml:space="preserve">dnia 11 lipca 2006r. </w:t>
      </w:r>
    </w:p>
    <w:p w14:paraId="53B22B1A" w14:textId="77777777" w:rsidR="00C63321" w:rsidRPr="00C63321" w:rsidRDefault="00C63321" w:rsidP="00367271">
      <w:pPr>
        <w:pStyle w:val="NormalnyWeb"/>
        <w:spacing w:after="0"/>
        <w:jc w:val="both"/>
      </w:pPr>
    </w:p>
    <w:p w14:paraId="752C54C4" w14:textId="286FDD49" w:rsidR="00C63321" w:rsidRPr="00C63321" w:rsidRDefault="00416F60" w:rsidP="00367271">
      <w:pPr>
        <w:pStyle w:val="NormalnyWeb"/>
        <w:spacing w:after="0"/>
        <w:jc w:val="both"/>
      </w:pPr>
      <w:r>
        <w:t>EBI</w:t>
      </w:r>
      <w:r w:rsidR="00C63321" w:rsidRPr="00C63321">
        <w:t xml:space="preserve"> zawarł umowę operacyjną z Bankiem Ochrony Środowiska S.A., który pełnił funkcję Funduszu Rozwoju Obszarów Miejskich (FROM) dla inicjatywy JESSICA. </w:t>
      </w:r>
    </w:p>
    <w:p w14:paraId="40BCD89E" w14:textId="6A0CE5D4" w:rsidR="00C63321" w:rsidRPr="00C63321" w:rsidRDefault="00C63321" w:rsidP="00367271">
      <w:pPr>
        <w:pStyle w:val="NormalnyWeb"/>
        <w:spacing w:after="0"/>
        <w:jc w:val="both"/>
      </w:pPr>
      <w:r w:rsidRPr="00C63321">
        <w:t xml:space="preserve">Instytucja Zarządzająca </w:t>
      </w:r>
      <w:r w:rsidR="00FD0CB0">
        <w:t xml:space="preserve">RPO WSL </w:t>
      </w:r>
      <w:r w:rsidRPr="00C63321">
        <w:t>i EBI uzgodniły następujące cele strategiczne planowane do osiągnięcia za pomocą Funduszu Powierniczego JESSICA:</w:t>
      </w:r>
    </w:p>
    <w:p w14:paraId="27CEF127" w14:textId="1E853139" w:rsidR="00C63321" w:rsidRPr="00C63321" w:rsidRDefault="00C63321" w:rsidP="00367271">
      <w:pPr>
        <w:pStyle w:val="NormalnyWeb"/>
        <w:numPr>
          <w:ilvl w:val="0"/>
          <w:numId w:val="88"/>
        </w:numPr>
        <w:spacing w:after="0"/>
        <w:jc w:val="both"/>
      </w:pPr>
      <w:r w:rsidRPr="00C63321">
        <w:t>Wspieranie wdrażania polityki spójności UE w kontekście r</w:t>
      </w:r>
      <w:r w:rsidR="007519A0">
        <w:t>ewitalizacji obszarów miejskich,</w:t>
      </w:r>
    </w:p>
    <w:p w14:paraId="49063125" w14:textId="781E096F" w:rsidR="00C63321" w:rsidRPr="00C63321" w:rsidRDefault="00C63321" w:rsidP="00367271">
      <w:pPr>
        <w:pStyle w:val="NormalnyWeb"/>
        <w:numPr>
          <w:ilvl w:val="0"/>
          <w:numId w:val="88"/>
        </w:numPr>
        <w:spacing w:after="0"/>
        <w:jc w:val="both"/>
      </w:pPr>
      <w:r w:rsidRPr="00C63321">
        <w:t>Stwarzanie możliwości tworzenia różnych form partnerstwa publicznego oraz publiczno-prywatne</w:t>
      </w:r>
      <w:r w:rsidR="007519A0">
        <w:t>go w ramach projektów miejskich,</w:t>
      </w:r>
    </w:p>
    <w:p w14:paraId="0D983954" w14:textId="41F5E8F7" w:rsidR="00C63321" w:rsidRPr="00C63321" w:rsidRDefault="00C63321" w:rsidP="00367271">
      <w:pPr>
        <w:pStyle w:val="NormalnyWeb"/>
        <w:numPr>
          <w:ilvl w:val="0"/>
          <w:numId w:val="88"/>
        </w:numPr>
        <w:spacing w:after="0"/>
        <w:jc w:val="both"/>
      </w:pPr>
      <w:r w:rsidRPr="00C63321">
        <w:t>Wspieranie opracowywania zrównoważonych rozwiązań mających na celu zaspokajanie potrzeb miejskich w ś</w:t>
      </w:r>
      <w:r w:rsidR="00FD0CB0">
        <w:t>rednim lub długim okresie czasu.</w:t>
      </w:r>
    </w:p>
    <w:p w14:paraId="23DBF9AC" w14:textId="77777777" w:rsidR="00C63321" w:rsidRPr="00C63321" w:rsidRDefault="00C63321" w:rsidP="00367271">
      <w:pPr>
        <w:pStyle w:val="NormalnyWeb"/>
        <w:spacing w:after="0"/>
        <w:jc w:val="both"/>
      </w:pPr>
      <w:r w:rsidRPr="00C63321">
        <w:t>Powyższe cele strategiczne zostały zrealizowane przez Fundusz Powierniczy JESSICA na drodze wkładów do FROM.</w:t>
      </w:r>
    </w:p>
    <w:p w14:paraId="49061121" w14:textId="77777777" w:rsidR="00C63321" w:rsidRPr="00C63321" w:rsidRDefault="00C63321" w:rsidP="00367271">
      <w:pPr>
        <w:pStyle w:val="NormalnyWeb"/>
        <w:spacing w:after="0"/>
        <w:jc w:val="both"/>
      </w:pPr>
    </w:p>
    <w:p w14:paraId="08CBEA12" w14:textId="77777777" w:rsidR="00C63321" w:rsidRPr="00C63321" w:rsidRDefault="00C63321" w:rsidP="00367271">
      <w:pPr>
        <w:pStyle w:val="NormalnyWeb"/>
        <w:spacing w:after="0"/>
        <w:jc w:val="both"/>
      </w:pPr>
      <w:r w:rsidRPr="00C63321">
        <w:t>FROM w swojej ofercie wsparcia przedstawił preferencyjne pożyczki dla następujących odbiorców:</w:t>
      </w:r>
    </w:p>
    <w:p w14:paraId="06732906" w14:textId="1F595BBE" w:rsidR="00C63321" w:rsidRDefault="00C63321" w:rsidP="00367271">
      <w:pPr>
        <w:pStyle w:val="NormalnyWeb"/>
        <w:numPr>
          <w:ilvl w:val="3"/>
          <w:numId w:val="90"/>
        </w:numPr>
        <w:spacing w:after="0"/>
        <w:ind w:left="709"/>
        <w:jc w:val="both"/>
      </w:pPr>
      <w:r w:rsidRPr="00C63321">
        <w:t>Jednostki samorządu terytorialnego, ich związki i stowarzyszenia</w:t>
      </w:r>
      <w:r>
        <w:t>.</w:t>
      </w:r>
    </w:p>
    <w:p w14:paraId="563E50A4" w14:textId="5A94F6E5" w:rsidR="00C63321" w:rsidRDefault="00C63321" w:rsidP="00367271">
      <w:pPr>
        <w:pStyle w:val="NormalnyWeb"/>
        <w:numPr>
          <w:ilvl w:val="3"/>
          <w:numId w:val="90"/>
        </w:numPr>
        <w:spacing w:after="0"/>
        <w:ind w:left="709"/>
        <w:jc w:val="both"/>
      </w:pPr>
      <w:r w:rsidRPr="00C63321">
        <w:lastRenderedPageBreak/>
        <w:t>Podmioty, w których większość udziałów lub akcji posiadają jednostki samorządu terytorialnego lub ich związki i stowarzyszenia</w:t>
      </w:r>
      <w:r>
        <w:t>.</w:t>
      </w:r>
    </w:p>
    <w:p w14:paraId="61223106" w14:textId="77777777" w:rsidR="00C63321" w:rsidRDefault="00C63321" w:rsidP="00367271">
      <w:pPr>
        <w:pStyle w:val="NormalnyWeb"/>
        <w:numPr>
          <w:ilvl w:val="3"/>
          <w:numId w:val="90"/>
        </w:numPr>
        <w:spacing w:after="0"/>
        <w:ind w:left="709"/>
        <w:jc w:val="both"/>
      </w:pPr>
      <w:r w:rsidRPr="00C63321">
        <w:t>Podmioty działające na zlecenie jednostek samorządu terytorialnego wybrane zgodnie               z prawem zamówień publicznych</w:t>
      </w:r>
      <w:r>
        <w:t>.</w:t>
      </w:r>
    </w:p>
    <w:p w14:paraId="2E6BBED3" w14:textId="77777777" w:rsidR="00C63321" w:rsidRDefault="00C63321" w:rsidP="00367271">
      <w:pPr>
        <w:pStyle w:val="NormalnyWeb"/>
        <w:numPr>
          <w:ilvl w:val="3"/>
          <w:numId w:val="90"/>
        </w:numPr>
        <w:spacing w:after="0"/>
        <w:ind w:left="709"/>
        <w:jc w:val="both"/>
      </w:pPr>
      <w:r w:rsidRPr="00C63321">
        <w:t>Szkoły wyższe,</w:t>
      </w:r>
    </w:p>
    <w:p w14:paraId="3F8EE2B3" w14:textId="77777777" w:rsidR="00C63321" w:rsidRDefault="00C63321" w:rsidP="00367271">
      <w:pPr>
        <w:pStyle w:val="NormalnyWeb"/>
        <w:numPr>
          <w:ilvl w:val="3"/>
          <w:numId w:val="90"/>
        </w:numPr>
        <w:spacing w:after="0"/>
        <w:ind w:left="709"/>
        <w:jc w:val="both"/>
      </w:pPr>
      <w:r w:rsidRPr="00C63321">
        <w:t>Kościoły i związki wyznaniowe oraz osoby prawne kościołów i związków wyznaniowych,</w:t>
      </w:r>
    </w:p>
    <w:p w14:paraId="6251D93B" w14:textId="77777777" w:rsidR="00C63321" w:rsidRDefault="00C63321" w:rsidP="00367271">
      <w:pPr>
        <w:pStyle w:val="NormalnyWeb"/>
        <w:numPr>
          <w:ilvl w:val="3"/>
          <w:numId w:val="90"/>
        </w:numPr>
        <w:spacing w:after="0"/>
        <w:ind w:left="709"/>
        <w:jc w:val="both"/>
      </w:pPr>
      <w:r w:rsidRPr="00C63321">
        <w:t>Organizacje pozarządowe,</w:t>
      </w:r>
    </w:p>
    <w:p w14:paraId="7F0E35E1" w14:textId="77777777" w:rsidR="00C63321" w:rsidRDefault="00C63321" w:rsidP="00367271">
      <w:pPr>
        <w:pStyle w:val="NormalnyWeb"/>
        <w:numPr>
          <w:ilvl w:val="3"/>
          <w:numId w:val="90"/>
        </w:numPr>
        <w:spacing w:after="0"/>
        <w:ind w:left="709"/>
        <w:jc w:val="both"/>
      </w:pPr>
      <w:r w:rsidRPr="00C63321">
        <w:t>Jednostki zaliczane do sektora finansów publicznych, posiadające osobowość prawną (nie wymienione wyżej),</w:t>
      </w:r>
    </w:p>
    <w:p w14:paraId="0784E246" w14:textId="77777777" w:rsidR="00C63321" w:rsidRDefault="00C63321" w:rsidP="00367271">
      <w:pPr>
        <w:pStyle w:val="NormalnyWeb"/>
        <w:numPr>
          <w:ilvl w:val="3"/>
          <w:numId w:val="90"/>
        </w:numPr>
        <w:spacing w:after="0"/>
        <w:ind w:left="709"/>
        <w:jc w:val="both"/>
      </w:pPr>
      <w:r w:rsidRPr="00C63321">
        <w:t>Spółdzielnie mieszkaniowe, wspólnoty mieszkaniowe</w:t>
      </w:r>
      <w:r>
        <w:t>.</w:t>
      </w:r>
    </w:p>
    <w:p w14:paraId="3C6C4C07" w14:textId="77777777" w:rsidR="00C63321" w:rsidRDefault="00C63321" w:rsidP="00367271">
      <w:pPr>
        <w:pStyle w:val="NormalnyWeb"/>
        <w:numPr>
          <w:ilvl w:val="3"/>
          <w:numId w:val="90"/>
        </w:numPr>
        <w:spacing w:after="0"/>
        <w:ind w:left="709"/>
        <w:jc w:val="both"/>
      </w:pPr>
      <w:r w:rsidRPr="00C63321">
        <w:t>Przedsiębiorcy</w:t>
      </w:r>
      <w:r>
        <w:t>.</w:t>
      </w:r>
    </w:p>
    <w:p w14:paraId="36243349" w14:textId="77777777" w:rsidR="00C63321" w:rsidRDefault="00C63321" w:rsidP="00367271">
      <w:pPr>
        <w:pStyle w:val="NormalnyWeb"/>
        <w:numPr>
          <w:ilvl w:val="3"/>
          <w:numId w:val="90"/>
        </w:numPr>
        <w:spacing w:after="0"/>
        <w:ind w:left="709"/>
        <w:jc w:val="both"/>
      </w:pPr>
      <w:r w:rsidRPr="00C63321">
        <w:t>TBS</w:t>
      </w:r>
      <w:r>
        <w:t>.</w:t>
      </w:r>
    </w:p>
    <w:p w14:paraId="740E954D" w14:textId="77777777" w:rsidR="00C63321" w:rsidRDefault="00C63321" w:rsidP="00367271">
      <w:pPr>
        <w:pStyle w:val="NormalnyWeb"/>
        <w:numPr>
          <w:ilvl w:val="3"/>
          <w:numId w:val="90"/>
        </w:numPr>
        <w:spacing w:after="0"/>
        <w:ind w:left="709"/>
        <w:jc w:val="both"/>
      </w:pPr>
      <w:r w:rsidRPr="00C63321">
        <w:t>Administracja rządowa</w:t>
      </w:r>
      <w:r>
        <w:t>.</w:t>
      </w:r>
    </w:p>
    <w:p w14:paraId="16E09751" w14:textId="77777777" w:rsidR="00C63321" w:rsidRDefault="00C63321" w:rsidP="00367271">
      <w:pPr>
        <w:pStyle w:val="NormalnyWeb"/>
        <w:numPr>
          <w:ilvl w:val="3"/>
          <w:numId w:val="90"/>
        </w:numPr>
        <w:spacing w:after="0"/>
        <w:ind w:left="709"/>
        <w:jc w:val="both"/>
      </w:pPr>
      <w:r w:rsidRPr="00C63321">
        <w:t>Porozumienia w/w podmiotów</w:t>
      </w:r>
      <w:r>
        <w:t>.</w:t>
      </w:r>
    </w:p>
    <w:p w14:paraId="6B27A4BE" w14:textId="4119CB14" w:rsidR="00C63321" w:rsidRPr="00C63321" w:rsidRDefault="00C63321" w:rsidP="00367271">
      <w:pPr>
        <w:pStyle w:val="NormalnyWeb"/>
        <w:numPr>
          <w:ilvl w:val="3"/>
          <w:numId w:val="90"/>
        </w:numPr>
        <w:spacing w:after="0"/>
        <w:ind w:left="709"/>
        <w:jc w:val="both"/>
      </w:pPr>
      <w:r w:rsidRPr="00C63321">
        <w:t>Podmioty działające w oparciu o umowę o partnerstwie publiczno-prywatnym.</w:t>
      </w:r>
    </w:p>
    <w:p w14:paraId="044B6E6A" w14:textId="77777777" w:rsidR="00C63321" w:rsidRDefault="00C63321" w:rsidP="00367271">
      <w:pPr>
        <w:snapToGrid w:val="0"/>
        <w:spacing w:after="120"/>
        <w:jc w:val="both"/>
        <w:rPr>
          <w:color w:val="1F497D"/>
          <w:szCs w:val="24"/>
        </w:rPr>
      </w:pPr>
    </w:p>
    <w:p w14:paraId="431108F0" w14:textId="52F3EEAF" w:rsidR="00C63321" w:rsidRPr="00C63321" w:rsidRDefault="00C63321" w:rsidP="00367271">
      <w:pPr>
        <w:snapToGrid w:val="0"/>
        <w:spacing w:after="120"/>
        <w:jc w:val="both"/>
      </w:pPr>
      <w:r w:rsidRPr="00367271">
        <w:rPr>
          <w:szCs w:val="24"/>
        </w:rPr>
        <w:t xml:space="preserve">Ostateczni odbiorcy wsparcia byli wybierani na podstawie </w:t>
      </w:r>
      <w:r w:rsidRPr="00367271">
        <w:rPr>
          <w:i/>
          <w:szCs w:val="24"/>
        </w:rPr>
        <w:t>Regulaminu udzielania pożyczek FROM</w:t>
      </w:r>
      <w:r w:rsidRPr="00367271">
        <w:rPr>
          <w:szCs w:val="24"/>
        </w:rPr>
        <w:t>, który był zatwierdzany przez Instytucję Zarządzająca</w:t>
      </w:r>
      <w:r w:rsidR="007519A0">
        <w:rPr>
          <w:szCs w:val="24"/>
        </w:rPr>
        <w:t xml:space="preserve"> RPO WSL</w:t>
      </w:r>
      <w:r w:rsidRPr="00367271">
        <w:rPr>
          <w:szCs w:val="24"/>
        </w:rPr>
        <w:t xml:space="preserve">. </w:t>
      </w:r>
    </w:p>
    <w:p w14:paraId="7F90B6B3" w14:textId="4C49D91D" w:rsidR="00C63321" w:rsidRPr="00C63321" w:rsidRDefault="00C63321" w:rsidP="00367271">
      <w:pPr>
        <w:pStyle w:val="NormalnyWeb"/>
        <w:spacing w:after="0"/>
        <w:jc w:val="both"/>
      </w:pPr>
      <w:r w:rsidRPr="00C63321">
        <w:t>Ostatecznie</w:t>
      </w:r>
      <w:r w:rsidR="0037453B">
        <w:t>,</w:t>
      </w:r>
      <w:r w:rsidRPr="00C63321">
        <w:t xml:space="preserve"> dzięki ofercie FROM zrealizowane zostały następujące typy projektów:</w:t>
      </w:r>
    </w:p>
    <w:p w14:paraId="6DBDF739" w14:textId="77777777" w:rsidR="00C63321" w:rsidRPr="00C63321" w:rsidRDefault="00C63321" w:rsidP="00367271">
      <w:pPr>
        <w:pStyle w:val="NormalnyWeb"/>
        <w:spacing w:after="0"/>
        <w:jc w:val="both"/>
      </w:pPr>
    </w:p>
    <w:p w14:paraId="6A9374ED" w14:textId="77777777" w:rsidR="00B3038A" w:rsidRDefault="00B3038A">
      <w:pPr>
        <w:spacing w:after="0" w:line="240" w:lineRule="auto"/>
        <w:rPr>
          <w:b/>
          <w:bCs/>
          <w:sz w:val="20"/>
          <w:szCs w:val="20"/>
        </w:rPr>
      </w:pPr>
      <w:bookmarkStart w:id="120" w:name="_Toc476131787"/>
      <w:r>
        <w:rPr>
          <w:sz w:val="20"/>
          <w:szCs w:val="20"/>
        </w:rPr>
        <w:br w:type="page"/>
      </w:r>
    </w:p>
    <w:p w14:paraId="2BC22BD6" w14:textId="2D993BAF" w:rsidR="00C63321" w:rsidRPr="00367271" w:rsidRDefault="00C63321" w:rsidP="00367271">
      <w:pPr>
        <w:pStyle w:val="Legenda"/>
        <w:rPr>
          <w:b w:val="0"/>
          <w:color w:val="auto"/>
          <w:sz w:val="20"/>
          <w:szCs w:val="20"/>
        </w:rPr>
      </w:pPr>
      <w:r w:rsidRPr="00367271">
        <w:rPr>
          <w:color w:val="auto"/>
          <w:sz w:val="20"/>
          <w:szCs w:val="20"/>
        </w:rPr>
        <w:lastRenderedPageBreak/>
        <w:t xml:space="preserve">Tabela </w:t>
      </w:r>
      <w:r w:rsidRPr="00367271">
        <w:rPr>
          <w:color w:val="auto"/>
          <w:sz w:val="20"/>
          <w:szCs w:val="20"/>
        </w:rPr>
        <w:fldChar w:fldCharType="begin"/>
      </w:r>
      <w:r w:rsidRPr="00367271">
        <w:rPr>
          <w:color w:val="auto"/>
          <w:sz w:val="20"/>
          <w:szCs w:val="20"/>
        </w:rPr>
        <w:instrText xml:space="preserve"> SEQ Tabela \* ARABIC </w:instrText>
      </w:r>
      <w:r w:rsidRPr="00367271">
        <w:rPr>
          <w:color w:val="auto"/>
          <w:sz w:val="20"/>
          <w:szCs w:val="20"/>
        </w:rPr>
        <w:fldChar w:fldCharType="separate"/>
      </w:r>
      <w:r w:rsidR="0050297D">
        <w:rPr>
          <w:noProof/>
          <w:color w:val="auto"/>
          <w:sz w:val="20"/>
          <w:szCs w:val="20"/>
        </w:rPr>
        <w:t>4</w:t>
      </w:r>
      <w:r w:rsidRPr="00367271">
        <w:rPr>
          <w:color w:val="auto"/>
          <w:sz w:val="20"/>
          <w:szCs w:val="20"/>
        </w:rPr>
        <w:fldChar w:fldCharType="end"/>
      </w:r>
      <w:r w:rsidRPr="00367271">
        <w:rPr>
          <w:color w:val="auto"/>
          <w:sz w:val="20"/>
          <w:szCs w:val="20"/>
        </w:rPr>
        <w:t xml:space="preserve"> </w:t>
      </w:r>
      <w:r w:rsidRPr="00367271">
        <w:rPr>
          <w:b w:val="0"/>
          <w:i/>
          <w:color w:val="auto"/>
          <w:sz w:val="20"/>
          <w:szCs w:val="20"/>
        </w:rPr>
        <w:t>Typy projektów</w:t>
      </w:r>
      <w:bookmarkEnd w:id="120"/>
    </w:p>
    <w:tbl>
      <w:tblPr>
        <w:tblStyle w:val="Jasnasiatka1"/>
        <w:tblW w:w="8913" w:type="dxa"/>
        <w:tblBorders>
          <w:top w:val="single" w:sz="8" w:space="0" w:color="92D050"/>
          <w:left w:val="single" w:sz="8" w:space="0" w:color="92D050"/>
          <w:bottom w:val="single" w:sz="8" w:space="0" w:color="92D050"/>
          <w:right w:val="single" w:sz="8" w:space="0" w:color="92D050"/>
          <w:insideH w:val="single" w:sz="8" w:space="0" w:color="92D050"/>
          <w:insideV w:val="single" w:sz="8" w:space="0" w:color="92D050"/>
        </w:tblBorders>
        <w:tblLook w:val="0600" w:firstRow="0" w:lastRow="0" w:firstColumn="0" w:lastColumn="0" w:noHBand="1" w:noVBand="1"/>
      </w:tblPr>
      <w:tblGrid>
        <w:gridCol w:w="862"/>
        <w:gridCol w:w="4186"/>
        <w:gridCol w:w="1582"/>
        <w:gridCol w:w="2283"/>
      </w:tblGrid>
      <w:tr w:rsidR="00C63321" w:rsidRPr="00C63321" w14:paraId="548C8D95" w14:textId="77777777" w:rsidTr="00367271">
        <w:trPr>
          <w:trHeight w:val="881"/>
        </w:trPr>
        <w:tc>
          <w:tcPr>
            <w:tcW w:w="862" w:type="dxa"/>
            <w:shd w:val="clear" w:color="auto" w:fill="92D050"/>
            <w:vAlign w:val="center"/>
            <w:hideMark/>
          </w:tcPr>
          <w:p w14:paraId="53187A65" w14:textId="1699FAE8" w:rsidR="00C63321" w:rsidRPr="00367271" w:rsidRDefault="007519A0" w:rsidP="00367271">
            <w:pPr>
              <w:spacing w:after="0"/>
              <w:jc w:val="center"/>
              <w:rPr>
                <w:rFonts w:cs="Times New Roman"/>
                <w:b/>
                <w:sz w:val="20"/>
                <w:szCs w:val="20"/>
              </w:rPr>
            </w:pPr>
            <w:r w:rsidRPr="00534A43">
              <w:rPr>
                <w:b/>
                <w:sz w:val="20"/>
                <w:szCs w:val="20"/>
              </w:rPr>
              <w:t>LP.</w:t>
            </w:r>
          </w:p>
        </w:tc>
        <w:tc>
          <w:tcPr>
            <w:tcW w:w="4186" w:type="dxa"/>
            <w:shd w:val="clear" w:color="auto" w:fill="92D050"/>
            <w:vAlign w:val="center"/>
            <w:hideMark/>
          </w:tcPr>
          <w:p w14:paraId="6D1C63BC" w14:textId="790AEED6" w:rsidR="00C63321" w:rsidRPr="00367271" w:rsidRDefault="007519A0" w:rsidP="00367271">
            <w:pPr>
              <w:spacing w:after="0"/>
              <w:jc w:val="center"/>
              <w:rPr>
                <w:rFonts w:cs="Times New Roman"/>
                <w:b/>
                <w:sz w:val="20"/>
                <w:szCs w:val="20"/>
              </w:rPr>
            </w:pPr>
            <w:r w:rsidRPr="00534A43">
              <w:rPr>
                <w:b/>
                <w:sz w:val="20"/>
                <w:szCs w:val="20"/>
              </w:rPr>
              <w:t>TYP PROJEKTU</w:t>
            </w:r>
          </w:p>
        </w:tc>
        <w:tc>
          <w:tcPr>
            <w:tcW w:w="1582" w:type="dxa"/>
            <w:shd w:val="clear" w:color="auto" w:fill="92D050"/>
            <w:vAlign w:val="center"/>
            <w:hideMark/>
          </w:tcPr>
          <w:p w14:paraId="752B047A" w14:textId="56BD738B" w:rsidR="00C63321" w:rsidRPr="00367271" w:rsidRDefault="007519A0" w:rsidP="00367271">
            <w:pPr>
              <w:spacing w:after="0"/>
              <w:jc w:val="center"/>
              <w:rPr>
                <w:rFonts w:cs="Times New Roman"/>
                <w:b/>
                <w:sz w:val="20"/>
                <w:szCs w:val="20"/>
              </w:rPr>
            </w:pPr>
            <w:r w:rsidRPr="00534A43">
              <w:rPr>
                <w:b/>
                <w:sz w:val="20"/>
                <w:szCs w:val="20"/>
              </w:rPr>
              <w:t>ILOŚĆ PROJEKTÓW</w:t>
            </w:r>
          </w:p>
        </w:tc>
        <w:tc>
          <w:tcPr>
            <w:tcW w:w="2283" w:type="dxa"/>
            <w:shd w:val="clear" w:color="auto" w:fill="92D050"/>
            <w:vAlign w:val="center"/>
            <w:hideMark/>
          </w:tcPr>
          <w:p w14:paraId="0E57ACCB" w14:textId="3AF89F9D" w:rsidR="00C63321" w:rsidRPr="00367271" w:rsidRDefault="007519A0" w:rsidP="00367271">
            <w:pPr>
              <w:spacing w:after="0"/>
              <w:jc w:val="center"/>
              <w:rPr>
                <w:rFonts w:cs="Times New Roman"/>
                <w:b/>
                <w:sz w:val="20"/>
                <w:szCs w:val="20"/>
              </w:rPr>
            </w:pPr>
            <w:r w:rsidRPr="00534A43">
              <w:rPr>
                <w:b/>
                <w:sz w:val="20"/>
                <w:szCs w:val="20"/>
              </w:rPr>
              <w:t>WNIOSKODAWCA</w:t>
            </w:r>
          </w:p>
        </w:tc>
      </w:tr>
      <w:tr w:rsidR="00C63321" w:rsidRPr="00C63321" w14:paraId="668FF3CD" w14:textId="77777777" w:rsidTr="00367271">
        <w:trPr>
          <w:trHeight w:val="721"/>
        </w:trPr>
        <w:tc>
          <w:tcPr>
            <w:tcW w:w="862" w:type="dxa"/>
            <w:shd w:val="clear" w:color="auto" w:fill="FFFFFF" w:themeFill="background1"/>
            <w:vAlign w:val="center"/>
            <w:hideMark/>
          </w:tcPr>
          <w:p w14:paraId="2F2082EB"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1.</w:t>
            </w:r>
          </w:p>
        </w:tc>
        <w:tc>
          <w:tcPr>
            <w:tcW w:w="4186" w:type="dxa"/>
            <w:shd w:val="clear" w:color="auto" w:fill="FFFFFF" w:themeFill="background1"/>
            <w:vAlign w:val="center"/>
            <w:hideMark/>
          </w:tcPr>
          <w:p w14:paraId="0D4B3988"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Lokalna infrastruktura dla mieszkańców</w:t>
            </w:r>
          </w:p>
        </w:tc>
        <w:tc>
          <w:tcPr>
            <w:tcW w:w="1582" w:type="dxa"/>
            <w:shd w:val="clear" w:color="auto" w:fill="FFFFFF" w:themeFill="background1"/>
            <w:vAlign w:val="center"/>
            <w:hideMark/>
          </w:tcPr>
          <w:p w14:paraId="19EAC6D0"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4</w:t>
            </w:r>
          </w:p>
        </w:tc>
        <w:tc>
          <w:tcPr>
            <w:tcW w:w="2283" w:type="dxa"/>
            <w:shd w:val="clear" w:color="auto" w:fill="FFFFFF" w:themeFill="background1"/>
            <w:vAlign w:val="center"/>
            <w:hideMark/>
          </w:tcPr>
          <w:p w14:paraId="5ED9DA13"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prywatny</w:t>
            </w:r>
          </w:p>
        </w:tc>
      </w:tr>
      <w:tr w:rsidR="00C63321" w:rsidRPr="00C63321" w14:paraId="0BFCC91A" w14:textId="77777777" w:rsidTr="00367271">
        <w:trPr>
          <w:trHeight w:val="936"/>
        </w:trPr>
        <w:tc>
          <w:tcPr>
            <w:tcW w:w="862" w:type="dxa"/>
            <w:shd w:val="clear" w:color="auto" w:fill="FFFFFF" w:themeFill="background1"/>
            <w:vAlign w:val="center"/>
            <w:hideMark/>
          </w:tcPr>
          <w:p w14:paraId="3B88E4B4"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2.</w:t>
            </w:r>
          </w:p>
        </w:tc>
        <w:tc>
          <w:tcPr>
            <w:tcW w:w="4186" w:type="dxa"/>
            <w:shd w:val="clear" w:color="auto" w:fill="FFFFFF" w:themeFill="background1"/>
            <w:vAlign w:val="center"/>
            <w:hideMark/>
          </w:tcPr>
          <w:p w14:paraId="0DBA9015"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Infrastruktura sportowo-rekreacyjna</w:t>
            </w:r>
          </w:p>
        </w:tc>
        <w:tc>
          <w:tcPr>
            <w:tcW w:w="1582" w:type="dxa"/>
            <w:shd w:val="clear" w:color="auto" w:fill="FFFFFF" w:themeFill="background1"/>
            <w:vAlign w:val="center"/>
            <w:hideMark/>
          </w:tcPr>
          <w:p w14:paraId="49361C11"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7</w:t>
            </w:r>
          </w:p>
        </w:tc>
        <w:tc>
          <w:tcPr>
            <w:tcW w:w="2283" w:type="dxa"/>
            <w:shd w:val="clear" w:color="auto" w:fill="FFFFFF" w:themeFill="background1"/>
            <w:vAlign w:val="center"/>
            <w:hideMark/>
          </w:tcPr>
          <w:p w14:paraId="3BDF98FC"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publiczny/prywatny</w:t>
            </w:r>
          </w:p>
        </w:tc>
      </w:tr>
      <w:tr w:rsidR="00C63321" w:rsidRPr="00C63321" w14:paraId="5C2FC2E4" w14:textId="77777777" w:rsidTr="00367271">
        <w:trPr>
          <w:trHeight w:val="772"/>
        </w:trPr>
        <w:tc>
          <w:tcPr>
            <w:tcW w:w="862" w:type="dxa"/>
            <w:shd w:val="clear" w:color="auto" w:fill="FFFFFF" w:themeFill="background1"/>
            <w:vAlign w:val="center"/>
            <w:hideMark/>
          </w:tcPr>
          <w:p w14:paraId="7BBB9DD8"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3.</w:t>
            </w:r>
          </w:p>
        </w:tc>
        <w:tc>
          <w:tcPr>
            <w:tcW w:w="4186" w:type="dxa"/>
            <w:shd w:val="clear" w:color="auto" w:fill="FFFFFF" w:themeFill="background1"/>
            <w:vAlign w:val="center"/>
            <w:hideMark/>
          </w:tcPr>
          <w:p w14:paraId="67A35889"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 xml:space="preserve">Infrastruktura </w:t>
            </w:r>
            <w:r w:rsidRPr="00367271">
              <w:rPr>
                <w:rFonts w:eastAsiaTheme="minorEastAsia"/>
                <w:kern w:val="24"/>
                <w:sz w:val="20"/>
                <w:szCs w:val="20"/>
              </w:rPr>
              <w:t>kultur</w:t>
            </w:r>
            <w:r w:rsidRPr="00367271">
              <w:rPr>
                <w:rFonts w:eastAsia="Arial"/>
                <w:kern w:val="24"/>
                <w:sz w:val="20"/>
                <w:szCs w:val="20"/>
              </w:rPr>
              <w:t>alno-oświatowa</w:t>
            </w:r>
          </w:p>
        </w:tc>
        <w:tc>
          <w:tcPr>
            <w:tcW w:w="1582" w:type="dxa"/>
            <w:shd w:val="clear" w:color="auto" w:fill="FFFFFF" w:themeFill="background1"/>
            <w:vAlign w:val="center"/>
            <w:hideMark/>
          </w:tcPr>
          <w:p w14:paraId="00885D5C"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3</w:t>
            </w:r>
          </w:p>
        </w:tc>
        <w:tc>
          <w:tcPr>
            <w:tcW w:w="2283" w:type="dxa"/>
            <w:shd w:val="clear" w:color="auto" w:fill="FFFFFF" w:themeFill="background1"/>
            <w:vAlign w:val="center"/>
            <w:hideMark/>
          </w:tcPr>
          <w:p w14:paraId="0A7240E2"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publiczny</w:t>
            </w:r>
          </w:p>
        </w:tc>
      </w:tr>
      <w:tr w:rsidR="00C63321" w:rsidRPr="00C63321" w14:paraId="23A16C66" w14:textId="77777777" w:rsidTr="00367271">
        <w:trPr>
          <w:trHeight w:val="721"/>
        </w:trPr>
        <w:tc>
          <w:tcPr>
            <w:tcW w:w="862" w:type="dxa"/>
            <w:shd w:val="clear" w:color="auto" w:fill="FFFFFF" w:themeFill="background1"/>
            <w:vAlign w:val="center"/>
            <w:hideMark/>
          </w:tcPr>
          <w:p w14:paraId="2F54914A"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4.</w:t>
            </w:r>
          </w:p>
        </w:tc>
        <w:tc>
          <w:tcPr>
            <w:tcW w:w="4186" w:type="dxa"/>
            <w:shd w:val="clear" w:color="auto" w:fill="FFFFFF" w:themeFill="background1"/>
            <w:vAlign w:val="center"/>
            <w:hideMark/>
          </w:tcPr>
          <w:p w14:paraId="5A56879E"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Infrastruktura zdrowotna (szpitale, centra medyczne, rehabilitacja)</w:t>
            </w:r>
          </w:p>
        </w:tc>
        <w:tc>
          <w:tcPr>
            <w:tcW w:w="1582" w:type="dxa"/>
            <w:shd w:val="clear" w:color="auto" w:fill="FFFFFF" w:themeFill="background1"/>
            <w:vAlign w:val="center"/>
            <w:hideMark/>
          </w:tcPr>
          <w:p w14:paraId="449D9A08"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3</w:t>
            </w:r>
          </w:p>
        </w:tc>
        <w:tc>
          <w:tcPr>
            <w:tcW w:w="2283" w:type="dxa"/>
            <w:shd w:val="clear" w:color="auto" w:fill="FFFFFF" w:themeFill="background1"/>
            <w:vAlign w:val="center"/>
            <w:hideMark/>
          </w:tcPr>
          <w:p w14:paraId="6D2AF261"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publiczny/prywatny</w:t>
            </w:r>
          </w:p>
        </w:tc>
      </w:tr>
      <w:tr w:rsidR="00C63321" w:rsidRPr="00C63321" w14:paraId="06EF8F15" w14:textId="77777777" w:rsidTr="00367271">
        <w:trPr>
          <w:trHeight w:val="620"/>
        </w:trPr>
        <w:tc>
          <w:tcPr>
            <w:tcW w:w="862" w:type="dxa"/>
            <w:shd w:val="clear" w:color="auto" w:fill="FFFFFF" w:themeFill="background1"/>
            <w:vAlign w:val="center"/>
            <w:hideMark/>
          </w:tcPr>
          <w:p w14:paraId="02C853F5"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5.</w:t>
            </w:r>
          </w:p>
        </w:tc>
        <w:tc>
          <w:tcPr>
            <w:tcW w:w="4186" w:type="dxa"/>
            <w:shd w:val="clear" w:color="auto" w:fill="FFFFFF" w:themeFill="background1"/>
            <w:vAlign w:val="center"/>
            <w:hideMark/>
          </w:tcPr>
          <w:p w14:paraId="5A499BBE"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Infrastruktura handlowa (w tym targowiska)</w:t>
            </w:r>
          </w:p>
        </w:tc>
        <w:tc>
          <w:tcPr>
            <w:tcW w:w="1582" w:type="dxa"/>
            <w:shd w:val="clear" w:color="auto" w:fill="FFFFFF" w:themeFill="background1"/>
            <w:vAlign w:val="center"/>
            <w:hideMark/>
          </w:tcPr>
          <w:p w14:paraId="54E8BBA4"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3</w:t>
            </w:r>
          </w:p>
        </w:tc>
        <w:tc>
          <w:tcPr>
            <w:tcW w:w="2283" w:type="dxa"/>
            <w:shd w:val="clear" w:color="auto" w:fill="FFFFFF" w:themeFill="background1"/>
            <w:vAlign w:val="center"/>
            <w:hideMark/>
          </w:tcPr>
          <w:p w14:paraId="7F735778"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publiczny/prywatny</w:t>
            </w:r>
          </w:p>
        </w:tc>
      </w:tr>
      <w:tr w:rsidR="00C63321" w:rsidRPr="00C63321" w14:paraId="656B7480" w14:textId="77777777" w:rsidTr="00367271">
        <w:trPr>
          <w:trHeight w:val="582"/>
        </w:trPr>
        <w:tc>
          <w:tcPr>
            <w:tcW w:w="862" w:type="dxa"/>
            <w:shd w:val="clear" w:color="auto" w:fill="FFFFFF" w:themeFill="background1"/>
            <w:vAlign w:val="center"/>
            <w:hideMark/>
          </w:tcPr>
          <w:p w14:paraId="2F50CF1A"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6.</w:t>
            </w:r>
          </w:p>
        </w:tc>
        <w:tc>
          <w:tcPr>
            <w:tcW w:w="4186" w:type="dxa"/>
            <w:shd w:val="clear" w:color="auto" w:fill="FFFFFF" w:themeFill="background1"/>
            <w:vAlign w:val="center"/>
            <w:hideMark/>
          </w:tcPr>
          <w:p w14:paraId="4A25F44F"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Infrastruktura hotelowa</w:t>
            </w:r>
          </w:p>
        </w:tc>
        <w:tc>
          <w:tcPr>
            <w:tcW w:w="1582" w:type="dxa"/>
            <w:shd w:val="clear" w:color="auto" w:fill="FFFFFF" w:themeFill="background1"/>
            <w:vAlign w:val="center"/>
            <w:hideMark/>
          </w:tcPr>
          <w:p w14:paraId="2D1A48B3"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2</w:t>
            </w:r>
          </w:p>
        </w:tc>
        <w:tc>
          <w:tcPr>
            <w:tcW w:w="2283" w:type="dxa"/>
            <w:shd w:val="clear" w:color="auto" w:fill="FFFFFF" w:themeFill="background1"/>
            <w:vAlign w:val="center"/>
            <w:hideMark/>
          </w:tcPr>
          <w:p w14:paraId="6463D83C"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prywatny</w:t>
            </w:r>
          </w:p>
        </w:tc>
      </w:tr>
      <w:tr w:rsidR="00C63321" w:rsidRPr="00C63321" w14:paraId="3882F8E0" w14:textId="77777777" w:rsidTr="00367271">
        <w:trPr>
          <w:trHeight w:val="645"/>
        </w:trPr>
        <w:tc>
          <w:tcPr>
            <w:tcW w:w="862" w:type="dxa"/>
            <w:shd w:val="clear" w:color="auto" w:fill="FFFFFF" w:themeFill="background1"/>
            <w:vAlign w:val="center"/>
            <w:hideMark/>
          </w:tcPr>
          <w:p w14:paraId="66613242"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7.</w:t>
            </w:r>
          </w:p>
        </w:tc>
        <w:tc>
          <w:tcPr>
            <w:tcW w:w="4186" w:type="dxa"/>
            <w:shd w:val="clear" w:color="auto" w:fill="FFFFFF" w:themeFill="background1"/>
            <w:vAlign w:val="center"/>
            <w:hideMark/>
          </w:tcPr>
          <w:p w14:paraId="39D1ED10"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Powierzchnie biurowe dla MSP (centrum kongresowe)</w:t>
            </w:r>
          </w:p>
        </w:tc>
        <w:tc>
          <w:tcPr>
            <w:tcW w:w="1582" w:type="dxa"/>
            <w:shd w:val="clear" w:color="auto" w:fill="FFFFFF" w:themeFill="background1"/>
            <w:vAlign w:val="center"/>
            <w:hideMark/>
          </w:tcPr>
          <w:p w14:paraId="4580458B"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4</w:t>
            </w:r>
          </w:p>
        </w:tc>
        <w:tc>
          <w:tcPr>
            <w:tcW w:w="2283" w:type="dxa"/>
            <w:shd w:val="clear" w:color="auto" w:fill="FFFFFF" w:themeFill="background1"/>
            <w:vAlign w:val="center"/>
            <w:hideMark/>
          </w:tcPr>
          <w:p w14:paraId="64F8D151"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prywatny</w:t>
            </w:r>
          </w:p>
        </w:tc>
      </w:tr>
      <w:tr w:rsidR="00C63321" w:rsidRPr="00C63321" w14:paraId="76B89C95" w14:textId="77777777" w:rsidTr="00367271">
        <w:trPr>
          <w:trHeight w:val="746"/>
        </w:trPr>
        <w:tc>
          <w:tcPr>
            <w:tcW w:w="862" w:type="dxa"/>
            <w:shd w:val="clear" w:color="auto" w:fill="FFFFFF" w:themeFill="background1"/>
            <w:vAlign w:val="center"/>
            <w:hideMark/>
          </w:tcPr>
          <w:p w14:paraId="13928B29"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8.</w:t>
            </w:r>
          </w:p>
        </w:tc>
        <w:tc>
          <w:tcPr>
            <w:tcW w:w="4186" w:type="dxa"/>
            <w:shd w:val="clear" w:color="auto" w:fill="FFFFFF" w:themeFill="background1"/>
            <w:vAlign w:val="center"/>
            <w:hideMark/>
          </w:tcPr>
          <w:p w14:paraId="77F158F1"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Infrastruktura społeczna</w:t>
            </w:r>
          </w:p>
        </w:tc>
        <w:tc>
          <w:tcPr>
            <w:tcW w:w="1582" w:type="dxa"/>
            <w:shd w:val="clear" w:color="auto" w:fill="FFFFFF" w:themeFill="background1"/>
            <w:vAlign w:val="center"/>
            <w:hideMark/>
          </w:tcPr>
          <w:p w14:paraId="00EE0679" w14:textId="77777777" w:rsidR="00C63321" w:rsidRPr="00367271" w:rsidRDefault="00C63321" w:rsidP="00367271">
            <w:pPr>
              <w:pStyle w:val="NormalnyWeb"/>
              <w:spacing w:after="0"/>
              <w:jc w:val="right"/>
              <w:textAlignment w:val="center"/>
              <w:rPr>
                <w:rFonts w:cs="Times New Roman"/>
                <w:sz w:val="20"/>
                <w:szCs w:val="20"/>
              </w:rPr>
            </w:pPr>
            <w:r w:rsidRPr="00367271">
              <w:rPr>
                <w:rFonts w:eastAsia="Arial"/>
                <w:kern w:val="24"/>
                <w:sz w:val="20"/>
                <w:szCs w:val="20"/>
              </w:rPr>
              <w:t>1</w:t>
            </w:r>
          </w:p>
        </w:tc>
        <w:tc>
          <w:tcPr>
            <w:tcW w:w="2283" w:type="dxa"/>
            <w:shd w:val="clear" w:color="auto" w:fill="FFFFFF" w:themeFill="background1"/>
            <w:vAlign w:val="center"/>
            <w:hideMark/>
          </w:tcPr>
          <w:p w14:paraId="467AF93E" w14:textId="77777777" w:rsidR="00C63321" w:rsidRPr="00367271" w:rsidRDefault="00C63321" w:rsidP="00367271">
            <w:pPr>
              <w:pStyle w:val="NormalnyWeb"/>
              <w:spacing w:after="0"/>
              <w:textAlignment w:val="center"/>
              <w:rPr>
                <w:rFonts w:cs="Times New Roman"/>
                <w:sz w:val="20"/>
                <w:szCs w:val="20"/>
              </w:rPr>
            </w:pPr>
            <w:r w:rsidRPr="00367271">
              <w:rPr>
                <w:rFonts w:eastAsia="Arial"/>
                <w:kern w:val="24"/>
                <w:sz w:val="20"/>
                <w:szCs w:val="20"/>
              </w:rPr>
              <w:t>prywatny</w:t>
            </w:r>
          </w:p>
        </w:tc>
      </w:tr>
    </w:tbl>
    <w:p w14:paraId="235BFC5D" w14:textId="77777777" w:rsidR="00C63321" w:rsidRPr="00C63321" w:rsidRDefault="00C63321" w:rsidP="00367271">
      <w:pPr>
        <w:spacing w:after="0"/>
        <w:jc w:val="both"/>
        <w:rPr>
          <w:b/>
          <w:szCs w:val="24"/>
        </w:rPr>
      </w:pPr>
    </w:p>
    <w:p w14:paraId="1AED358F" w14:textId="13D8CB62" w:rsidR="00C63321" w:rsidRPr="007432D7" w:rsidRDefault="00C63321" w:rsidP="00367271">
      <w:pPr>
        <w:autoSpaceDE w:val="0"/>
        <w:autoSpaceDN w:val="0"/>
        <w:adjustRightInd w:val="0"/>
        <w:spacing w:after="0"/>
        <w:jc w:val="both"/>
        <w:rPr>
          <w:szCs w:val="24"/>
        </w:rPr>
      </w:pPr>
      <w:r w:rsidRPr="007432D7">
        <w:rPr>
          <w:szCs w:val="24"/>
        </w:rPr>
        <w:t xml:space="preserve">Realizacja projektu JESSICA zakończyła się w dniu 31 grudnia 2015 r. Na dzień 31 grudnia 2015 r. podpisano 27 Umów Inwestycyjnych, które obejmowały realizację 27 Projektów Miejskich, w </w:t>
      </w:r>
      <w:r w:rsidR="007432D7" w:rsidRPr="007432D7">
        <w:rPr>
          <w:szCs w:val="24"/>
        </w:rPr>
        <w:t>ramach, których</w:t>
      </w:r>
      <w:r w:rsidRPr="007432D7">
        <w:rPr>
          <w:szCs w:val="24"/>
        </w:rPr>
        <w:t xml:space="preserve"> finansowanie z Inicjatywy JESSICA wynosiło </w:t>
      </w:r>
      <w:r w:rsidRPr="00367271">
        <w:rPr>
          <w:szCs w:val="24"/>
        </w:rPr>
        <w:t>66 415 226,91</w:t>
      </w:r>
      <w:r w:rsidRPr="007432D7">
        <w:rPr>
          <w:szCs w:val="24"/>
        </w:rPr>
        <w:t xml:space="preserve"> </w:t>
      </w:r>
      <w:r w:rsidR="007432D7" w:rsidRPr="007432D7">
        <w:rPr>
          <w:szCs w:val="24"/>
        </w:rPr>
        <w:t>EUR, co</w:t>
      </w:r>
      <w:r w:rsidRPr="007432D7">
        <w:rPr>
          <w:szCs w:val="24"/>
        </w:rPr>
        <w:t xml:space="preserve"> stanowi około 104,4% całkowitej alokacji przekazanej Funduszowi Rozwoju Obszarów Miejskich (</w:t>
      </w:r>
      <w:r w:rsidRPr="00367271">
        <w:rPr>
          <w:szCs w:val="24"/>
        </w:rPr>
        <w:t>63 644 250,14 EUR)</w:t>
      </w:r>
      <w:r w:rsidRPr="007432D7">
        <w:rPr>
          <w:szCs w:val="24"/>
        </w:rPr>
        <w:t>, tj. Pierwotnej Kwoty Depozytu (</w:t>
      </w:r>
      <w:r w:rsidRPr="00367271">
        <w:rPr>
          <w:szCs w:val="24"/>
        </w:rPr>
        <w:t>63 224 349,52 EUR</w:t>
      </w:r>
      <w:r w:rsidRPr="007432D7">
        <w:rPr>
          <w:szCs w:val="24"/>
        </w:rPr>
        <w:t>) oraz Zwiększenia Kwoty Depozytu (</w:t>
      </w:r>
      <w:r w:rsidRPr="007432D7">
        <w:rPr>
          <w:bCs/>
          <w:szCs w:val="24"/>
        </w:rPr>
        <w:t xml:space="preserve">w dniu 22 grudnia 2015 na kwotę </w:t>
      </w:r>
      <w:r w:rsidRPr="00367271">
        <w:rPr>
          <w:szCs w:val="24"/>
        </w:rPr>
        <w:t xml:space="preserve">419 900,62 EUR, </w:t>
      </w:r>
      <w:r w:rsidRPr="007432D7">
        <w:rPr>
          <w:szCs w:val="24"/>
        </w:rPr>
        <w:t>środki pochodziły z niewykorzystanych przez EBI środków na pokrycie Kosztów Zarządzania).</w:t>
      </w:r>
    </w:p>
    <w:p w14:paraId="192C6427" w14:textId="433E9B4B" w:rsidR="00C63321" w:rsidRPr="007432D7" w:rsidRDefault="00C63321" w:rsidP="00367271">
      <w:pPr>
        <w:spacing w:after="0"/>
        <w:jc w:val="both"/>
        <w:rPr>
          <w:color w:val="FF0000"/>
          <w:szCs w:val="24"/>
        </w:rPr>
      </w:pPr>
      <w:r w:rsidRPr="007432D7">
        <w:rPr>
          <w:bCs/>
          <w:szCs w:val="24"/>
        </w:rPr>
        <w:t>Odsetki wygenerowane przez płatności z programu w rama</w:t>
      </w:r>
      <w:r w:rsidR="007519A0">
        <w:rPr>
          <w:bCs/>
          <w:szCs w:val="24"/>
        </w:rPr>
        <w:t xml:space="preserve">ch </w:t>
      </w:r>
      <w:r w:rsidR="007519A0" w:rsidRPr="00367271">
        <w:rPr>
          <w:bCs/>
          <w:i/>
          <w:szCs w:val="24"/>
        </w:rPr>
        <w:t>podziałania 6.2.3</w:t>
      </w:r>
      <w:r w:rsidR="007519A0">
        <w:rPr>
          <w:bCs/>
          <w:szCs w:val="24"/>
        </w:rPr>
        <w:t xml:space="preserve"> wyniosły 9 862 </w:t>
      </w:r>
      <w:r w:rsidR="007519A0" w:rsidRPr="007432D7">
        <w:rPr>
          <w:bCs/>
          <w:szCs w:val="24"/>
        </w:rPr>
        <w:t>049,78 EUR</w:t>
      </w:r>
      <w:r w:rsidRPr="007432D7">
        <w:rPr>
          <w:bCs/>
          <w:szCs w:val="24"/>
        </w:rPr>
        <w:t xml:space="preserve"> (w tym odsetki odnoszące się do funduszy strukturalnych </w:t>
      </w:r>
      <w:r w:rsidR="007519A0" w:rsidRPr="00534A43">
        <w:rPr>
          <w:bCs/>
          <w:szCs w:val="24"/>
        </w:rPr>
        <w:t>8</w:t>
      </w:r>
      <w:r w:rsidR="007519A0">
        <w:rPr>
          <w:bCs/>
          <w:szCs w:val="24"/>
        </w:rPr>
        <w:t> </w:t>
      </w:r>
      <w:r w:rsidR="007519A0" w:rsidRPr="00534A43">
        <w:rPr>
          <w:bCs/>
          <w:szCs w:val="24"/>
        </w:rPr>
        <w:t xml:space="preserve">382 </w:t>
      </w:r>
      <w:r w:rsidRPr="00367271">
        <w:rPr>
          <w:bCs/>
          <w:szCs w:val="24"/>
        </w:rPr>
        <w:t>742,31</w:t>
      </w:r>
      <w:r w:rsidRPr="007432D7">
        <w:rPr>
          <w:bCs/>
          <w:szCs w:val="24"/>
        </w:rPr>
        <w:t xml:space="preserve"> </w:t>
      </w:r>
      <w:r w:rsidRPr="00367271">
        <w:rPr>
          <w:bCs/>
          <w:szCs w:val="24"/>
        </w:rPr>
        <w:t>EUR</w:t>
      </w:r>
      <w:r w:rsidRPr="007432D7">
        <w:rPr>
          <w:bCs/>
          <w:szCs w:val="24"/>
        </w:rPr>
        <w:t>, odsetki odnoszące si</w:t>
      </w:r>
      <w:r w:rsidR="007519A0">
        <w:rPr>
          <w:bCs/>
          <w:szCs w:val="24"/>
        </w:rPr>
        <w:t xml:space="preserve">ę do wkładu z budżetu Państwa 1 479 </w:t>
      </w:r>
      <w:r w:rsidRPr="007432D7">
        <w:rPr>
          <w:bCs/>
          <w:szCs w:val="24"/>
        </w:rPr>
        <w:t xml:space="preserve">307,47 EUR). </w:t>
      </w:r>
    </w:p>
    <w:p w14:paraId="570ADE4B" w14:textId="77777777" w:rsidR="00C63321" w:rsidRPr="00C63321" w:rsidRDefault="00C63321" w:rsidP="00367271">
      <w:pPr>
        <w:spacing w:after="0"/>
        <w:jc w:val="both"/>
        <w:rPr>
          <w:color w:val="FF0000"/>
          <w:szCs w:val="24"/>
        </w:rPr>
      </w:pPr>
    </w:p>
    <w:p w14:paraId="023B9E5B" w14:textId="77777777" w:rsidR="00C63321" w:rsidRDefault="00C63321" w:rsidP="00367271">
      <w:pPr>
        <w:pStyle w:val="NormalnyWeb"/>
        <w:spacing w:after="0"/>
        <w:jc w:val="both"/>
      </w:pPr>
      <w:r w:rsidRPr="00C63321">
        <w:t>Nad prawidłowym funkcjonowaniem Funduszu Powierniczego JESSICA nadzór pełniła Rada Inwestycyjna Inicjatywy JESSICA.</w:t>
      </w:r>
    </w:p>
    <w:p w14:paraId="6009E81A" w14:textId="77777777" w:rsidR="00425241" w:rsidRPr="00C63321" w:rsidRDefault="00425241" w:rsidP="00367271">
      <w:pPr>
        <w:pStyle w:val="NormalnyWeb"/>
        <w:spacing w:after="0"/>
        <w:jc w:val="both"/>
      </w:pPr>
    </w:p>
    <w:p w14:paraId="027418E7" w14:textId="1ABFBBED" w:rsidR="00C63321" w:rsidRPr="00C63321" w:rsidRDefault="00C63321" w:rsidP="00367271">
      <w:pPr>
        <w:pStyle w:val="NormalnyWeb"/>
        <w:spacing w:after="0"/>
        <w:jc w:val="both"/>
      </w:pPr>
      <w:r w:rsidRPr="00C63321">
        <w:t>W całym okresie programowania odbyły się 22 posiedzenia Rady Inw</w:t>
      </w:r>
      <w:r w:rsidR="007519A0">
        <w:t>estycyjnej. Tematy omawiane na p</w:t>
      </w:r>
      <w:r w:rsidRPr="00C63321">
        <w:t>osiedzeniach były uzależnione od momentu wdrażania</w:t>
      </w:r>
      <w:r w:rsidR="007519A0">
        <w:t xml:space="preserve"> Inicjatywy JESSICA. Do </w:t>
      </w:r>
      <w:r w:rsidRPr="00C63321">
        <w:t>najważniejszych należały:</w:t>
      </w:r>
    </w:p>
    <w:p w14:paraId="3AEBF9E2" w14:textId="7952B99C" w:rsidR="00C63321" w:rsidRPr="00C63321" w:rsidRDefault="00C63321" w:rsidP="00367271">
      <w:pPr>
        <w:pStyle w:val="NormalnyWeb"/>
        <w:numPr>
          <w:ilvl w:val="0"/>
          <w:numId w:val="91"/>
        </w:numPr>
        <w:spacing w:after="0"/>
        <w:ind w:right="-567"/>
        <w:jc w:val="both"/>
      </w:pPr>
      <w:r w:rsidRPr="00C63321">
        <w:t>omawianie działań prowadzonych w bieżących okresach oraz planowanych do realizacji,</w:t>
      </w:r>
    </w:p>
    <w:p w14:paraId="09DE3424" w14:textId="75A78995" w:rsidR="00C63321" w:rsidRPr="00C63321" w:rsidRDefault="00C63321" w:rsidP="00367271">
      <w:pPr>
        <w:pStyle w:val="NormalnyWeb"/>
        <w:numPr>
          <w:ilvl w:val="0"/>
          <w:numId w:val="91"/>
        </w:numPr>
        <w:spacing w:after="0"/>
        <w:jc w:val="both"/>
      </w:pPr>
      <w:r w:rsidRPr="00C63321">
        <w:t>wybór Funduszu Rozwoju Obszarów Miejskich oraz koordynowanie jego działalności jako Pośrednika Finansowego (aktualizacja Umowy Operacyjnej, Biznes Plan),</w:t>
      </w:r>
    </w:p>
    <w:p w14:paraId="2C82F5D0" w14:textId="37561955" w:rsidR="00C63321" w:rsidRPr="00C63321" w:rsidRDefault="00C63321" w:rsidP="00367271">
      <w:pPr>
        <w:pStyle w:val="NormalnyWeb"/>
        <w:numPr>
          <w:ilvl w:val="0"/>
          <w:numId w:val="91"/>
        </w:numPr>
        <w:spacing w:after="0"/>
        <w:jc w:val="both"/>
      </w:pPr>
      <w:r w:rsidRPr="00C63321">
        <w:lastRenderedPageBreak/>
        <w:t xml:space="preserve">omawianie Projektów Miejskich będących ma etapie oceny przez FROM oraz projektów realizowanych,  </w:t>
      </w:r>
    </w:p>
    <w:p w14:paraId="371CF0E6" w14:textId="364A087F" w:rsidR="00C63321" w:rsidRPr="00C63321" w:rsidRDefault="00C63321" w:rsidP="00367271">
      <w:pPr>
        <w:pStyle w:val="NormalnyWeb"/>
        <w:numPr>
          <w:ilvl w:val="0"/>
          <w:numId w:val="91"/>
        </w:numPr>
        <w:spacing w:after="0"/>
        <w:jc w:val="both"/>
      </w:pPr>
      <w:r w:rsidRPr="00C63321">
        <w:t>omawianie stanu wdrażania Inicjatywy JESS</w:t>
      </w:r>
      <w:r w:rsidR="007519A0">
        <w:t>ICA (zatwierdzanie sprawozdań z </w:t>
      </w:r>
      <w:r w:rsidRPr="00C63321">
        <w:t>postępu),</w:t>
      </w:r>
    </w:p>
    <w:p w14:paraId="6C527434" w14:textId="6890117B" w:rsidR="00C63321" w:rsidRPr="00C63321" w:rsidRDefault="00C63321" w:rsidP="00367271">
      <w:pPr>
        <w:pStyle w:val="NormalnyWeb"/>
        <w:numPr>
          <w:ilvl w:val="0"/>
          <w:numId w:val="91"/>
        </w:numPr>
        <w:spacing w:after="0"/>
        <w:jc w:val="both"/>
      </w:pPr>
      <w:r w:rsidRPr="00C63321">
        <w:t>omawianie działań prowadzonych w celu wypełnienia postanowień Umowy dotyczącej deponowania i zarządzania funduszami,</w:t>
      </w:r>
    </w:p>
    <w:p w14:paraId="3240E820" w14:textId="79FB8C4C" w:rsidR="00C63321" w:rsidRPr="00C63321" w:rsidRDefault="00C63321" w:rsidP="00367271">
      <w:pPr>
        <w:pStyle w:val="NormalnyWeb"/>
        <w:numPr>
          <w:ilvl w:val="0"/>
          <w:numId w:val="91"/>
        </w:numPr>
        <w:spacing w:after="0"/>
        <w:jc w:val="both"/>
      </w:pPr>
      <w:r w:rsidRPr="00C63321">
        <w:t>przyjmowanie rocznych budżetów Kosztów Dodatkowych Funduszu Powierniczego JESSICA dla województwa śląskiego,</w:t>
      </w:r>
    </w:p>
    <w:p w14:paraId="7F15E990" w14:textId="722F623D" w:rsidR="00C63321" w:rsidRDefault="00C63321" w:rsidP="00367271">
      <w:pPr>
        <w:pStyle w:val="NormalnyWeb"/>
        <w:numPr>
          <w:ilvl w:val="0"/>
          <w:numId w:val="91"/>
        </w:numPr>
        <w:spacing w:after="0"/>
        <w:jc w:val="both"/>
      </w:pPr>
      <w:r w:rsidRPr="00C63321">
        <w:t>przyjmowanie zmian d</w:t>
      </w:r>
      <w:r w:rsidR="007519A0">
        <w:t>o regulaminu Rady Inwestycyjnej.</w:t>
      </w:r>
    </w:p>
    <w:p w14:paraId="5755DE54" w14:textId="77777777" w:rsidR="00425241" w:rsidRDefault="00425241" w:rsidP="00367271">
      <w:pPr>
        <w:pStyle w:val="NormalnyWeb"/>
        <w:spacing w:after="0"/>
        <w:ind w:left="360"/>
        <w:jc w:val="both"/>
      </w:pPr>
    </w:p>
    <w:p w14:paraId="143F2AE3" w14:textId="565D0F4B" w:rsidR="00425241" w:rsidRPr="00C63321" w:rsidRDefault="00425241" w:rsidP="00367271">
      <w:pPr>
        <w:pStyle w:val="NormalnyWeb"/>
        <w:spacing w:after="0"/>
        <w:jc w:val="both"/>
      </w:pPr>
      <w:r w:rsidRPr="005F2F88">
        <w:t>W ramach instrumentu finansowego Inicjatywa JESSICA nie wycofano środków.</w:t>
      </w:r>
    </w:p>
    <w:p w14:paraId="06AE46A2" w14:textId="77777777" w:rsidR="00C63321" w:rsidRPr="00C63321" w:rsidRDefault="00C63321" w:rsidP="00367271">
      <w:pPr>
        <w:pStyle w:val="NormalnyWeb"/>
        <w:spacing w:after="0"/>
        <w:jc w:val="both"/>
        <w:rPr>
          <w:color w:val="FF0000"/>
        </w:rPr>
      </w:pPr>
    </w:p>
    <w:p w14:paraId="25C58F93" w14:textId="0F18D017" w:rsidR="00C63321" w:rsidRPr="00367271" w:rsidRDefault="00C63321" w:rsidP="00367271">
      <w:pPr>
        <w:pStyle w:val="NormalnyWeb"/>
        <w:spacing w:after="0"/>
        <w:jc w:val="both"/>
      </w:pPr>
      <w:r w:rsidRPr="00C63321">
        <w:t xml:space="preserve">Uchwałą Zarządu Województwa Śląskiego nr 2283/79/V/2015 z dnia 1 grudnia 2015 r. przyjęto w formie aneksu nr 3 zmiany do Umowy o Finansowaniu zawartej pomiędzy Europejskim Bankiem Inwestycyjnym (EBI) a Województwem Śląskim z dnia 9 lipca 2010 r., polegające między innymi na </w:t>
      </w:r>
      <w:r w:rsidRPr="00367271">
        <w:t>przedłużeniu okresu obowiązywania</w:t>
      </w:r>
      <w:r w:rsidR="007519A0" w:rsidRPr="00534A43">
        <w:t xml:space="preserve"> przedmiotowej umowy do dnia 31 </w:t>
      </w:r>
      <w:r w:rsidRPr="00367271">
        <w:t>grudnia 2020 r.</w:t>
      </w:r>
    </w:p>
    <w:p w14:paraId="1EC5C128" w14:textId="1ED8B0A7" w:rsidR="00C63321" w:rsidRPr="00C63321" w:rsidRDefault="00C63321" w:rsidP="00367271">
      <w:pPr>
        <w:pStyle w:val="NormalnyWeb"/>
        <w:spacing w:after="0"/>
        <w:jc w:val="both"/>
      </w:pPr>
      <w:r w:rsidRPr="00C63321">
        <w:t xml:space="preserve">Zgodnie z </w:t>
      </w:r>
      <w:r w:rsidRPr="00367271">
        <w:rPr>
          <w:i/>
        </w:rPr>
        <w:t>art. 98 ust. 1</w:t>
      </w:r>
      <w:r w:rsidRPr="00C63321">
        <w:t xml:space="preserve"> </w:t>
      </w:r>
      <w:r w:rsidRPr="00367271">
        <w:rPr>
          <w:i/>
        </w:rPr>
        <w:t xml:space="preserve">Ustawy z dnia 11 lipca 2014 r. o zasadach realizacji programów </w:t>
      </w:r>
      <w:r w:rsidR="007432D7" w:rsidRPr="00367271">
        <w:rPr>
          <w:i/>
        </w:rPr>
        <w:t>w </w:t>
      </w:r>
      <w:r w:rsidRPr="00367271">
        <w:rPr>
          <w:i/>
        </w:rPr>
        <w:t>zakresie polityki spójności finansowanych w perspektywie finansowej na lata 2014-2020</w:t>
      </w:r>
      <w:r w:rsidRPr="00C63321">
        <w:t xml:space="preserve"> środki zwracane zostaną wykorzystane na cele określone w </w:t>
      </w:r>
      <w:r w:rsidRPr="00367271">
        <w:rPr>
          <w:i/>
        </w:rPr>
        <w:t xml:space="preserve">art. 78 ust. 7 Rozporządzenia Rozporządzenie Rady (WE) nr 1083/2006 z dnia 11 lipca 2006r. </w:t>
      </w:r>
      <w:r w:rsidRPr="00C63321">
        <w:t>tj. na rzecz projektów z zakresu rozwoju obszarów miejskich.</w:t>
      </w:r>
    </w:p>
    <w:p w14:paraId="238FEA35" w14:textId="77777777" w:rsidR="00C63321" w:rsidRPr="007432D7" w:rsidRDefault="00C63321" w:rsidP="00367271">
      <w:pPr>
        <w:pStyle w:val="NormalnyWeb"/>
        <w:spacing w:after="0"/>
        <w:jc w:val="both"/>
      </w:pPr>
    </w:p>
    <w:p w14:paraId="6318C274" w14:textId="4B209F5D" w:rsidR="00C63321" w:rsidRPr="00367271" w:rsidRDefault="00425241" w:rsidP="00367271">
      <w:pPr>
        <w:pStyle w:val="NormalnyWeb"/>
        <w:spacing w:after="0"/>
        <w:jc w:val="both"/>
        <w:rPr>
          <w:b/>
        </w:rPr>
      </w:pPr>
      <w:r>
        <w:rPr>
          <w:b/>
        </w:rPr>
        <w:t xml:space="preserve">Poddziałanie 1.1.1 </w:t>
      </w:r>
      <w:r w:rsidR="00C63321" w:rsidRPr="00367271">
        <w:rPr>
          <w:b/>
        </w:rPr>
        <w:t>Dokapitalizowanie zewnętrznych źródeł finansowania przedsiębiorczości</w:t>
      </w:r>
    </w:p>
    <w:p w14:paraId="47E8B5C1" w14:textId="1F7B68D9" w:rsidR="00C63321" w:rsidRPr="00C63321" w:rsidRDefault="00C63321" w:rsidP="00367271">
      <w:pPr>
        <w:spacing w:after="0"/>
        <w:jc w:val="both"/>
        <w:rPr>
          <w:szCs w:val="24"/>
        </w:rPr>
      </w:pPr>
      <w:r w:rsidRPr="00C63321">
        <w:rPr>
          <w:szCs w:val="24"/>
        </w:rPr>
        <w:t xml:space="preserve">W ramach </w:t>
      </w:r>
      <w:r w:rsidRPr="00C63321">
        <w:rPr>
          <w:i/>
          <w:szCs w:val="24"/>
        </w:rPr>
        <w:t>poddziałania 1.1.1.</w:t>
      </w:r>
      <w:r w:rsidRPr="00C63321">
        <w:rPr>
          <w:szCs w:val="24"/>
        </w:rPr>
        <w:t xml:space="preserve"> w zakresie dokapitalizowania zewnętrznych źródeł finansowania przedsiębiorczości w okresie program</w:t>
      </w:r>
      <w:r w:rsidR="00FD0CB0">
        <w:rPr>
          <w:szCs w:val="24"/>
        </w:rPr>
        <w:t>owania 2007-2013 realizowane są</w:t>
      </w:r>
      <w:r w:rsidR="007519A0">
        <w:rPr>
          <w:szCs w:val="24"/>
        </w:rPr>
        <w:t> </w:t>
      </w:r>
      <w:r w:rsidRPr="00C63321">
        <w:rPr>
          <w:szCs w:val="24"/>
        </w:rPr>
        <w:t>4 projekty</w:t>
      </w:r>
      <w:r w:rsidRPr="00C63321">
        <w:rPr>
          <w:b/>
          <w:szCs w:val="24"/>
        </w:rPr>
        <w:t xml:space="preserve"> </w:t>
      </w:r>
      <w:r w:rsidRPr="00C63321">
        <w:rPr>
          <w:szCs w:val="24"/>
        </w:rPr>
        <w:t xml:space="preserve">– </w:t>
      </w:r>
      <w:r w:rsidR="007519A0" w:rsidRPr="00534A43">
        <w:rPr>
          <w:szCs w:val="24"/>
        </w:rPr>
        <w:t>3 </w:t>
      </w:r>
      <w:r w:rsidRPr="00367271">
        <w:rPr>
          <w:szCs w:val="24"/>
        </w:rPr>
        <w:t>pożyczkowe</w:t>
      </w:r>
      <w:r w:rsidRPr="00534A43">
        <w:rPr>
          <w:szCs w:val="24"/>
        </w:rPr>
        <w:t>:</w:t>
      </w:r>
    </w:p>
    <w:p w14:paraId="4591903E" w14:textId="77777777" w:rsidR="00C63321" w:rsidRPr="00C63321" w:rsidRDefault="00C63321" w:rsidP="00367271">
      <w:pPr>
        <w:widowControl w:val="0"/>
        <w:numPr>
          <w:ilvl w:val="0"/>
          <w:numId w:val="73"/>
        </w:numPr>
        <w:suppressAutoHyphens/>
        <w:spacing w:after="0"/>
        <w:jc w:val="both"/>
        <w:rPr>
          <w:szCs w:val="24"/>
        </w:rPr>
      </w:pPr>
      <w:r w:rsidRPr="00C63321">
        <w:rPr>
          <w:i/>
          <w:szCs w:val="24"/>
        </w:rPr>
        <w:t>„Fundusz Górnośląski SA w Katowicach</w:t>
      </w:r>
      <w:r w:rsidRPr="00C63321">
        <w:rPr>
          <w:szCs w:val="24"/>
        </w:rPr>
        <w:t xml:space="preserve"> „Rozwój działalności pożyczkowej Funduszu Górnośląskiego SA poprzez dokapitalizowanie Śląskiego Funduszu Pożyczkowego działającego na terenie województwa śląskiego” (umowa o dofinansowanie z dnia 22 kwietnia 2010 roku);</w:t>
      </w:r>
    </w:p>
    <w:p w14:paraId="7C578046" w14:textId="708F378B" w:rsidR="00C63321" w:rsidRPr="00C63321" w:rsidRDefault="00C63321" w:rsidP="00367271">
      <w:pPr>
        <w:widowControl w:val="0"/>
        <w:numPr>
          <w:ilvl w:val="0"/>
          <w:numId w:val="73"/>
        </w:numPr>
        <w:suppressAutoHyphens/>
        <w:spacing w:after="0"/>
        <w:jc w:val="both"/>
        <w:rPr>
          <w:szCs w:val="24"/>
        </w:rPr>
      </w:pPr>
      <w:r w:rsidRPr="00C63321">
        <w:rPr>
          <w:i/>
          <w:szCs w:val="24"/>
        </w:rPr>
        <w:t>„Agencję Rozwoju Regionalnego w Częstochowie SA</w:t>
      </w:r>
      <w:r w:rsidRPr="00C63321">
        <w:rPr>
          <w:szCs w:val="24"/>
        </w:rPr>
        <w:t xml:space="preserve"> „Fundusz Pożyczkowy </w:t>
      </w:r>
      <w:r w:rsidR="007519A0">
        <w:rPr>
          <w:szCs w:val="24"/>
        </w:rPr>
        <w:t>w </w:t>
      </w:r>
      <w:r w:rsidRPr="00C63321">
        <w:rPr>
          <w:szCs w:val="24"/>
        </w:rPr>
        <w:t>Częstochowie prowadzony przez Agencję Rozwoju Regionalnego w Częstochowie S.A. dla przedsiębiorców z województwa śląskiego” (umowa o dofinansowanie z dnia 7 maja 2010 roku);</w:t>
      </w:r>
    </w:p>
    <w:p w14:paraId="43E0F0E5" w14:textId="5FA9EF46" w:rsidR="00C63321" w:rsidRPr="00C63321" w:rsidRDefault="00C63321" w:rsidP="00367271">
      <w:pPr>
        <w:numPr>
          <w:ilvl w:val="0"/>
          <w:numId w:val="73"/>
        </w:numPr>
        <w:spacing w:after="0"/>
        <w:jc w:val="both"/>
        <w:rPr>
          <w:szCs w:val="24"/>
        </w:rPr>
      </w:pPr>
      <w:r w:rsidRPr="00C63321">
        <w:rPr>
          <w:i/>
          <w:szCs w:val="24"/>
        </w:rPr>
        <w:t>„Agencję Rozwoju Lokalnego SA w Sosnowcu</w:t>
      </w:r>
      <w:r w:rsidRPr="00C63321">
        <w:rPr>
          <w:szCs w:val="24"/>
        </w:rPr>
        <w:t xml:space="preserve"> „Dofinansowanie Lokalnego Funduszu Pożyczkowego przy Agencji Rozwoju Lokalnego S.A. w celu wsparcia mikro i małych przedsiębiorstw na terenie woj. Śląskiego” (umowa o dofinanso</w:t>
      </w:r>
      <w:r w:rsidR="00FD0CB0">
        <w:rPr>
          <w:szCs w:val="24"/>
        </w:rPr>
        <w:t>wanie z dnia 14 maja 2010 roku).</w:t>
      </w:r>
    </w:p>
    <w:p w14:paraId="27865796" w14:textId="77777777" w:rsidR="00C63321" w:rsidRPr="007432D7" w:rsidRDefault="00C63321" w:rsidP="00367271">
      <w:pPr>
        <w:spacing w:after="0"/>
        <w:jc w:val="both"/>
        <w:rPr>
          <w:b/>
          <w:i/>
          <w:szCs w:val="24"/>
        </w:rPr>
      </w:pPr>
      <w:r w:rsidRPr="00C63321">
        <w:rPr>
          <w:szCs w:val="24"/>
        </w:rPr>
        <w:t>oraz</w:t>
      </w:r>
      <w:r w:rsidRPr="00C63321">
        <w:rPr>
          <w:b/>
          <w:szCs w:val="24"/>
        </w:rPr>
        <w:t xml:space="preserve"> </w:t>
      </w:r>
      <w:r w:rsidRPr="00367271">
        <w:rPr>
          <w:szCs w:val="24"/>
        </w:rPr>
        <w:t>1 poręczeniowy</w:t>
      </w:r>
      <w:r w:rsidRPr="00534A43">
        <w:rPr>
          <w:szCs w:val="24"/>
        </w:rPr>
        <w:t>:</w:t>
      </w:r>
    </w:p>
    <w:p w14:paraId="67DAD986" w14:textId="77777777" w:rsidR="00C63321" w:rsidRPr="007432D7" w:rsidRDefault="00C63321" w:rsidP="00367271">
      <w:pPr>
        <w:widowControl w:val="0"/>
        <w:numPr>
          <w:ilvl w:val="0"/>
          <w:numId w:val="74"/>
        </w:numPr>
        <w:suppressAutoHyphens/>
        <w:spacing w:after="0"/>
        <w:ind w:left="714" w:hanging="357"/>
        <w:jc w:val="both"/>
        <w:rPr>
          <w:szCs w:val="24"/>
        </w:rPr>
      </w:pPr>
      <w:r w:rsidRPr="007432D7">
        <w:rPr>
          <w:i/>
          <w:szCs w:val="24"/>
        </w:rPr>
        <w:t>„Śląski Regionalny Fundusz Poręczeniowy Sp. z o.o. w Katowicach</w:t>
      </w:r>
      <w:r w:rsidRPr="007432D7">
        <w:rPr>
          <w:szCs w:val="24"/>
        </w:rPr>
        <w:t xml:space="preserve"> „Ułatwienie dostępu do finansowania działalności przedsiębiorców na terenie województwa śląskiego poprzez dofinansowanie Śląskiego Regionalnego Funduszu Poręczeniowego” </w:t>
      </w:r>
      <w:r w:rsidRPr="007432D7">
        <w:rPr>
          <w:szCs w:val="24"/>
        </w:rPr>
        <w:lastRenderedPageBreak/>
        <w:t>(umowa o dofinansowanie z dnia 20 sierpnia 2010 roku).</w:t>
      </w:r>
    </w:p>
    <w:p w14:paraId="51D7E72F" w14:textId="0FA951A1" w:rsidR="00C63321" w:rsidRDefault="00425241" w:rsidP="00367271">
      <w:pPr>
        <w:snapToGrid w:val="0"/>
        <w:jc w:val="both"/>
        <w:rPr>
          <w:szCs w:val="24"/>
        </w:rPr>
      </w:pPr>
      <w:r w:rsidRPr="000F09E1">
        <w:t>Wsparcie na rzecz MŚP było wdrażane w modelu bezpośrednim</w:t>
      </w:r>
      <w:r>
        <w:t>.</w:t>
      </w:r>
      <w:r w:rsidRPr="00425241">
        <w:rPr>
          <w:szCs w:val="24"/>
        </w:rPr>
        <w:t xml:space="preserve"> </w:t>
      </w:r>
      <w:r w:rsidR="00C63321" w:rsidRPr="00367271">
        <w:rPr>
          <w:szCs w:val="24"/>
        </w:rPr>
        <w:t>Powyższe instytucje zostały wyłonione w trybie</w:t>
      </w:r>
      <w:r w:rsidR="00440CAD" w:rsidRPr="00005EF5">
        <w:rPr>
          <w:szCs w:val="24"/>
        </w:rPr>
        <w:t xml:space="preserve"> konkursu art.</w:t>
      </w:r>
      <w:r w:rsidR="009B24EC">
        <w:rPr>
          <w:szCs w:val="24"/>
        </w:rPr>
        <w:t xml:space="preserve"> </w:t>
      </w:r>
      <w:r w:rsidR="00440CAD" w:rsidRPr="00005EF5">
        <w:rPr>
          <w:szCs w:val="24"/>
        </w:rPr>
        <w:t>28 ust 1 ustawy o </w:t>
      </w:r>
      <w:r w:rsidR="00C63321" w:rsidRPr="00367271">
        <w:rPr>
          <w:szCs w:val="24"/>
        </w:rPr>
        <w:t>zasadach polityki rozwoju z dnia 6 grudnia 2006r. (Dz.</w:t>
      </w:r>
      <w:r w:rsidR="00440CAD" w:rsidRPr="00005EF5">
        <w:rPr>
          <w:szCs w:val="24"/>
        </w:rPr>
        <w:t xml:space="preserve"> U. z 2009r. nr 84, poz. 712, z </w:t>
      </w:r>
      <w:r w:rsidR="00C63321" w:rsidRPr="00367271">
        <w:rPr>
          <w:szCs w:val="24"/>
        </w:rPr>
        <w:t>późn. zm.).</w:t>
      </w:r>
    </w:p>
    <w:p w14:paraId="000719F9" w14:textId="53371619" w:rsidR="00425241" w:rsidRPr="00367271" w:rsidRDefault="00425241" w:rsidP="00367271">
      <w:pPr>
        <w:snapToGrid w:val="0"/>
        <w:jc w:val="both"/>
        <w:rPr>
          <w:szCs w:val="24"/>
        </w:rPr>
      </w:pPr>
      <w:r w:rsidRPr="00B015E7">
        <w:t>W ramach instrumentów finansowych zapewniono współfinansowanie krajowe</w:t>
      </w:r>
      <w:r>
        <w:t xml:space="preserve"> </w:t>
      </w:r>
      <w:r w:rsidRPr="00B015E7">
        <w:t>na poziomie Pośrednika Finansowego tj. Fundu</w:t>
      </w:r>
      <w:r>
        <w:t>szy pożyczkowych/poręczeniowego. W</w:t>
      </w:r>
      <w:r w:rsidRPr="00B015E7">
        <w:t>kła</w:t>
      </w:r>
      <w:r>
        <w:t>d stanowiły prywatne środki powyższych</w:t>
      </w:r>
      <w:r w:rsidRPr="00B015E7">
        <w:t xml:space="preserve"> Funduszy</w:t>
      </w:r>
      <w:r>
        <w:t>.</w:t>
      </w:r>
    </w:p>
    <w:p w14:paraId="62CCD96D" w14:textId="3AD9697F" w:rsidR="00C63321" w:rsidRPr="00367271" w:rsidRDefault="00C63321" w:rsidP="00440CAD">
      <w:pPr>
        <w:pStyle w:val="Akapitzlist"/>
        <w:snapToGrid w:val="0"/>
        <w:ind w:left="0"/>
        <w:jc w:val="both"/>
        <w:rPr>
          <w:szCs w:val="24"/>
        </w:rPr>
      </w:pPr>
      <w:r w:rsidRPr="00367271">
        <w:rPr>
          <w:szCs w:val="24"/>
        </w:rPr>
        <w:t xml:space="preserve">Ostateczni odbiorcy wsparcia byli wybierani na podstawie </w:t>
      </w:r>
      <w:r w:rsidRPr="00367271">
        <w:rPr>
          <w:i/>
          <w:szCs w:val="24"/>
        </w:rPr>
        <w:t xml:space="preserve">Regulaminów udzielania pożyczek/poręczeń </w:t>
      </w:r>
      <w:r w:rsidRPr="00367271">
        <w:rPr>
          <w:szCs w:val="24"/>
        </w:rPr>
        <w:t>poszczególnych pośredników finansowych, które były zatwierdzane przez Instytucję Zarządzającą</w:t>
      </w:r>
      <w:r w:rsidR="00440CAD">
        <w:rPr>
          <w:szCs w:val="24"/>
        </w:rPr>
        <w:t xml:space="preserve"> RPO WSL</w:t>
      </w:r>
      <w:r w:rsidRPr="00367271">
        <w:rPr>
          <w:szCs w:val="24"/>
        </w:rPr>
        <w:t xml:space="preserve">. </w:t>
      </w:r>
    </w:p>
    <w:p w14:paraId="3F55E4EC" w14:textId="77777777" w:rsidR="00C63321" w:rsidRPr="00C63321" w:rsidRDefault="00C63321" w:rsidP="00367271">
      <w:pPr>
        <w:spacing w:after="0"/>
        <w:jc w:val="both"/>
        <w:rPr>
          <w:szCs w:val="24"/>
        </w:rPr>
      </w:pPr>
      <w:r w:rsidRPr="00C63321">
        <w:rPr>
          <w:szCs w:val="24"/>
        </w:rPr>
        <w:t xml:space="preserve">Instytucja Zarządzająca RPO WSL na pisemny wniosek Funduszu Górnośląskiego 31 grudnia 2015 r. dokonała zwiększenia dofinansowania Funduszu o 15 mln zł w ramach realizowanej Umowy. </w:t>
      </w:r>
    </w:p>
    <w:p w14:paraId="5D3C0A99" w14:textId="2580D46E" w:rsidR="00C63321" w:rsidRPr="00C63321" w:rsidRDefault="00C63321" w:rsidP="00367271">
      <w:pPr>
        <w:spacing w:after="0"/>
        <w:jc w:val="both"/>
        <w:rPr>
          <w:szCs w:val="24"/>
        </w:rPr>
      </w:pPr>
      <w:r w:rsidRPr="00C63321">
        <w:rPr>
          <w:szCs w:val="24"/>
        </w:rPr>
        <w:t xml:space="preserve">Fundusze oferowały pożyczki i poręczenia na warunkach </w:t>
      </w:r>
      <w:r w:rsidR="007432D7">
        <w:rPr>
          <w:szCs w:val="24"/>
        </w:rPr>
        <w:t>preferencyjnych i rynkowych. Z </w:t>
      </w:r>
      <w:r w:rsidRPr="00C63321">
        <w:rPr>
          <w:szCs w:val="24"/>
        </w:rPr>
        <w:t>oferty powyższych Funduszy mogły skorzystać mikroprzedsiębiorstwa, małe i średnie przedsiębiorstwa posiadające siedzibę na terenie województwa śląskiego lub prowadzące inwestycje na terenie województwa śląskiego.</w:t>
      </w:r>
    </w:p>
    <w:p w14:paraId="636F79C1" w14:textId="77777777" w:rsidR="00C63321" w:rsidRPr="00C63321" w:rsidRDefault="00C63321" w:rsidP="00367271">
      <w:pPr>
        <w:spacing w:after="0"/>
        <w:jc w:val="both"/>
        <w:rPr>
          <w:szCs w:val="24"/>
        </w:rPr>
      </w:pPr>
    </w:p>
    <w:p w14:paraId="469EC9B7" w14:textId="28ADE445" w:rsidR="00C63321" w:rsidRPr="00C63321" w:rsidRDefault="00832C38" w:rsidP="00367271">
      <w:pPr>
        <w:spacing w:after="0"/>
        <w:jc w:val="both"/>
        <w:rPr>
          <w:szCs w:val="24"/>
        </w:rPr>
      </w:pPr>
      <w:r>
        <w:rPr>
          <w:szCs w:val="24"/>
        </w:rPr>
        <w:t>Realizacja ostatniego z p</w:t>
      </w:r>
      <w:r w:rsidR="00906FD5">
        <w:rPr>
          <w:szCs w:val="24"/>
        </w:rPr>
        <w:t>rojektów realizowanych przez f</w:t>
      </w:r>
      <w:r w:rsidR="00C63321" w:rsidRPr="00C63321">
        <w:rPr>
          <w:szCs w:val="24"/>
        </w:rPr>
        <w:t>undusze pożyczkowe/poręczeniowy zakończyła się 30 sierpnia 2016 r.</w:t>
      </w:r>
    </w:p>
    <w:p w14:paraId="54AD3AD6" w14:textId="77777777" w:rsidR="00C63321" w:rsidRPr="00C63321" w:rsidRDefault="00C63321" w:rsidP="00367271">
      <w:pPr>
        <w:spacing w:after="0"/>
        <w:jc w:val="both"/>
        <w:rPr>
          <w:szCs w:val="24"/>
        </w:rPr>
      </w:pPr>
    </w:p>
    <w:p w14:paraId="14B6F6EA" w14:textId="0CF75DB8" w:rsidR="00C63321" w:rsidRPr="00367271" w:rsidRDefault="00B3038A" w:rsidP="001F484B">
      <w:pPr>
        <w:spacing w:after="0" w:line="240" w:lineRule="auto"/>
        <w:rPr>
          <w:b/>
          <w:sz w:val="20"/>
          <w:szCs w:val="20"/>
        </w:rPr>
      </w:pPr>
      <w:bookmarkStart w:id="121" w:name="_Toc476131788"/>
      <w:r>
        <w:rPr>
          <w:sz w:val="20"/>
          <w:szCs w:val="20"/>
        </w:rPr>
        <w:br w:type="page"/>
      </w:r>
      <w:r w:rsidR="007432D7" w:rsidRPr="00367271">
        <w:rPr>
          <w:sz w:val="20"/>
          <w:szCs w:val="20"/>
        </w:rPr>
        <w:lastRenderedPageBreak/>
        <w:t xml:space="preserve">Tabela </w:t>
      </w:r>
      <w:r w:rsidR="007432D7" w:rsidRPr="00367271">
        <w:rPr>
          <w:sz w:val="20"/>
          <w:szCs w:val="20"/>
        </w:rPr>
        <w:fldChar w:fldCharType="begin"/>
      </w:r>
      <w:r w:rsidR="007432D7" w:rsidRPr="00367271">
        <w:rPr>
          <w:sz w:val="20"/>
          <w:szCs w:val="20"/>
        </w:rPr>
        <w:instrText xml:space="preserve"> SEQ Tabela \* ARABIC </w:instrText>
      </w:r>
      <w:r w:rsidR="007432D7" w:rsidRPr="00367271">
        <w:rPr>
          <w:sz w:val="20"/>
          <w:szCs w:val="20"/>
        </w:rPr>
        <w:fldChar w:fldCharType="separate"/>
      </w:r>
      <w:r w:rsidR="0050297D">
        <w:rPr>
          <w:noProof/>
          <w:sz w:val="20"/>
          <w:szCs w:val="20"/>
        </w:rPr>
        <w:t>5</w:t>
      </w:r>
      <w:r w:rsidR="007432D7" w:rsidRPr="00367271">
        <w:rPr>
          <w:sz w:val="20"/>
          <w:szCs w:val="20"/>
        </w:rPr>
        <w:fldChar w:fldCharType="end"/>
      </w:r>
      <w:r w:rsidR="007432D7" w:rsidRPr="00367271">
        <w:rPr>
          <w:sz w:val="20"/>
          <w:szCs w:val="20"/>
        </w:rPr>
        <w:t xml:space="preserve"> </w:t>
      </w:r>
      <w:r w:rsidR="00C63321" w:rsidRPr="00367271">
        <w:rPr>
          <w:b/>
          <w:i/>
          <w:sz w:val="20"/>
          <w:szCs w:val="20"/>
        </w:rPr>
        <w:t>Postęp wdrażania projektów stan na 31 grudnia 2016 roku</w:t>
      </w:r>
      <w:bookmarkEnd w:id="121"/>
    </w:p>
    <w:tbl>
      <w:tblPr>
        <w:tblStyle w:val="Tabelalisty3akcent61"/>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1275"/>
        <w:gridCol w:w="1607"/>
        <w:gridCol w:w="1579"/>
        <w:gridCol w:w="1517"/>
        <w:gridCol w:w="1517"/>
      </w:tblGrid>
      <w:tr w:rsidR="00416F60" w:rsidRPr="00416F60" w14:paraId="178D27C1" w14:textId="77777777" w:rsidTr="00906FD5">
        <w:trPr>
          <w:cnfStyle w:val="100000000000" w:firstRow="1" w:lastRow="0" w:firstColumn="0" w:lastColumn="0" w:oddVBand="0" w:evenVBand="0" w:oddHBand="0" w:evenHBand="0" w:firstRowFirstColumn="0" w:firstRowLastColumn="0" w:lastRowFirstColumn="0" w:lastRowLastColumn="0"/>
          <w:trHeight w:val="1694"/>
        </w:trPr>
        <w:tc>
          <w:tcPr>
            <w:cnfStyle w:val="001000000100" w:firstRow="0" w:lastRow="0" w:firstColumn="1" w:lastColumn="0" w:oddVBand="0" w:evenVBand="0" w:oddHBand="0" w:evenHBand="0" w:firstRowFirstColumn="1" w:firstRowLastColumn="0" w:lastRowFirstColumn="0" w:lastRowLastColumn="0"/>
            <w:tcW w:w="2117" w:type="dxa"/>
            <w:tcBorders>
              <w:bottom w:val="none" w:sz="0" w:space="0" w:color="auto"/>
              <w:right w:val="none" w:sz="0" w:space="0" w:color="auto"/>
            </w:tcBorders>
            <w:vAlign w:val="center"/>
            <w:hideMark/>
          </w:tcPr>
          <w:p w14:paraId="4A2B3A4F" w14:textId="597F3712" w:rsidR="00C63321" w:rsidRPr="00367271" w:rsidRDefault="007519A0" w:rsidP="00367271">
            <w:pPr>
              <w:spacing w:after="0"/>
              <w:jc w:val="center"/>
              <w:rPr>
                <w:bCs w:val="0"/>
                <w:color w:val="auto"/>
                <w:sz w:val="16"/>
                <w:szCs w:val="16"/>
              </w:rPr>
            </w:pPr>
            <w:r w:rsidRPr="00367271">
              <w:rPr>
                <w:color w:val="auto"/>
                <w:sz w:val="16"/>
                <w:szCs w:val="16"/>
              </w:rPr>
              <w:t>NAZWA BENEFICJENTA</w:t>
            </w:r>
          </w:p>
        </w:tc>
        <w:tc>
          <w:tcPr>
            <w:tcW w:w="1275" w:type="dxa"/>
            <w:vAlign w:val="center"/>
            <w:hideMark/>
          </w:tcPr>
          <w:p w14:paraId="7768D797" w14:textId="56BFC771" w:rsidR="00C63321" w:rsidRPr="00367271" w:rsidRDefault="007519A0" w:rsidP="00367271">
            <w:pPr>
              <w:spacing w:after="0"/>
              <w:jc w:val="center"/>
              <w:cnfStyle w:val="100000000000" w:firstRow="1" w:lastRow="0" w:firstColumn="0" w:lastColumn="0" w:oddVBand="0" w:evenVBand="0" w:oddHBand="0" w:evenHBand="0" w:firstRowFirstColumn="0" w:firstRowLastColumn="0" w:lastRowFirstColumn="0" w:lastRowLastColumn="0"/>
              <w:rPr>
                <w:bCs w:val="0"/>
                <w:color w:val="auto"/>
                <w:sz w:val="16"/>
                <w:szCs w:val="16"/>
              </w:rPr>
            </w:pPr>
            <w:r w:rsidRPr="00367271">
              <w:rPr>
                <w:color w:val="auto"/>
                <w:sz w:val="16"/>
                <w:szCs w:val="16"/>
              </w:rPr>
              <w:t>LICZBA UDZIELONYCH POŻYCZEK/ PORĘCZEŃ</w:t>
            </w:r>
          </w:p>
        </w:tc>
        <w:tc>
          <w:tcPr>
            <w:tcW w:w="1607" w:type="dxa"/>
            <w:vAlign w:val="center"/>
            <w:hideMark/>
          </w:tcPr>
          <w:p w14:paraId="0C23B578" w14:textId="575E4667" w:rsidR="00C63321" w:rsidRPr="00367271" w:rsidRDefault="007519A0" w:rsidP="00367271">
            <w:pPr>
              <w:spacing w:after="0"/>
              <w:jc w:val="center"/>
              <w:cnfStyle w:val="100000000000" w:firstRow="1" w:lastRow="0" w:firstColumn="0" w:lastColumn="0" w:oddVBand="0" w:evenVBand="0" w:oddHBand="0" w:evenHBand="0" w:firstRowFirstColumn="0" w:firstRowLastColumn="0" w:lastRowFirstColumn="0" w:lastRowLastColumn="0"/>
              <w:rPr>
                <w:bCs w:val="0"/>
                <w:color w:val="auto"/>
                <w:sz w:val="16"/>
                <w:szCs w:val="16"/>
              </w:rPr>
            </w:pPr>
            <w:r w:rsidRPr="00367271">
              <w:rPr>
                <w:color w:val="auto"/>
                <w:sz w:val="16"/>
                <w:szCs w:val="16"/>
              </w:rPr>
              <w:t>WARTOŚĆ UDZIELONYCH POŻYCZEK/ PORĘCZEŃ</w:t>
            </w:r>
            <w:r w:rsidRPr="00367271">
              <w:rPr>
                <w:color w:val="auto"/>
                <w:sz w:val="16"/>
                <w:szCs w:val="16"/>
              </w:rPr>
              <w:br/>
              <w:t>(EUR)</w:t>
            </w:r>
          </w:p>
        </w:tc>
        <w:tc>
          <w:tcPr>
            <w:tcW w:w="1579" w:type="dxa"/>
            <w:vAlign w:val="center"/>
            <w:hideMark/>
          </w:tcPr>
          <w:p w14:paraId="50F56893" w14:textId="0CC627FA" w:rsidR="00C63321" w:rsidRPr="00367271" w:rsidRDefault="007519A0" w:rsidP="00367271">
            <w:pPr>
              <w:spacing w:after="0"/>
              <w:jc w:val="center"/>
              <w:cnfStyle w:val="100000000000" w:firstRow="1" w:lastRow="0" w:firstColumn="0" w:lastColumn="0" w:oddVBand="0" w:evenVBand="0" w:oddHBand="0" w:evenHBand="0" w:firstRowFirstColumn="0" w:firstRowLastColumn="0" w:lastRowFirstColumn="0" w:lastRowLastColumn="0"/>
              <w:rPr>
                <w:bCs w:val="0"/>
                <w:color w:val="auto"/>
                <w:sz w:val="16"/>
                <w:szCs w:val="16"/>
              </w:rPr>
            </w:pPr>
            <w:r w:rsidRPr="00367271">
              <w:rPr>
                <w:color w:val="auto"/>
                <w:sz w:val="16"/>
                <w:szCs w:val="16"/>
              </w:rPr>
              <w:t>WARTOŚĆ FAKTYCZNIE WYPŁACONYCH POŻYCZEK</w:t>
            </w:r>
            <w:r w:rsidRPr="00367271">
              <w:rPr>
                <w:color w:val="auto"/>
                <w:sz w:val="16"/>
                <w:szCs w:val="16"/>
              </w:rPr>
              <w:br/>
              <w:t xml:space="preserve"> (EUR)</w:t>
            </w:r>
          </w:p>
        </w:tc>
        <w:tc>
          <w:tcPr>
            <w:tcW w:w="1517" w:type="dxa"/>
            <w:vAlign w:val="center"/>
            <w:hideMark/>
          </w:tcPr>
          <w:p w14:paraId="71B9C124" w14:textId="165314B8" w:rsidR="00C63321" w:rsidRPr="00367271" w:rsidRDefault="007519A0" w:rsidP="00367271">
            <w:pPr>
              <w:spacing w:after="0"/>
              <w:jc w:val="center"/>
              <w:cnfStyle w:val="100000000000" w:firstRow="1" w:lastRow="0" w:firstColumn="0" w:lastColumn="0" w:oddVBand="0" w:evenVBand="0" w:oddHBand="0" w:evenHBand="0" w:firstRowFirstColumn="0" w:firstRowLastColumn="0" w:lastRowFirstColumn="0" w:lastRowLastColumn="0"/>
              <w:rPr>
                <w:bCs w:val="0"/>
                <w:color w:val="auto"/>
                <w:sz w:val="16"/>
                <w:szCs w:val="16"/>
              </w:rPr>
            </w:pPr>
            <w:r w:rsidRPr="00367271">
              <w:rPr>
                <w:color w:val="auto"/>
                <w:sz w:val="16"/>
                <w:szCs w:val="16"/>
              </w:rPr>
              <w:t>STOPIEŃ REALIZACJI WSKAŹNIKA "WARTOŚĆ UDZIELONYCH POŻYCZEK/ PORĘCZEŃ"</w:t>
            </w:r>
            <w:r w:rsidRPr="00367271">
              <w:rPr>
                <w:color w:val="auto"/>
                <w:sz w:val="16"/>
                <w:szCs w:val="16"/>
              </w:rPr>
              <w:br/>
              <w:t>(%)</w:t>
            </w:r>
          </w:p>
        </w:tc>
        <w:tc>
          <w:tcPr>
            <w:tcW w:w="1517" w:type="dxa"/>
            <w:vAlign w:val="center"/>
          </w:tcPr>
          <w:p w14:paraId="7E3377F0" w14:textId="673EA893" w:rsidR="00C63321" w:rsidRPr="00367271" w:rsidRDefault="007519A0" w:rsidP="00367271">
            <w:pPr>
              <w:spacing w:after="0"/>
              <w:jc w:val="center"/>
              <w:cnfStyle w:val="100000000000" w:firstRow="1" w:lastRow="0" w:firstColumn="0" w:lastColumn="0" w:oddVBand="0" w:evenVBand="0" w:oddHBand="0" w:evenHBand="0" w:firstRowFirstColumn="0" w:firstRowLastColumn="0" w:lastRowFirstColumn="0" w:lastRowLastColumn="0"/>
              <w:rPr>
                <w:color w:val="auto"/>
                <w:sz w:val="16"/>
                <w:szCs w:val="16"/>
              </w:rPr>
            </w:pPr>
            <w:r w:rsidRPr="00367271">
              <w:rPr>
                <w:color w:val="auto"/>
                <w:sz w:val="16"/>
                <w:szCs w:val="16"/>
              </w:rPr>
              <w:t>ODSETKI WYGENEROWANE PRZEZ PŁATNOŚCI        Z PROGRAMU ORAZ ODNOSZĄCE SIĘ DO FUNDUSZY STRUKTURALNYCH (EUR)</w:t>
            </w:r>
          </w:p>
        </w:tc>
      </w:tr>
      <w:tr w:rsidR="00416F60" w:rsidRPr="00416F60" w14:paraId="12A53F4A" w14:textId="77777777" w:rsidTr="00906FD5">
        <w:trPr>
          <w:cnfStyle w:val="000000100000" w:firstRow="0" w:lastRow="0" w:firstColumn="0" w:lastColumn="0" w:oddVBand="0" w:evenVBand="0" w:oddHBand="1" w:evenHBand="0" w:firstRowFirstColumn="0" w:firstRowLastColumn="0" w:lastRowFirstColumn="0" w:lastRowLastColumn="0"/>
          <w:trHeight w:val="767"/>
        </w:trPr>
        <w:tc>
          <w:tcPr>
            <w:cnfStyle w:val="001000000000" w:firstRow="0" w:lastRow="0" w:firstColumn="1" w:lastColumn="0" w:oddVBand="0" w:evenVBand="0" w:oddHBand="0" w:evenHBand="0" w:firstRowFirstColumn="0" w:firstRowLastColumn="0" w:lastRowFirstColumn="0" w:lastRowLastColumn="0"/>
            <w:tcW w:w="2117" w:type="dxa"/>
            <w:tcBorders>
              <w:top w:val="none" w:sz="0" w:space="0" w:color="auto"/>
              <w:bottom w:val="none" w:sz="0" w:space="0" w:color="auto"/>
              <w:right w:val="none" w:sz="0" w:space="0" w:color="auto"/>
            </w:tcBorders>
            <w:vAlign w:val="center"/>
            <w:hideMark/>
          </w:tcPr>
          <w:p w14:paraId="1D3ACA71" w14:textId="77777777" w:rsidR="00C63321" w:rsidRPr="00367271" w:rsidRDefault="00C63321" w:rsidP="00906FD5">
            <w:pPr>
              <w:spacing w:after="0"/>
              <w:rPr>
                <w:b w:val="0"/>
                <w:sz w:val="20"/>
                <w:szCs w:val="20"/>
              </w:rPr>
            </w:pPr>
            <w:r w:rsidRPr="00367271">
              <w:rPr>
                <w:sz w:val="20"/>
                <w:szCs w:val="20"/>
              </w:rPr>
              <w:t>Fundusz Górnośląski S.A.</w:t>
            </w:r>
          </w:p>
        </w:tc>
        <w:tc>
          <w:tcPr>
            <w:tcW w:w="1275" w:type="dxa"/>
            <w:tcBorders>
              <w:top w:val="none" w:sz="0" w:space="0" w:color="auto"/>
              <w:bottom w:val="none" w:sz="0" w:space="0" w:color="auto"/>
            </w:tcBorders>
            <w:vAlign w:val="center"/>
            <w:hideMark/>
          </w:tcPr>
          <w:p w14:paraId="737514C8"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p w14:paraId="6DAB44A6"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195</w:t>
            </w:r>
          </w:p>
        </w:tc>
        <w:tc>
          <w:tcPr>
            <w:tcW w:w="1607" w:type="dxa"/>
            <w:tcBorders>
              <w:top w:val="none" w:sz="0" w:space="0" w:color="auto"/>
              <w:bottom w:val="none" w:sz="0" w:space="0" w:color="auto"/>
            </w:tcBorders>
            <w:vAlign w:val="center"/>
            <w:hideMark/>
          </w:tcPr>
          <w:p w14:paraId="5E758838"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br/>
            </w:r>
          </w:p>
          <w:p w14:paraId="5DF7A62E" w14:textId="2D373046" w:rsidR="00C63321" w:rsidRPr="00367271" w:rsidRDefault="007519A0"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 xml:space="preserve">17 090 </w:t>
            </w:r>
            <w:r w:rsidR="00C63321" w:rsidRPr="00367271">
              <w:rPr>
                <w:sz w:val="20"/>
                <w:szCs w:val="20"/>
              </w:rPr>
              <w:t>832,86</w:t>
            </w:r>
          </w:p>
          <w:p w14:paraId="00AF2AC0"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579" w:type="dxa"/>
            <w:tcBorders>
              <w:top w:val="none" w:sz="0" w:space="0" w:color="auto"/>
              <w:bottom w:val="none" w:sz="0" w:space="0" w:color="auto"/>
            </w:tcBorders>
            <w:vAlign w:val="center"/>
            <w:hideMark/>
          </w:tcPr>
          <w:p w14:paraId="5B07BAC6"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p w14:paraId="52953285" w14:textId="3943A973" w:rsidR="00C63321" w:rsidRPr="00367271" w:rsidRDefault="007519A0" w:rsidP="00367271">
            <w:pPr>
              <w:spacing w:after="0"/>
              <w:ind w:hanging="7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 xml:space="preserve">16 530 </w:t>
            </w:r>
            <w:r w:rsidR="00C63321" w:rsidRPr="00367271">
              <w:rPr>
                <w:sz w:val="20"/>
                <w:szCs w:val="20"/>
              </w:rPr>
              <w:t>518,48</w:t>
            </w:r>
          </w:p>
        </w:tc>
        <w:tc>
          <w:tcPr>
            <w:tcW w:w="1517" w:type="dxa"/>
            <w:tcBorders>
              <w:top w:val="none" w:sz="0" w:space="0" w:color="auto"/>
              <w:bottom w:val="none" w:sz="0" w:space="0" w:color="auto"/>
            </w:tcBorders>
            <w:noWrap/>
            <w:vAlign w:val="center"/>
            <w:hideMark/>
          </w:tcPr>
          <w:p w14:paraId="40BFEF89"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p w14:paraId="1E551EBB"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107,2%</w:t>
            </w:r>
          </w:p>
        </w:tc>
        <w:tc>
          <w:tcPr>
            <w:tcW w:w="1517" w:type="dxa"/>
            <w:tcBorders>
              <w:top w:val="none" w:sz="0" w:space="0" w:color="auto"/>
              <w:bottom w:val="none" w:sz="0" w:space="0" w:color="auto"/>
            </w:tcBorders>
            <w:vAlign w:val="center"/>
          </w:tcPr>
          <w:p w14:paraId="4288BC1B" w14:textId="73C86735"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bCs/>
                <w:sz w:val="20"/>
                <w:szCs w:val="20"/>
              </w:rPr>
            </w:pPr>
            <w:r w:rsidRPr="00367271">
              <w:rPr>
                <w:bCs/>
                <w:sz w:val="20"/>
                <w:szCs w:val="20"/>
              </w:rPr>
              <w:t>1</w:t>
            </w:r>
            <w:r w:rsidR="007519A0" w:rsidRPr="00367271">
              <w:rPr>
                <w:sz w:val="20"/>
                <w:szCs w:val="20"/>
              </w:rPr>
              <w:t xml:space="preserve"> 054</w:t>
            </w:r>
            <w:r w:rsidRPr="00367271">
              <w:rPr>
                <w:sz w:val="20"/>
                <w:szCs w:val="20"/>
              </w:rPr>
              <w:t>927,57</w:t>
            </w:r>
          </w:p>
        </w:tc>
      </w:tr>
      <w:tr w:rsidR="00416F60" w:rsidRPr="00416F60" w14:paraId="31278142" w14:textId="77777777" w:rsidTr="00906FD5">
        <w:trPr>
          <w:trHeight w:val="1166"/>
        </w:trPr>
        <w:tc>
          <w:tcPr>
            <w:cnfStyle w:val="001000000000" w:firstRow="0" w:lastRow="0" w:firstColumn="1" w:lastColumn="0" w:oddVBand="0" w:evenVBand="0" w:oddHBand="0" w:evenHBand="0" w:firstRowFirstColumn="0" w:firstRowLastColumn="0" w:lastRowFirstColumn="0" w:lastRowLastColumn="0"/>
            <w:tcW w:w="2117" w:type="dxa"/>
            <w:tcBorders>
              <w:right w:val="none" w:sz="0" w:space="0" w:color="auto"/>
            </w:tcBorders>
            <w:vAlign w:val="center"/>
            <w:hideMark/>
          </w:tcPr>
          <w:p w14:paraId="6879A770" w14:textId="77777777" w:rsidR="00C63321" w:rsidRPr="00367271" w:rsidRDefault="00C63321" w:rsidP="00906FD5">
            <w:pPr>
              <w:spacing w:after="0"/>
              <w:rPr>
                <w:b w:val="0"/>
                <w:sz w:val="20"/>
                <w:szCs w:val="20"/>
              </w:rPr>
            </w:pPr>
          </w:p>
          <w:p w14:paraId="1E195E50" w14:textId="77777777" w:rsidR="00C63321" w:rsidRPr="00367271" w:rsidRDefault="00C63321" w:rsidP="00906FD5">
            <w:pPr>
              <w:spacing w:after="0"/>
              <w:rPr>
                <w:b w:val="0"/>
                <w:sz w:val="20"/>
                <w:szCs w:val="20"/>
              </w:rPr>
            </w:pPr>
            <w:r w:rsidRPr="00367271">
              <w:rPr>
                <w:sz w:val="20"/>
                <w:szCs w:val="20"/>
              </w:rPr>
              <w:t>Agencja Rozwoju Lokalnego S.A.</w:t>
            </w:r>
          </w:p>
          <w:p w14:paraId="4E43E8BF" w14:textId="77777777" w:rsidR="00C63321" w:rsidRPr="00367271" w:rsidRDefault="00C63321" w:rsidP="00906FD5">
            <w:pPr>
              <w:spacing w:after="0"/>
              <w:rPr>
                <w:b w:val="0"/>
                <w:sz w:val="20"/>
                <w:szCs w:val="20"/>
              </w:rPr>
            </w:pPr>
          </w:p>
        </w:tc>
        <w:tc>
          <w:tcPr>
            <w:tcW w:w="1275" w:type="dxa"/>
            <w:vAlign w:val="center"/>
            <w:hideMark/>
          </w:tcPr>
          <w:p w14:paraId="1E44BE61" w14:textId="77777777"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48</w:t>
            </w:r>
          </w:p>
        </w:tc>
        <w:tc>
          <w:tcPr>
            <w:tcW w:w="1607" w:type="dxa"/>
            <w:vAlign w:val="center"/>
            <w:hideMark/>
          </w:tcPr>
          <w:p w14:paraId="4E4864A8" w14:textId="6A2C5290" w:rsidR="00C63321" w:rsidRPr="00367271" w:rsidRDefault="007519A0"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 xml:space="preserve">584 </w:t>
            </w:r>
            <w:r w:rsidR="00C63321" w:rsidRPr="00367271">
              <w:rPr>
                <w:sz w:val="20"/>
                <w:szCs w:val="20"/>
              </w:rPr>
              <w:t>885,98</w:t>
            </w:r>
          </w:p>
        </w:tc>
        <w:tc>
          <w:tcPr>
            <w:tcW w:w="1579" w:type="dxa"/>
            <w:vAlign w:val="center"/>
            <w:hideMark/>
          </w:tcPr>
          <w:p w14:paraId="4A4A5D91" w14:textId="41685752" w:rsidR="00C63321" w:rsidRPr="00367271" w:rsidRDefault="007519A0"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 xml:space="preserve">584 </w:t>
            </w:r>
            <w:r w:rsidR="00C63321" w:rsidRPr="00367271">
              <w:rPr>
                <w:sz w:val="20"/>
                <w:szCs w:val="20"/>
              </w:rPr>
              <w:t>885,98</w:t>
            </w:r>
          </w:p>
        </w:tc>
        <w:tc>
          <w:tcPr>
            <w:tcW w:w="1517" w:type="dxa"/>
            <w:noWrap/>
            <w:vAlign w:val="center"/>
            <w:hideMark/>
          </w:tcPr>
          <w:p w14:paraId="21F46A08" w14:textId="77777777"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104,70%</w:t>
            </w:r>
          </w:p>
        </w:tc>
        <w:tc>
          <w:tcPr>
            <w:tcW w:w="1517" w:type="dxa"/>
            <w:vAlign w:val="center"/>
          </w:tcPr>
          <w:p w14:paraId="38946D07" w14:textId="5AEACC0A"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bCs/>
                <w:sz w:val="20"/>
                <w:szCs w:val="20"/>
              </w:rPr>
            </w:pPr>
            <w:r w:rsidRPr="00367271">
              <w:rPr>
                <w:bCs/>
                <w:sz w:val="20"/>
                <w:szCs w:val="20"/>
              </w:rPr>
              <w:t>26.283,35</w:t>
            </w:r>
          </w:p>
        </w:tc>
      </w:tr>
      <w:tr w:rsidR="00416F60" w:rsidRPr="00416F60" w14:paraId="7736AF69" w14:textId="77777777" w:rsidTr="00906FD5">
        <w:trPr>
          <w:cnfStyle w:val="000000100000" w:firstRow="0" w:lastRow="0" w:firstColumn="0" w:lastColumn="0" w:oddVBand="0" w:evenVBand="0" w:oddHBand="1" w:evenHBand="0" w:firstRowFirstColumn="0" w:firstRowLastColumn="0" w:lastRowFirstColumn="0" w:lastRowLastColumn="0"/>
          <w:trHeight w:val="988"/>
        </w:trPr>
        <w:tc>
          <w:tcPr>
            <w:cnfStyle w:val="001000000000" w:firstRow="0" w:lastRow="0" w:firstColumn="1" w:lastColumn="0" w:oddVBand="0" w:evenVBand="0" w:oddHBand="0" w:evenHBand="0" w:firstRowFirstColumn="0" w:firstRowLastColumn="0" w:lastRowFirstColumn="0" w:lastRowLastColumn="0"/>
            <w:tcW w:w="2117" w:type="dxa"/>
            <w:tcBorders>
              <w:top w:val="none" w:sz="0" w:space="0" w:color="auto"/>
              <w:bottom w:val="none" w:sz="0" w:space="0" w:color="auto"/>
              <w:right w:val="none" w:sz="0" w:space="0" w:color="auto"/>
            </w:tcBorders>
            <w:vAlign w:val="center"/>
            <w:hideMark/>
          </w:tcPr>
          <w:p w14:paraId="5396810A" w14:textId="77777777" w:rsidR="00C63321" w:rsidRPr="00367271" w:rsidRDefault="00C63321" w:rsidP="00906FD5">
            <w:pPr>
              <w:spacing w:after="0"/>
              <w:rPr>
                <w:b w:val="0"/>
                <w:sz w:val="20"/>
                <w:szCs w:val="20"/>
              </w:rPr>
            </w:pPr>
          </w:p>
          <w:p w14:paraId="4FE14216" w14:textId="77777777" w:rsidR="00C63321" w:rsidRPr="00367271" w:rsidRDefault="00C63321" w:rsidP="00906FD5">
            <w:pPr>
              <w:spacing w:after="0"/>
              <w:rPr>
                <w:b w:val="0"/>
                <w:sz w:val="20"/>
                <w:szCs w:val="20"/>
              </w:rPr>
            </w:pPr>
            <w:r w:rsidRPr="00367271">
              <w:rPr>
                <w:sz w:val="20"/>
                <w:szCs w:val="20"/>
              </w:rPr>
              <w:t>Agencja Rozwoju Regionalnego w Częstochowie S.A.</w:t>
            </w:r>
          </w:p>
          <w:p w14:paraId="0FB11D96" w14:textId="77777777" w:rsidR="00C63321" w:rsidRPr="00367271" w:rsidRDefault="00C63321" w:rsidP="00906FD5">
            <w:pPr>
              <w:spacing w:after="0"/>
              <w:rPr>
                <w:b w:val="0"/>
                <w:sz w:val="20"/>
                <w:szCs w:val="20"/>
              </w:rPr>
            </w:pPr>
          </w:p>
        </w:tc>
        <w:tc>
          <w:tcPr>
            <w:tcW w:w="1275" w:type="dxa"/>
            <w:tcBorders>
              <w:top w:val="none" w:sz="0" w:space="0" w:color="auto"/>
              <w:bottom w:val="none" w:sz="0" w:space="0" w:color="auto"/>
            </w:tcBorders>
            <w:vAlign w:val="center"/>
            <w:hideMark/>
          </w:tcPr>
          <w:p w14:paraId="18C8C3EF"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44</w:t>
            </w:r>
          </w:p>
        </w:tc>
        <w:tc>
          <w:tcPr>
            <w:tcW w:w="1607" w:type="dxa"/>
            <w:tcBorders>
              <w:top w:val="none" w:sz="0" w:space="0" w:color="auto"/>
              <w:bottom w:val="none" w:sz="0" w:space="0" w:color="auto"/>
            </w:tcBorders>
            <w:vAlign w:val="center"/>
            <w:hideMark/>
          </w:tcPr>
          <w:p w14:paraId="69116364" w14:textId="7CA28102" w:rsidR="00C63321" w:rsidRPr="00367271" w:rsidRDefault="007519A0"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 xml:space="preserve">1 275 </w:t>
            </w:r>
            <w:r w:rsidR="00C63321" w:rsidRPr="00367271">
              <w:rPr>
                <w:sz w:val="20"/>
                <w:szCs w:val="20"/>
              </w:rPr>
              <w:t>450,53</w:t>
            </w:r>
          </w:p>
        </w:tc>
        <w:tc>
          <w:tcPr>
            <w:tcW w:w="1579" w:type="dxa"/>
            <w:tcBorders>
              <w:top w:val="none" w:sz="0" w:space="0" w:color="auto"/>
              <w:bottom w:val="none" w:sz="0" w:space="0" w:color="auto"/>
            </w:tcBorders>
            <w:vAlign w:val="center"/>
            <w:hideMark/>
          </w:tcPr>
          <w:p w14:paraId="5B1EDCAD" w14:textId="013C20B8" w:rsidR="00C63321" w:rsidRPr="00367271" w:rsidRDefault="007519A0"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 xml:space="preserve">1 252 </w:t>
            </w:r>
            <w:r w:rsidR="00C63321" w:rsidRPr="00367271">
              <w:rPr>
                <w:sz w:val="20"/>
                <w:szCs w:val="20"/>
              </w:rPr>
              <w:t>922,21</w:t>
            </w:r>
          </w:p>
        </w:tc>
        <w:tc>
          <w:tcPr>
            <w:tcW w:w="1517" w:type="dxa"/>
            <w:tcBorders>
              <w:top w:val="none" w:sz="0" w:space="0" w:color="auto"/>
              <w:bottom w:val="none" w:sz="0" w:space="0" w:color="auto"/>
            </w:tcBorders>
            <w:noWrap/>
            <w:vAlign w:val="center"/>
            <w:hideMark/>
          </w:tcPr>
          <w:p w14:paraId="4A04C186" w14:textId="77777777" w:rsidR="00C63321" w:rsidRPr="00367271" w:rsidRDefault="00C63321" w:rsidP="00367271">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113,3%</w:t>
            </w:r>
          </w:p>
        </w:tc>
        <w:tc>
          <w:tcPr>
            <w:tcW w:w="1517" w:type="dxa"/>
            <w:tcBorders>
              <w:top w:val="none" w:sz="0" w:space="0" w:color="auto"/>
              <w:bottom w:val="none" w:sz="0" w:space="0" w:color="auto"/>
            </w:tcBorders>
            <w:vAlign w:val="center"/>
          </w:tcPr>
          <w:p w14:paraId="33810201" w14:textId="7ABFD109" w:rsidR="00C63321" w:rsidRPr="00367271" w:rsidRDefault="007519A0" w:rsidP="00367271">
            <w:pPr>
              <w:spacing w:after="0"/>
              <w:jc w:val="center"/>
              <w:cnfStyle w:val="000000100000" w:firstRow="0" w:lastRow="0" w:firstColumn="0" w:lastColumn="0" w:oddVBand="0" w:evenVBand="0" w:oddHBand="1" w:evenHBand="0" w:firstRowFirstColumn="0" w:firstRowLastColumn="0" w:lastRowFirstColumn="0" w:lastRowLastColumn="0"/>
              <w:rPr>
                <w:bCs/>
                <w:sz w:val="20"/>
                <w:szCs w:val="20"/>
              </w:rPr>
            </w:pPr>
            <w:r w:rsidRPr="00367271">
              <w:rPr>
                <w:bCs/>
                <w:sz w:val="20"/>
                <w:szCs w:val="20"/>
              </w:rPr>
              <w:t xml:space="preserve">119 </w:t>
            </w:r>
            <w:r w:rsidR="00C63321" w:rsidRPr="00367271">
              <w:rPr>
                <w:bCs/>
                <w:sz w:val="20"/>
                <w:szCs w:val="20"/>
              </w:rPr>
              <w:t>486,72</w:t>
            </w:r>
          </w:p>
        </w:tc>
      </w:tr>
      <w:tr w:rsidR="00416F60" w:rsidRPr="00416F60" w14:paraId="5BF303C8" w14:textId="77777777" w:rsidTr="00906FD5">
        <w:trPr>
          <w:trHeight w:val="826"/>
        </w:trPr>
        <w:tc>
          <w:tcPr>
            <w:cnfStyle w:val="001000000000" w:firstRow="0" w:lastRow="0" w:firstColumn="1" w:lastColumn="0" w:oddVBand="0" w:evenVBand="0" w:oddHBand="0" w:evenHBand="0" w:firstRowFirstColumn="0" w:firstRowLastColumn="0" w:lastRowFirstColumn="0" w:lastRowLastColumn="0"/>
            <w:tcW w:w="2117" w:type="dxa"/>
            <w:tcBorders>
              <w:right w:val="none" w:sz="0" w:space="0" w:color="auto"/>
            </w:tcBorders>
            <w:vAlign w:val="center"/>
            <w:hideMark/>
          </w:tcPr>
          <w:p w14:paraId="07F44130" w14:textId="77777777" w:rsidR="00C63321" w:rsidRPr="00367271" w:rsidRDefault="00C63321" w:rsidP="00906FD5">
            <w:pPr>
              <w:spacing w:after="0"/>
              <w:rPr>
                <w:b w:val="0"/>
                <w:sz w:val="20"/>
                <w:szCs w:val="20"/>
              </w:rPr>
            </w:pPr>
          </w:p>
          <w:p w14:paraId="40759399" w14:textId="77777777" w:rsidR="00C63321" w:rsidRPr="00367271" w:rsidRDefault="00C63321" w:rsidP="00906FD5">
            <w:pPr>
              <w:spacing w:after="0"/>
              <w:rPr>
                <w:b w:val="0"/>
                <w:sz w:val="20"/>
                <w:szCs w:val="20"/>
              </w:rPr>
            </w:pPr>
            <w:r w:rsidRPr="00367271">
              <w:rPr>
                <w:sz w:val="20"/>
                <w:szCs w:val="20"/>
              </w:rPr>
              <w:t>Śląski Regionalny Fundusz Poręczeniowy</w:t>
            </w:r>
          </w:p>
          <w:p w14:paraId="79AC2128" w14:textId="77777777" w:rsidR="00C63321" w:rsidRPr="00367271" w:rsidRDefault="00C63321" w:rsidP="00906FD5">
            <w:pPr>
              <w:spacing w:after="0"/>
              <w:rPr>
                <w:b w:val="0"/>
                <w:sz w:val="20"/>
                <w:szCs w:val="20"/>
              </w:rPr>
            </w:pPr>
          </w:p>
        </w:tc>
        <w:tc>
          <w:tcPr>
            <w:tcW w:w="1275" w:type="dxa"/>
            <w:vAlign w:val="center"/>
            <w:hideMark/>
          </w:tcPr>
          <w:p w14:paraId="5B80EDCC" w14:textId="77777777"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168</w:t>
            </w:r>
          </w:p>
        </w:tc>
        <w:tc>
          <w:tcPr>
            <w:tcW w:w="1607" w:type="dxa"/>
            <w:vAlign w:val="center"/>
            <w:hideMark/>
          </w:tcPr>
          <w:p w14:paraId="01169D20" w14:textId="77777777" w:rsidR="007519A0" w:rsidRPr="00367271" w:rsidRDefault="007519A0"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p w14:paraId="7C2F8518" w14:textId="458B8594" w:rsidR="00C63321" w:rsidRPr="00367271" w:rsidRDefault="007519A0"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 xml:space="preserve">6 052 </w:t>
            </w:r>
            <w:r w:rsidR="00C63321" w:rsidRPr="00367271">
              <w:rPr>
                <w:sz w:val="20"/>
                <w:szCs w:val="20"/>
              </w:rPr>
              <w:t>400,01</w:t>
            </w:r>
          </w:p>
          <w:p w14:paraId="4611EFB1" w14:textId="23B4BC74"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579" w:type="dxa"/>
            <w:vAlign w:val="center"/>
            <w:hideMark/>
          </w:tcPr>
          <w:p w14:paraId="39252A73" w14:textId="77777777"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n/d</w:t>
            </w:r>
          </w:p>
        </w:tc>
        <w:tc>
          <w:tcPr>
            <w:tcW w:w="1517" w:type="dxa"/>
            <w:noWrap/>
            <w:vAlign w:val="center"/>
            <w:hideMark/>
          </w:tcPr>
          <w:p w14:paraId="61DA4CC0" w14:textId="77777777" w:rsidR="00C63321" w:rsidRPr="00367271" w:rsidRDefault="00C63321" w:rsidP="00367271">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110,0%</w:t>
            </w:r>
          </w:p>
        </w:tc>
        <w:tc>
          <w:tcPr>
            <w:tcW w:w="1517" w:type="dxa"/>
            <w:vAlign w:val="center"/>
          </w:tcPr>
          <w:p w14:paraId="0EBF4CD3" w14:textId="2BC34E31" w:rsidR="00C63321" w:rsidRPr="00367271" w:rsidRDefault="007519A0" w:rsidP="00367271">
            <w:pPr>
              <w:spacing w:after="0"/>
              <w:jc w:val="center"/>
              <w:cnfStyle w:val="000000000000" w:firstRow="0" w:lastRow="0" w:firstColumn="0" w:lastColumn="0" w:oddVBand="0" w:evenVBand="0" w:oddHBand="0" w:evenHBand="0" w:firstRowFirstColumn="0" w:firstRowLastColumn="0" w:lastRowFirstColumn="0" w:lastRowLastColumn="0"/>
              <w:rPr>
                <w:bCs/>
                <w:sz w:val="20"/>
                <w:szCs w:val="20"/>
              </w:rPr>
            </w:pPr>
            <w:r w:rsidRPr="00367271">
              <w:rPr>
                <w:bCs/>
                <w:sz w:val="20"/>
                <w:szCs w:val="20"/>
              </w:rPr>
              <w:t xml:space="preserve">553 </w:t>
            </w:r>
            <w:r w:rsidR="00C63321" w:rsidRPr="00367271">
              <w:rPr>
                <w:bCs/>
                <w:sz w:val="20"/>
                <w:szCs w:val="20"/>
              </w:rPr>
              <w:t>365,32</w:t>
            </w:r>
          </w:p>
        </w:tc>
      </w:tr>
    </w:tbl>
    <w:p w14:paraId="14E4F44A" w14:textId="77777777" w:rsidR="00C63321" w:rsidRPr="00C63321" w:rsidRDefault="00C63321" w:rsidP="00367271">
      <w:pPr>
        <w:pStyle w:val="Akapitzlist"/>
        <w:spacing w:after="0"/>
        <w:jc w:val="both"/>
        <w:rPr>
          <w:b/>
          <w:color w:val="FF0000"/>
          <w:szCs w:val="24"/>
        </w:rPr>
      </w:pPr>
    </w:p>
    <w:p w14:paraId="2E7C6C30" w14:textId="061DB9F2" w:rsidR="00C63321" w:rsidRPr="00367271" w:rsidRDefault="007432D7" w:rsidP="00367271">
      <w:pPr>
        <w:pStyle w:val="Legenda"/>
        <w:rPr>
          <w:sz w:val="20"/>
          <w:szCs w:val="20"/>
        </w:rPr>
      </w:pPr>
      <w:bookmarkStart w:id="122" w:name="_Toc476131789"/>
      <w:r w:rsidRPr="00367271">
        <w:rPr>
          <w:color w:val="auto"/>
          <w:sz w:val="20"/>
          <w:szCs w:val="20"/>
        </w:rPr>
        <w:t xml:space="preserve">Tabela </w:t>
      </w:r>
      <w:r w:rsidRPr="00367271">
        <w:rPr>
          <w:color w:val="auto"/>
          <w:sz w:val="20"/>
          <w:szCs w:val="20"/>
        </w:rPr>
        <w:fldChar w:fldCharType="begin"/>
      </w:r>
      <w:r w:rsidRPr="00367271">
        <w:rPr>
          <w:color w:val="auto"/>
          <w:sz w:val="20"/>
          <w:szCs w:val="20"/>
        </w:rPr>
        <w:instrText xml:space="preserve"> SEQ Tabela \* ARABIC </w:instrText>
      </w:r>
      <w:r w:rsidRPr="00367271">
        <w:rPr>
          <w:color w:val="auto"/>
          <w:sz w:val="20"/>
          <w:szCs w:val="20"/>
        </w:rPr>
        <w:fldChar w:fldCharType="separate"/>
      </w:r>
      <w:r w:rsidR="0050297D">
        <w:rPr>
          <w:noProof/>
          <w:color w:val="auto"/>
          <w:sz w:val="20"/>
          <w:szCs w:val="20"/>
        </w:rPr>
        <w:t>6</w:t>
      </w:r>
      <w:r w:rsidRPr="00367271">
        <w:rPr>
          <w:color w:val="auto"/>
          <w:sz w:val="20"/>
          <w:szCs w:val="20"/>
        </w:rPr>
        <w:fldChar w:fldCharType="end"/>
      </w:r>
      <w:r w:rsidRPr="00367271">
        <w:rPr>
          <w:color w:val="auto"/>
          <w:sz w:val="20"/>
          <w:szCs w:val="20"/>
        </w:rPr>
        <w:t xml:space="preserve"> </w:t>
      </w:r>
      <w:r w:rsidR="00C63321" w:rsidRPr="00367271">
        <w:rPr>
          <w:b w:val="0"/>
          <w:i/>
          <w:color w:val="auto"/>
          <w:sz w:val="20"/>
          <w:szCs w:val="20"/>
        </w:rPr>
        <w:t>Ostateczni odbiorcy wsparcia</w:t>
      </w:r>
      <w:bookmarkEnd w:id="122"/>
      <w:r w:rsidR="00C63321" w:rsidRPr="00367271">
        <w:rPr>
          <w:color w:val="auto"/>
          <w:sz w:val="20"/>
          <w:szCs w:val="20"/>
        </w:rPr>
        <w:t xml:space="preserve">  </w:t>
      </w:r>
    </w:p>
    <w:tbl>
      <w:tblPr>
        <w:tblStyle w:val="Jasnasiatkaakcent11"/>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3239"/>
        <w:gridCol w:w="3046"/>
      </w:tblGrid>
      <w:tr w:rsidR="007432D7" w:rsidRPr="007519A0" w14:paraId="7D99061A" w14:textId="77777777" w:rsidTr="00906FD5">
        <w:trPr>
          <w:trHeight w:val="881"/>
          <w:jc w:val="center"/>
        </w:trPr>
        <w:tc>
          <w:tcPr>
            <w:tcW w:w="862" w:type="dxa"/>
            <w:shd w:val="clear" w:color="auto" w:fill="92D050"/>
            <w:vAlign w:val="center"/>
            <w:hideMark/>
          </w:tcPr>
          <w:p w14:paraId="764F34D7" w14:textId="0AE8692C" w:rsidR="00C63321" w:rsidRPr="00367271" w:rsidRDefault="007519A0" w:rsidP="00367271">
            <w:pPr>
              <w:spacing w:after="0"/>
              <w:jc w:val="center"/>
              <w:rPr>
                <w:b/>
                <w:sz w:val="20"/>
                <w:szCs w:val="20"/>
              </w:rPr>
            </w:pPr>
            <w:r w:rsidRPr="00534A43">
              <w:rPr>
                <w:b/>
                <w:sz w:val="20"/>
                <w:szCs w:val="20"/>
              </w:rPr>
              <w:t>LP.</w:t>
            </w:r>
          </w:p>
        </w:tc>
        <w:tc>
          <w:tcPr>
            <w:tcW w:w="3239" w:type="dxa"/>
            <w:shd w:val="clear" w:color="auto" w:fill="92D050"/>
            <w:vAlign w:val="center"/>
            <w:hideMark/>
          </w:tcPr>
          <w:p w14:paraId="57AB2047" w14:textId="48EC4B70" w:rsidR="00C63321" w:rsidRPr="00367271" w:rsidRDefault="007519A0" w:rsidP="00367271">
            <w:pPr>
              <w:spacing w:after="0"/>
              <w:jc w:val="center"/>
              <w:rPr>
                <w:b/>
                <w:sz w:val="20"/>
                <w:szCs w:val="20"/>
              </w:rPr>
            </w:pPr>
            <w:r w:rsidRPr="00534A43">
              <w:rPr>
                <w:b/>
                <w:sz w:val="20"/>
                <w:szCs w:val="20"/>
              </w:rPr>
              <w:t>RODZAJ</w:t>
            </w:r>
          </w:p>
        </w:tc>
        <w:tc>
          <w:tcPr>
            <w:tcW w:w="3046" w:type="dxa"/>
            <w:shd w:val="clear" w:color="auto" w:fill="92D050"/>
            <w:vAlign w:val="center"/>
            <w:hideMark/>
          </w:tcPr>
          <w:p w14:paraId="5B022D84" w14:textId="06BF73BC" w:rsidR="00C63321" w:rsidRPr="00367271" w:rsidRDefault="007519A0" w:rsidP="00367271">
            <w:pPr>
              <w:spacing w:after="0"/>
              <w:jc w:val="center"/>
              <w:rPr>
                <w:b/>
                <w:sz w:val="20"/>
                <w:szCs w:val="20"/>
              </w:rPr>
            </w:pPr>
            <w:r w:rsidRPr="00534A43">
              <w:rPr>
                <w:b/>
                <w:sz w:val="20"/>
                <w:szCs w:val="20"/>
              </w:rPr>
              <w:t>ILOŚĆ PROJEKTÓW</w:t>
            </w:r>
          </w:p>
        </w:tc>
      </w:tr>
      <w:tr w:rsidR="00C63321" w:rsidRPr="007519A0" w14:paraId="55290DE8" w14:textId="77777777" w:rsidTr="00906FD5">
        <w:trPr>
          <w:trHeight w:val="721"/>
          <w:jc w:val="center"/>
        </w:trPr>
        <w:tc>
          <w:tcPr>
            <w:tcW w:w="862" w:type="dxa"/>
            <w:shd w:val="clear" w:color="auto" w:fill="FFFFFF" w:themeFill="background1"/>
            <w:vAlign w:val="center"/>
            <w:hideMark/>
          </w:tcPr>
          <w:p w14:paraId="728C1BE3" w14:textId="77777777" w:rsidR="00C63321" w:rsidRPr="00367271" w:rsidRDefault="00C63321" w:rsidP="00367271">
            <w:pPr>
              <w:pStyle w:val="NormalnyWeb"/>
              <w:spacing w:after="0"/>
              <w:jc w:val="center"/>
              <w:textAlignment w:val="center"/>
              <w:rPr>
                <w:sz w:val="20"/>
                <w:szCs w:val="20"/>
              </w:rPr>
            </w:pPr>
            <w:r w:rsidRPr="00367271">
              <w:rPr>
                <w:rFonts w:eastAsia="Arial"/>
                <w:kern w:val="24"/>
                <w:sz w:val="20"/>
                <w:szCs w:val="20"/>
              </w:rPr>
              <w:t>1.</w:t>
            </w:r>
          </w:p>
        </w:tc>
        <w:tc>
          <w:tcPr>
            <w:tcW w:w="3239" w:type="dxa"/>
            <w:shd w:val="clear" w:color="auto" w:fill="FFFFFF" w:themeFill="background1"/>
            <w:vAlign w:val="center"/>
            <w:hideMark/>
          </w:tcPr>
          <w:p w14:paraId="0416CAD4" w14:textId="77777777" w:rsidR="00C63321" w:rsidRPr="00367271" w:rsidRDefault="00C63321" w:rsidP="00367271">
            <w:pPr>
              <w:pStyle w:val="NormalnyWeb"/>
              <w:spacing w:after="0"/>
              <w:textAlignment w:val="center"/>
              <w:rPr>
                <w:sz w:val="20"/>
                <w:szCs w:val="20"/>
              </w:rPr>
            </w:pPr>
            <w:r w:rsidRPr="00367271">
              <w:rPr>
                <w:rFonts w:eastAsia="Arial"/>
                <w:kern w:val="24"/>
                <w:sz w:val="20"/>
                <w:szCs w:val="20"/>
              </w:rPr>
              <w:t>Sektor MŚP</w:t>
            </w:r>
          </w:p>
        </w:tc>
        <w:tc>
          <w:tcPr>
            <w:tcW w:w="3046" w:type="dxa"/>
            <w:shd w:val="clear" w:color="auto" w:fill="FFFFFF" w:themeFill="background1"/>
            <w:vAlign w:val="center"/>
            <w:hideMark/>
          </w:tcPr>
          <w:p w14:paraId="796FE820" w14:textId="77777777" w:rsidR="00C63321" w:rsidRPr="00367271" w:rsidRDefault="00C63321" w:rsidP="00367271">
            <w:pPr>
              <w:pStyle w:val="NormalnyWeb"/>
              <w:spacing w:after="0"/>
              <w:jc w:val="right"/>
              <w:textAlignment w:val="center"/>
              <w:rPr>
                <w:sz w:val="20"/>
                <w:szCs w:val="20"/>
              </w:rPr>
            </w:pPr>
            <w:r w:rsidRPr="00367271">
              <w:rPr>
                <w:rFonts w:eastAsia="Arial"/>
                <w:kern w:val="24"/>
                <w:sz w:val="20"/>
                <w:szCs w:val="20"/>
              </w:rPr>
              <w:t>460</w:t>
            </w:r>
          </w:p>
        </w:tc>
      </w:tr>
      <w:tr w:rsidR="00C63321" w:rsidRPr="007519A0" w14:paraId="66B554B3" w14:textId="77777777" w:rsidTr="00906FD5">
        <w:trPr>
          <w:trHeight w:val="936"/>
          <w:jc w:val="center"/>
        </w:trPr>
        <w:tc>
          <w:tcPr>
            <w:tcW w:w="862" w:type="dxa"/>
            <w:shd w:val="clear" w:color="auto" w:fill="FFFFFF" w:themeFill="background1"/>
            <w:vAlign w:val="center"/>
            <w:hideMark/>
          </w:tcPr>
          <w:p w14:paraId="230767E8" w14:textId="77777777" w:rsidR="00C63321" w:rsidRPr="00367271" w:rsidRDefault="00C63321" w:rsidP="00367271">
            <w:pPr>
              <w:pStyle w:val="NormalnyWeb"/>
              <w:spacing w:after="0"/>
              <w:jc w:val="center"/>
              <w:textAlignment w:val="center"/>
              <w:rPr>
                <w:sz w:val="20"/>
                <w:szCs w:val="20"/>
              </w:rPr>
            </w:pPr>
            <w:r w:rsidRPr="00367271">
              <w:rPr>
                <w:rFonts w:eastAsia="Arial"/>
                <w:kern w:val="24"/>
                <w:sz w:val="20"/>
                <w:szCs w:val="20"/>
              </w:rPr>
              <w:t>2.</w:t>
            </w:r>
          </w:p>
        </w:tc>
        <w:tc>
          <w:tcPr>
            <w:tcW w:w="3239" w:type="dxa"/>
            <w:shd w:val="clear" w:color="auto" w:fill="FFFFFF" w:themeFill="background1"/>
            <w:vAlign w:val="center"/>
            <w:hideMark/>
          </w:tcPr>
          <w:p w14:paraId="6E29F4F6" w14:textId="48792C68" w:rsidR="00C63321" w:rsidRPr="00367271" w:rsidRDefault="00C63321" w:rsidP="00367271">
            <w:pPr>
              <w:pStyle w:val="NormalnyWeb"/>
              <w:spacing w:after="0"/>
              <w:textAlignment w:val="center"/>
              <w:rPr>
                <w:sz w:val="20"/>
                <w:szCs w:val="20"/>
              </w:rPr>
            </w:pPr>
            <w:r w:rsidRPr="00367271">
              <w:rPr>
                <w:rFonts w:eastAsia="Arial"/>
                <w:kern w:val="24"/>
                <w:sz w:val="20"/>
                <w:szCs w:val="20"/>
              </w:rPr>
              <w:t>w tym mikroprzedsiębiorstwa</w:t>
            </w:r>
          </w:p>
        </w:tc>
        <w:tc>
          <w:tcPr>
            <w:tcW w:w="3046" w:type="dxa"/>
            <w:shd w:val="clear" w:color="auto" w:fill="FFFFFF" w:themeFill="background1"/>
            <w:vAlign w:val="center"/>
            <w:hideMark/>
          </w:tcPr>
          <w:p w14:paraId="5AA77EB9" w14:textId="77777777" w:rsidR="00C63321" w:rsidRPr="00367271" w:rsidRDefault="00C63321" w:rsidP="00367271">
            <w:pPr>
              <w:pStyle w:val="NormalnyWeb"/>
              <w:spacing w:after="0"/>
              <w:jc w:val="right"/>
              <w:textAlignment w:val="center"/>
              <w:rPr>
                <w:sz w:val="20"/>
                <w:szCs w:val="20"/>
              </w:rPr>
            </w:pPr>
            <w:r w:rsidRPr="00367271">
              <w:rPr>
                <w:rFonts w:eastAsia="Arial"/>
                <w:bCs/>
                <w:kern w:val="24"/>
                <w:sz w:val="20"/>
                <w:szCs w:val="20"/>
              </w:rPr>
              <w:t>296</w:t>
            </w:r>
          </w:p>
        </w:tc>
      </w:tr>
    </w:tbl>
    <w:p w14:paraId="0CF555A4" w14:textId="77777777" w:rsidR="00C63321" w:rsidRPr="00C63321" w:rsidRDefault="00C63321" w:rsidP="00367271">
      <w:pPr>
        <w:spacing w:after="0"/>
        <w:jc w:val="both"/>
        <w:rPr>
          <w:szCs w:val="24"/>
        </w:rPr>
      </w:pPr>
    </w:p>
    <w:p w14:paraId="3AE32D13" w14:textId="77777777" w:rsidR="00C63321" w:rsidRDefault="00C63321" w:rsidP="00367271">
      <w:pPr>
        <w:spacing w:after="0"/>
        <w:jc w:val="both"/>
        <w:rPr>
          <w:szCs w:val="24"/>
        </w:rPr>
      </w:pPr>
      <w:r w:rsidRPr="00C63321">
        <w:rPr>
          <w:szCs w:val="24"/>
        </w:rPr>
        <w:t>Zgodnie z zapisami umów o dofinansowanie Instytucja Zarządzająca po zakończeniu realizacji Projektów była zobowiązania do przeprowadzenia kontroli na miejscu realizacji projektu. Ostatnie kontrole zakończyły się 13 stycznia 2017 roku.</w:t>
      </w:r>
    </w:p>
    <w:p w14:paraId="554E3BF8" w14:textId="77777777" w:rsidR="00425241" w:rsidRDefault="00425241" w:rsidP="00367271">
      <w:pPr>
        <w:spacing w:after="0"/>
        <w:jc w:val="both"/>
        <w:rPr>
          <w:szCs w:val="24"/>
        </w:rPr>
      </w:pPr>
    </w:p>
    <w:p w14:paraId="367949FF" w14:textId="6618825E" w:rsidR="00425241" w:rsidRPr="00425241" w:rsidRDefault="00425241" w:rsidP="00367271">
      <w:pPr>
        <w:spacing w:after="0"/>
        <w:jc w:val="both"/>
        <w:rPr>
          <w:szCs w:val="24"/>
        </w:rPr>
      </w:pPr>
      <w:r w:rsidRPr="00367271">
        <w:rPr>
          <w:szCs w:val="24"/>
        </w:rPr>
        <w:t>W ramach instrumentów finansowych</w:t>
      </w:r>
      <w:r w:rsidRPr="00367271">
        <w:t xml:space="preserve"> wdrażanych w ramach </w:t>
      </w:r>
      <w:r w:rsidRPr="00367271">
        <w:rPr>
          <w:i/>
        </w:rPr>
        <w:t>Poddziałania 1.1.1</w:t>
      </w:r>
      <w:r w:rsidRPr="00367271">
        <w:t xml:space="preserve"> </w:t>
      </w:r>
      <w:r w:rsidRPr="00367271">
        <w:rPr>
          <w:szCs w:val="24"/>
        </w:rPr>
        <w:t>nie wycofano środków. Okres obowiązywania umów pierwotnie podpisanych z Funduszami pożyczkowymi/poręczeniowym zostanie przedłużony do 31 grudnia 2020 r. na mocy podjętych przez Zarząd Województwa uchwał.</w:t>
      </w:r>
    </w:p>
    <w:p w14:paraId="0357B173" w14:textId="77777777" w:rsidR="00425241" w:rsidRPr="00C63321" w:rsidRDefault="00425241" w:rsidP="00367271">
      <w:pPr>
        <w:spacing w:after="0"/>
        <w:jc w:val="both"/>
        <w:rPr>
          <w:szCs w:val="24"/>
        </w:rPr>
      </w:pPr>
    </w:p>
    <w:p w14:paraId="38450A18" w14:textId="77777777" w:rsidR="00C63321" w:rsidRPr="00C63321" w:rsidRDefault="00C63321" w:rsidP="00367271">
      <w:pPr>
        <w:spacing w:after="0"/>
        <w:jc w:val="both"/>
        <w:rPr>
          <w:szCs w:val="24"/>
        </w:rPr>
      </w:pPr>
      <w:r w:rsidRPr="00C63321">
        <w:rPr>
          <w:szCs w:val="24"/>
        </w:rPr>
        <w:lastRenderedPageBreak/>
        <w:t xml:space="preserve">Dnia 25 października br. Zarząd Województwa Śląskiego przyjął  Uchwały w zakresie kontynuacji współpracy w ramach działalności pożyczkowej/poręczeniowej w ramach </w:t>
      </w:r>
      <w:r w:rsidRPr="00367271">
        <w:rPr>
          <w:i/>
          <w:szCs w:val="24"/>
        </w:rPr>
        <w:t>Poddziałania 1.1.1</w:t>
      </w:r>
      <w:r w:rsidRPr="00C63321">
        <w:rPr>
          <w:szCs w:val="24"/>
        </w:rPr>
        <w:t xml:space="preserve"> Infrastruktura rozwoju gospodarczego Regionalnego Programu Operacyjnego Województwa Śląskiego 2007-2013, tj.</w:t>
      </w:r>
    </w:p>
    <w:p w14:paraId="4BA10C8A" w14:textId="505FBFF5" w:rsidR="00C63321" w:rsidRPr="007432D7" w:rsidRDefault="00C63321" w:rsidP="00367271">
      <w:pPr>
        <w:pStyle w:val="Akapitzlist"/>
        <w:numPr>
          <w:ilvl w:val="3"/>
          <w:numId w:val="92"/>
        </w:numPr>
        <w:spacing w:after="0"/>
        <w:ind w:left="426"/>
        <w:jc w:val="both"/>
        <w:rPr>
          <w:szCs w:val="24"/>
        </w:rPr>
      </w:pPr>
      <w:r w:rsidRPr="007432D7">
        <w:rPr>
          <w:szCs w:val="24"/>
        </w:rPr>
        <w:t>Uchwałę nr 2137/149/V/2016 w sprawie Strategii Wyjścia z Instrumentów Inżynierii Finansowej  Regionalnego Programu Operacyjnego Województwa Śląskiego na lata 2007-2013, Priorytet I. Badania i rozwój technologiczny (B+R), innowacje i przedsiębiorczość, Działanie 1.1. Wzmocnienie atrakc</w:t>
      </w:r>
      <w:r w:rsidR="00440CAD">
        <w:rPr>
          <w:szCs w:val="24"/>
        </w:rPr>
        <w:t xml:space="preserve">yjności inwestycyjnej regionu, </w:t>
      </w:r>
      <w:r w:rsidR="00440CAD" w:rsidRPr="00367271">
        <w:rPr>
          <w:i/>
          <w:szCs w:val="24"/>
        </w:rPr>
        <w:t>p</w:t>
      </w:r>
      <w:r w:rsidRPr="00367271">
        <w:rPr>
          <w:i/>
          <w:szCs w:val="24"/>
        </w:rPr>
        <w:t>oddziałanie 1.1.1. Infrastruktura rozwoju gospodarczego, Typ Projektu 7. Dokapitalizowanie zewnętrznych źródeł dofinansowania przedsiębiorczości.</w:t>
      </w:r>
    </w:p>
    <w:p w14:paraId="7C6AF175" w14:textId="5E296B39" w:rsidR="00C63321" w:rsidRPr="007432D7" w:rsidRDefault="00C63321" w:rsidP="00367271">
      <w:pPr>
        <w:pStyle w:val="Akapitzlist"/>
        <w:numPr>
          <w:ilvl w:val="3"/>
          <w:numId w:val="92"/>
        </w:numPr>
        <w:spacing w:after="0"/>
        <w:ind w:left="426"/>
        <w:jc w:val="both"/>
        <w:rPr>
          <w:szCs w:val="24"/>
        </w:rPr>
      </w:pPr>
      <w:r w:rsidRPr="007432D7">
        <w:rPr>
          <w:szCs w:val="24"/>
        </w:rPr>
        <w:t>Uchwałę nr 2138/149/V/2016 w sprawie przyjęcia wzo</w:t>
      </w:r>
      <w:r w:rsidR="00440CAD">
        <w:rPr>
          <w:szCs w:val="24"/>
        </w:rPr>
        <w:t>ru jednolitego tekstu aneksu do </w:t>
      </w:r>
      <w:r w:rsidRPr="007432D7">
        <w:rPr>
          <w:szCs w:val="24"/>
        </w:rPr>
        <w:t>umowy o dofinansowanie Projektu w  ramach Regionalnego Programu Operacyjnego Województw</w:t>
      </w:r>
      <w:r w:rsidR="00440CAD">
        <w:rPr>
          <w:szCs w:val="24"/>
        </w:rPr>
        <w:t xml:space="preserve">a Śląskiego na lata 2007-2013, </w:t>
      </w:r>
      <w:r w:rsidR="00440CAD" w:rsidRPr="00367271">
        <w:rPr>
          <w:i/>
          <w:szCs w:val="24"/>
        </w:rPr>
        <w:t>p</w:t>
      </w:r>
      <w:r w:rsidRPr="00367271">
        <w:rPr>
          <w:i/>
          <w:szCs w:val="24"/>
        </w:rPr>
        <w:t xml:space="preserve">riorytet I. Badania i rozwój technologiczny (B+R), </w:t>
      </w:r>
      <w:r w:rsidR="00440CAD" w:rsidRPr="00367271">
        <w:rPr>
          <w:i/>
          <w:szCs w:val="24"/>
        </w:rPr>
        <w:t>innowacje i przedsiębiorczość, d</w:t>
      </w:r>
      <w:r w:rsidRPr="00367271">
        <w:rPr>
          <w:i/>
          <w:szCs w:val="24"/>
        </w:rPr>
        <w:t>ziałanie 1.1. wzmocnienie atrakc</w:t>
      </w:r>
      <w:r w:rsidR="00440CAD" w:rsidRPr="00367271">
        <w:rPr>
          <w:i/>
          <w:szCs w:val="24"/>
        </w:rPr>
        <w:t>yjności inwestycyjnej regionu, p</w:t>
      </w:r>
      <w:r w:rsidRPr="00367271">
        <w:rPr>
          <w:i/>
          <w:szCs w:val="24"/>
        </w:rPr>
        <w:t>oddziałanie 1.1.1. Infrastruktura rozwoju gospodarczego, Typ Projektu 7. Dokapitalizowanie zewnętrznych źródeł dofinansowania przedsiębiorczości</w:t>
      </w:r>
      <w:r w:rsidRPr="007432D7">
        <w:rPr>
          <w:szCs w:val="24"/>
        </w:rPr>
        <w:t xml:space="preserve"> wraz z załącznikami.</w:t>
      </w:r>
    </w:p>
    <w:p w14:paraId="2DBE01DA" w14:textId="33AE4FBD" w:rsidR="00C63321" w:rsidRPr="00C63321" w:rsidRDefault="00C63321" w:rsidP="00367271">
      <w:pPr>
        <w:spacing w:after="0"/>
        <w:jc w:val="both"/>
        <w:rPr>
          <w:szCs w:val="24"/>
        </w:rPr>
      </w:pPr>
      <w:r w:rsidRPr="00C63321">
        <w:rPr>
          <w:szCs w:val="24"/>
        </w:rPr>
        <w:t xml:space="preserve">Zgodnie z art. 98 ust. 1 Ustawy z dnia 11 lipca 2014 r. o zasadach realizacji programów </w:t>
      </w:r>
      <w:r w:rsidR="007432D7">
        <w:rPr>
          <w:szCs w:val="24"/>
        </w:rPr>
        <w:t>w </w:t>
      </w:r>
      <w:r w:rsidRPr="00C63321">
        <w:rPr>
          <w:szCs w:val="24"/>
        </w:rPr>
        <w:t>zakresie polityki spójności finansowanych w perspektywie finansowej na lata 2014-2020 (tzw. ustawy wdrożeniowej) środki zwracane zostaną wykorzystane na cele określone w art. 78 ust. 7 Rozporządzenia Rozporządzenie Rady (WE) nr 1083/200</w:t>
      </w:r>
      <w:r w:rsidR="00440CAD">
        <w:rPr>
          <w:szCs w:val="24"/>
        </w:rPr>
        <w:t>6 z dnia 11 lipca 2006r. tj. na </w:t>
      </w:r>
      <w:r w:rsidRPr="00C63321">
        <w:rPr>
          <w:szCs w:val="24"/>
        </w:rPr>
        <w:t>rzecz małych i średnich przedsiębiorstw.</w:t>
      </w:r>
    </w:p>
    <w:p w14:paraId="07891410" w14:textId="77777777" w:rsidR="007432D7" w:rsidRDefault="007432D7" w:rsidP="00367271">
      <w:pPr>
        <w:spacing w:after="0"/>
        <w:jc w:val="both"/>
        <w:rPr>
          <w:b/>
          <w:szCs w:val="24"/>
          <w:u w:val="single"/>
        </w:rPr>
      </w:pPr>
    </w:p>
    <w:p w14:paraId="6D59D4D8" w14:textId="77777777" w:rsidR="00C63321" w:rsidRPr="00367271" w:rsidRDefault="00C63321" w:rsidP="00367271">
      <w:pPr>
        <w:spacing w:after="0"/>
        <w:jc w:val="both"/>
        <w:rPr>
          <w:b/>
          <w:szCs w:val="24"/>
        </w:rPr>
      </w:pPr>
      <w:r w:rsidRPr="00367271">
        <w:rPr>
          <w:b/>
          <w:szCs w:val="24"/>
        </w:rPr>
        <w:t xml:space="preserve">Podsumowanie </w:t>
      </w:r>
    </w:p>
    <w:p w14:paraId="2A475BB4" w14:textId="41F789E9" w:rsidR="00C63321" w:rsidRPr="00C63321" w:rsidRDefault="00C63321" w:rsidP="00367271">
      <w:pPr>
        <w:jc w:val="both"/>
        <w:rPr>
          <w:szCs w:val="24"/>
        </w:rPr>
      </w:pPr>
      <w:r w:rsidRPr="00C63321">
        <w:rPr>
          <w:szCs w:val="24"/>
        </w:rPr>
        <w:t xml:space="preserve">W okresie programowania 2007-2013 instrumenty inżynierii finansowej miały charakter pilotażowy. Strategią Instytucji Zarządzającej RPO WSL w zakresie ich wdrażania było przede wszystkim stworzenie trwałego systemu wsparcia służącego śląskim przedsiębiorcom, ułatwiającego przeprowadzaniu inwestycji oraz budowanie świadomości u śląskich przedsiębiorców i wypromowaniu alternatywnego sposobu finansowania </w:t>
      </w:r>
      <w:r w:rsidR="007432D7" w:rsidRPr="00C63321">
        <w:rPr>
          <w:szCs w:val="24"/>
        </w:rPr>
        <w:t>inwestycji, jaki</w:t>
      </w:r>
      <w:r w:rsidRPr="00C63321">
        <w:rPr>
          <w:szCs w:val="24"/>
        </w:rPr>
        <w:t xml:space="preserve"> oferują Fundusze Pożyczkowe i Poręczeniowy.</w:t>
      </w:r>
    </w:p>
    <w:p w14:paraId="0E95DE56" w14:textId="77777777" w:rsidR="00C63321" w:rsidRPr="00C63321" w:rsidRDefault="00C63321" w:rsidP="00367271">
      <w:pPr>
        <w:jc w:val="both"/>
        <w:rPr>
          <w:szCs w:val="24"/>
        </w:rPr>
      </w:pPr>
      <w:r w:rsidRPr="00C63321">
        <w:rPr>
          <w:szCs w:val="24"/>
        </w:rPr>
        <w:t xml:space="preserve">W pierwszym okresie relacji projektów Instytucja Zarządzająca identyfikowała pewne trudności z osiąganiem wskaźników. Najważniejszym czynnikiem, który opóźniał realizację była dostępność wsparcia zwrotnego na projekty inwestycyjne oferowana w ramach konkursów dotacji. Kolejnym czynnikiem był brak świadomości potencjalnych pożyczkobiorców/ poręczeniobiorców na temat oferty Pośredników Finansowych , brak wiedzy, a co za tym idzie brak zaufania do tego rodzaju wsparcia. Pewne zakłócenia wywołała również oferta BGK           w zakresie gwarancji de minimis – darmowego poręczenia dostępnego dla MŚP bez ograniczeń geograficznych, co znacznie spowolniło realizację projektu Śląskiego Regionalnego Funduszu Poręczeniowego. Reakcją na załamanie rynku była zgoda Instytucji Zarządzającej na obniżenie stawek opłat za udzielenie poręczenia. </w:t>
      </w:r>
    </w:p>
    <w:p w14:paraId="267F49D5" w14:textId="77777777" w:rsidR="00C63321" w:rsidRPr="00C63321" w:rsidRDefault="00C63321" w:rsidP="00367271">
      <w:pPr>
        <w:jc w:val="both"/>
        <w:rPr>
          <w:szCs w:val="24"/>
        </w:rPr>
      </w:pPr>
      <w:r w:rsidRPr="00C63321">
        <w:rPr>
          <w:szCs w:val="24"/>
        </w:rPr>
        <w:t xml:space="preserve">Czynniki te spowodowały stosunkowo niewielkie zakłócenia w realizacji poszczególnych projektów, ale z uwagi na fakt, iż były one obiektywne Instytucja Zarządzająca nie </w:t>
      </w:r>
      <w:r w:rsidRPr="00C63321">
        <w:rPr>
          <w:szCs w:val="24"/>
        </w:rPr>
        <w:lastRenderedPageBreak/>
        <w:t xml:space="preserve">podejmowała kroków, np.  w celu zmiany Pośrednika Finansowego realizującego dany projekt czy zmiany sposobu realizacji poszczególnych projektów. </w:t>
      </w:r>
    </w:p>
    <w:p w14:paraId="7C4039E1" w14:textId="77777777" w:rsidR="00C63321" w:rsidRPr="00C63321" w:rsidRDefault="00C63321" w:rsidP="00367271">
      <w:pPr>
        <w:jc w:val="both"/>
        <w:rPr>
          <w:szCs w:val="24"/>
        </w:rPr>
      </w:pPr>
      <w:r w:rsidRPr="00C63321">
        <w:rPr>
          <w:szCs w:val="24"/>
        </w:rPr>
        <w:t xml:space="preserve">W umowach o finansowaniu określono wskaźniki do osiągniecia przez poszczególne projekty. Wykonanie tych wskaźników było weryfikowane na podstawie sprawozdań kwartalnych            w przypadku podziałania 1.1.1 i półrocznych/rocznych w ramach podziałania 6.2.3. IZ na bieżąco weryfikowała postęp w realizacji każdego z projektów na podstawie informacji zawartych w składanych dokumentach. </w:t>
      </w:r>
    </w:p>
    <w:p w14:paraId="46F97435" w14:textId="3FA4B3A6" w:rsidR="00C63321" w:rsidRPr="00C63321" w:rsidRDefault="00C63321" w:rsidP="00367271">
      <w:pPr>
        <w:jc w:val="both"/>
        <w:rPr>
          <w:szCs w:val="24"/>
        </w:rPr>
      </w:pPr>
      <w:r w:rsidRPr="00C63321">
        <w:rPr>
          <w:szCs w:val="24"/>
        </w:rPr>
        <w:t>W 2016 roku zostały również w ra</w:t>
      </w:r>
      <w:r w:rsidR="00440CAD">
        <w:rPr>
          <w:szCs w:val="24"/>
        </w:rPr>
        <w:t xml:space="preserve">mach projektów realizowanych w </w:t>
      </w:r>
      <w:r w:rsidR="00440CAD" w:rsidRPr="00367271">
        <w:rPr>
          <w:i/>
          <w:szCs w:val="24"/>
        </w:rPr>
        <w:t>p</w:t>
      </w:r>
      <w:r w:rsidRPr="00367271">
        <w:rPr>
          <w:i/>
          <w:szCs w:val="24"/>
        </w:rPr>
        <w:t>o</w:t>
      </w:r>
      <w:r w:rsidR="001330A8" w:rsidRPr="00367271">
        <w:rPr>
          <w:i/>
          <w:szCs w:val="24"/>
        </w:rPr>
        <w:t>działaniu 1.1.1</w:t>
      </w:r>
      <w:r w:rsidR="001330A8">
        <w:rPr>
          <w:szCs w:val="24"/>
        </w:rPr>
        <w:t xml:space="preserve"> przeprowadzone </w:t>
      </w:r>
      <w:r w:rsidRPr="00C63321">
        <w:rPr>
          <w:szCs w:val="24"/>
        </w:rPr>
        <w:t>kontrole na dokumentach w siedzibie Instytucji Zarządzającej mające na celu ocenę efektywności działalności Funduszu zostały przeprowadzone u wszystkich Funduszy, wg następujących kryteriów oceny:</w:t>
      </w:r>
    </w:p>
    <w:tbl>
      <w:tblPr>
        <w:tblW w:w="0" w:type="auto"/>
        <w:tblLook w:val="04A0" w:firstRow="1" w:lastRow="0" w:firstColumn="1" w:lastColumn="0" w:noHBand="0" w:noVBand="1"/>
      </w:tblPr>
      <w:tblGrid>
        <w:gridCol w:w="668"/>
        <w:gridCol w:w="8404"/>
      </w:tblGrid>
      <w:tr w:rsidR="00C63321" w:rsidRPr="00C63321" w14:paraId="6CB6081F" w14:textId="77777777" w:rsidTr="00474FA0">
        <w:tc>
          <w:tcPr>
            <w:tcW w:w="675" w:type="dxa"/>
            <w:shd w:val="clear" w:color="auto" w:fill="auto"/>
          </w:tcPr>
          <w:p w14:paraId="6AEBFEAD" w14:textId="77777777" w:rsidR="00C63321" w:rsidRPr="00C63321" w:rsidRDefault="00C63321" w:rsidP="00367271">
            <w:pPr>
              <w:autoSpaceDE w:val="0"/>
              <w:autoSpaceDN w:val="0"/>
              <w:adjustRightInd w:val="0"/>
              <w:jc w:val="both"/>
              <w:rPr>
                <w:szCs w:val="24"/>
              </w:rPr>
            </w:pPr>
            <w:r w:rsidRPr="00C63321">
              <w:rPr>
                <w:szCs w:val="24"/>
              </w:rPr>
              <w:t>1)</w:t>
            </w:r>
          </w:p>
        </w:tc>
        <w:tc>
          <w:tcPr>
            <w:tcW w:w="8537" w:type="dxa"/>
            <w:shd w:val="clear" w:color="auto" w:fill="auto"/>
          </w:tcPr>
          <w:p w14:paraId="7A96227D" w14:textId="77777777" w:rsidR="00C63321" w:rsidRPr="00C63321" w:rsidRDefault="00C63321" w:rsidP="00367271">
            <w:pPr>
              <w:autoSpaceDE w:val="0"/>
              <w:autoSpaceDN w:val="0"/>
              <w:adjustRightInd w:val="0"/>
              <w:jc w:val="both"/>
              <w:rPr>
                <w:szCs w:val="24"/>
              </w:rPr>
            </w:pPr>
            <w:r w:rsidRPr="00C63321">
              <w:rPr>
                <w:szCs w:val="24"/>
              </w:rPr>
              <w:t>Osiągnięcie 100 %-owej wartości wskaźnika wykorzystania kapitału. Oznacza to, że suma wartości pożyczek/poręczeń udzielonych (wypłaconych) przez fundusz powinna stanowić przynajmniej jednokrotność wartości pierwotnie przekazanej Pośrednikowi Finansowemu na utworzenie funduszu pożyczkowego/poręczeniowego.</w:t>
            </w:r>
          </w:p>
        </w:tc>
      </w:tr>
      <w:tr w:rsidR="00C63321" w:rsidRPr="00C63321" w14:paraId="7FA634ED" w14:textId="77777777" w:rsidTr="00474FA0">
        <w:tc>
          <w:tcPr>
            <w:tcW w:w="675" w:type="dxa"/>
            <w:shd w:val="clear" w:color="auto" w:fill="auto"/>
          </w:tcPr>
          <w:p w14:paraId="1E629110" w14:textId="77777777" w:rsidR="00C63321" w:rsidRPr="00C63321" w:rsidRDefault="00C63321" w:rsidP="00367271">
            <w:pPr>
              <w:autoSpaceDE w:val="0"/>
              <w:autoSpaceDN w:val="0"/>
              <w:adjustRightInd w:val="0"/>
              <w:jc w:val="both"/>
              <w:rPr>
                <w:szCs w:val="24"/>
              </w:rPr>
            </w:pPr>
            <w:r w:rsidRPr="00C63321">
              <w:rPr>
                <w:szCs w:val="24"/>
              </w:rPr>
              <w:t>2)</w:t>
            </w:r>
          </w:p>
        </w:tc>
        <w:tc>
          <w:tcPr>
            <w:tcW w:w="8537" w:type="dxa"/>
            <w:shd w:val="clear" w:color="auto" w:fill="auto"/>
          </w:tcPr>
          <w:p w14:paraId="4663D9C5" w14:textId="77777777" w:rsidR="00C63321" w:rsidRPr="00C63321" w:rsidRDefault="00C63321" w:rsidP="00367271">
            <w:pPr>
              <w:autoSpaceDE w:val="0"/>
              <w:autoSpaceDN w:val="0"/>
              <w:adjustRightInd w:val="0"/>
              <w:jc w:val="both"/>
              <w:rPr>
                <w:szCs w:val="24"/>
              </w:rPr>
            </w:pPr>
            <w:r w:rsidRPr="00C63321">
              <w:rPr>
                <w:szCs w:val="24"/>
              </w:rPr>
              <w:t>Wartość strat definitywnie poniesionych nie przekroczyła 10% sumy wszystkich zawartych i wypłaconych umów pożyczek/poręczeń od momentu uruchomienia funduszu pożyczkowego/poręczeniowego do dnia przeprowadzenia oceny</w:t>
            </w:r>
          </w:p>
        </w:tc>
      </w:tr>
      <w:tr w:rsidR="00C63321" w:rsidRPr="00C63321" w14:paraId="562E92EC" w14:textId="77777777" w:rsidTr="00474FA0">
        <w:tc>
          <w:tcPr>
            <w:tcW w:w="675" w:type="dxa"/>
            <w:shd w:val="clear" w:color="auto" w:fill="auto"/>
          </w:tcPr>
          <w:p w14:paraId="26496A8D" w14:textId="77777777" w:rsidR="00C63321" w:rsidRPr="00C63321" w:rsidRDefault="00C63321" w:rsidP="00367271">
            <w:pPr>
              <w:autoSpaceDE w:val="0"/>
              <w:autoSpaceDN w:val="0"/>
              <w:adjustRightInd w:val="0"/>
              <w:jc w:val="both"/>
              <w:rPr>
                <w:szCs w:val="24"/>
              </w:rPr>
            </w:pPr>
            <w:r w:rsidRPr="00C63321">
              <w:rPr>
                <w:szCs w:val="24"/>
              </w:rPr>
              <w:t>3)</w:t>
            </w:r>
          </w:p>
        </w:tc>
        <w:tc>
          <w:tcPr>
            <w:tcW w:w="8537" w:type="dxa"/>
            <w:shd w:val="clear" w:color="auto" w:fill="auto"/>
          </w:tcPr>
          <w:p w14:paraId="69895FD6" w14:textId="77777777" w:rsidR="00C63321" w:rsidRPr="00C63321" w:rsidRDefault="00C63321" w:rsidP="00367271">
            <w:pPr>
              <w:autoSpaceDE w:val="0"/>
              <w:autoSpaceDN w:val="0"/>
              <w:adjustRightInd w:val="0"/>
              <w:jc w:val="both"/>
              <w:rPr>
                <w:szCs w:val="24"/>
              </w:rPr>
            </w:pPr>
            <w:r w:rsidRPr="00C63321">
              <w:rPr>
                <w:szCs w:val="24"/>
              </w:rPr>
              <w:t xml:space="preserve">Wartość umów wypowiedzianych z powodu niespłacania lub nieregularnego spłacania (zgodnie z przyjętymi przez Pośrednika Finansowego procedurami w tym zakresie) nie przekracza 20% sumy wszystkich zawartych i wypłaconych umów pożyczek/ poręczeń od momentu uruchomienia funduszu do dnia przeprowadzenia oceny. </w:t>
            </w:r>
          </w:p>
        </w:tc>
      </w:tr>
      <w:tr w:rsidR="00C63321" w:rsidRPr="00C63321" w14:paraId="2BDCBEDB" w14:textId="77777777" w:rsidTr="00474FA0">
        <w:tc>
          <w:tcPr>
            <w:tcW w:w="675" w:type="dxa"/>
            <w:shd w:val="clear" w:color="auto" w:fill="auto"/>
          </w:tcPr>
          <w:p w14:paraId="53C73D14" w14:textId="77777777" w:rsidR="00C63321" w:rsidRPr="00C63321" w:rsidRDefault="00C63321" w:rsidP="00367271">
            <w:pPr>
              <w:autoSpaceDE w:val="0"/>
              <w:autoSpaceDN w:val="0"/>
              <w:adjustRightInd w:val="0"/>
              <w:jc w:val="both"/>
              <w:rPr>
                <w:szCs w:val="24"/>
              </w:rPr>
            </w:pPr>
            <w:r w:rsidRPr="00C63321">
              <w:rPr>
                <w:szCs w:val="24"/>
              </w:rPr>
              <w:t>4)</w:t>
            </w:r>
          </w:p>
        </w:tc>
        <w:tc>
          <w:tcPr>
            <w:tcW w:w="8537" w:type="dxa"/>
            <w:shd w:val="clear" w:color="auto" w:fill="auto"/>
          </w:tcPr>
          <w:p w14:paraId="1D7EFDD6" w14:textId="77777777" w:rsidR="00C63321" w:rsidRPr="00C63321" w:rsidRDefault="00C63321" w:rsidP="00367271">
            <w:pPr>
              <w:autoSpaceDE w:val="0"/>
              <w:autoSpaceDN w:val="0"/>
              <w:adjustRightInd w:val="0"/>
              <w:jc w:val="both"/>
              <w:rPr>
                <w:szCs w:val="24"/>
              </w:rPr>
            </w:pPr>
            <w:r w:rsidRPr="00C63321">
              <w:rPr>
                <w:szCs w:val="24"/>
              </w:rPr>
              <w:t xml:space="preserve">Pośrednik Finansowy prowadził efektywną politykę inwestowania środków niezaangażowanych w pożyczki/poręczenia. Przez co należy rozumieć, że wygenerowana wartość odsetek od wkładu EFRR stanowi co najmniej 5 % jego kwoty pierwotnej. </w:t>
            </w:r>
          </w:p>
        </w:tc>
      </w:tr>
      <w:tr w:rsidR="00C63321" w:rsidRPr="00C63321" w14:paraId="2DEDEFB6" w14:textId="77777777" w:rsidTr="00474FA0">
        <w:tc>
          <w:tcPr>
            <w:tcW w:w="675" w:type="dxa"/>
            <w:shd w:val="clear" w:color="auto" w:fill="auto"/>
          </w:tcPr>
          <w:p w14:paraId="4E928F4E" w14:textId="77777777" w:rsidR="00C63321" w:rsidRPr="00C63321" w:rsidRDefault="00C63321" w:rsidP="00367271">
            <w:pPr>
              <w:autoSpaceDE w:val="0"/>
              <w:autoSpaceDN w:val="0"/>
              <w:adjustRightInd w:val="0"/>
              <w:jc w:val="both"/>
              <w:rPr>
                <w:szCs w:val="24"/>
              </w:rPr>
            </w:pPr>
            <w:r w:rsidRPr="00C63321">
              <w:rPr>
                <w:szCs w:val="24"/>
              </w:rPr>
              <w:t>5)</w:t>
            </w:r>
          </w:p>
        </w:tc>
        <w:tc>
          <w:tcPr>
            <w:tcW w:w="8537" w:type="dxa"/>
            <w:shd w:val="clear" w:color="auto" w:fill="auto"/>
          </w:tcPr>
          <w:p w14:paraId="67908291" w14:textId="77777777" w:rsidR="00C63321" w:rsidRPr="00C63321" w:rsidRDefault="00C63321" w:rsidP="00367271">
            <w:pPr>
              <w:autoSpaceDE w:val="0"/>
              <w:autoSpaceDN w:val="0"/>
              <w:adjustRightInd w:val="0"/>
              <w:jc w:val="both"/>
              <w:rPr>
                <w:szCs w:val="24"/>
              </w:rPr>
            </w:pPr>
            <w:r w:rsidRPr="00C63321">
              <w:rPr>
                <w:szCs w:val="24"/>
              </w:rPr>
              <w:t>Pośrednik Finansowy nie przekroczył limitów kosztów zarządzania określonych           w umowie o dofinansowanie</w:t>
            </w:r>
          </w:p>
        </w:tc>
      </w:tr>
      <w:tr w:rsidR="00C63321" w:rsidRPr="00C63321" w14:paraId="21042E02" w14:textId="77777777" w:rsidTr="00474FA0">
        <w:tc>
          <w:tcPr>
            <w:tcW w:w="675" w:type="dxa"/>
            <w:shd w:val="clear" w:color="auto" w:fill="auto"/>
          </w:tcPr>
          <w:p w14:paraId="1C11D656" w14:textId="77777777" w:rsidR="00C63321" w:rsidRPr="00C63321" w:rsidRDefault="00C63321" w:rsidP="00367271">
            <w:pPr>
              <w:autoSpaceDE w:val="0"/>
              <w:autoSpaceDN w:val="0"/>
              <w:adjustRightInd w:val="0"/>
              <w:jc w:val="both"/>
              <w:rPr>
                <w:szCs w:val="24"/>
              </w:rPr>
            </w:pPr>
            <w:r w:rsidRPr="00C63321">
              <w:rPr>
                <w:szCs w:val="24"/>
              </w:rPr>
              <w:t>6)</w:t>
            </w:r>
          </w:p>
        </w:tc>
        <w:tc>
          <w:tcPr>
            <w:tcW w:w="8537" w:type="dxa"/>
            <w:shd w:val="clear" w:color="auto" w:fill="auto"/>
          </w:tcPr>
          <w:p w14:paraId="73586413" w14:textId="77777777" w:rsidR="00C63321" w:rsidRPr="00C63321" w:rsidRDefault="00C63321" w:rsidP="00367271">
            <w:pPr>
              <w:autoSpaceDE w:val="0"/>
              <w:autoSpaceDN w:val="0"/>
              <w:adjustRightInd w:val="0"/>
              <w:jc w:val="both"/>
              <w:rPr>
                <w:szCs w:val="24"/>
              </w:rPr>
            </w:pPr>
            <w:r w:rsidRPr="00C63321">
              <w:rPr>
                <w:szCs w:val="24"/>
              </w:rPr>
              <w:t>Pośrednik Finansowy osiągnął zakładane wskaźniki produktu i rezultatu</w:t>
            </w:r>
          </w:p>
        </w:tc>
      </w:tr>
      <w:tr w:rsidR="00C63321" w:rsidRPr="00C63321" w14:paraId="459A6174" w14:textId="77777777" w:rsidTr="00474FA0">
        <w:tc>
          <w:tcPr>
            <w:tcW w:w="675" w:type="dxa"/>
            <w:shd w:val="clear" w:color="auto" w:fill="auto"/>
          </w:tcPr>
          <w:p w14:paraId="3865B501" w14:textId="77777777" w:rsidR="00C63321" w:rsidRPr="00C63321" w:rsidRDefault="00C63321" w:rsidP="00367271">
            <w:pPr>
              <w:autoSpaceDE w:val="0"/>
              <w:autoSpaceDN w:val="0"/>
              <w:adjustRightInd w:val="0"/>
              <w:jc w:val="both"/>
              <w:rPr>
                <w:szCs w:val="24"/>
              </w:rPr>
            </w:pPr>
            <w:r w:rsidRPr="00C63321">
              <w:rPr>
                <w:szCs w:val="24"/>
              </w:rPr>
              <w:t>7)</w:t>
            </w:r>
          </w:p>
        </w:tc>
        <w:tc>
          <w:tcPr>
            <w:tcW w:w="8537" w:type="dxa"/>
            <w:shd w:val="clear" w:color="auto" w:fill="auto"/>
          </w:tcPr>
          <w:p w14:paraId="30DDBCA2" w14:textId="77777777" w:rsidR="00C63321" w:rsidRPr="00C63321" w:rsidRDefault="00C63321" w:rsidP="00367271">
            <w:pPr>
              <w:autoSpaceDE w:val="0"/>
              <w:autoSpaceDN w:val="0"/>
              <w:adjustRightInd w:val="0"/>
              <w:jc w:val="both"/>
              <w:rPr>
                <w:szCs w:val="24"/>
              </w:rPr>
            </w:pPr>
            <w:r w:rsidRPr="00C63321">
              <w:rPr>
                <w:szCs w:val="24"/>
              </w:rPr>
              <w:t>Pośrednik Finansowy wyraża zainteresowanie kontynuacją prowadzenia funduszu      na zaproponowanych w projekcie aneksu do umowy o dofinansowanie zasadach wynagradzania.</w:t>
            </w:r>
          </w:p>
        </w:tc>
      </w:tr>
    </w:tbl>
    <w:p w14:paraId="4E99675F" w14:textId="77777777" w:rsidR="00C63321" w:rsidRPr="00C63321" w:rsidRDefault="00C63321" w:rsidP="00367271">
      <w:pPr>
        <w:jc w:val="both"/>
        <w:rPr>
          <w:szCs w:val="24"/>
        </w:rPr>
      </w:pPr>
      <w:r w:rsidRPr="00C63321">
        <w:rPr>
          <w:szCs w:val="24"/>
        </w:rPr>
        <w:t xml:space="preserve">Kontrole zakończyły się wynikiem pozytywnym. </w:t>
      </w:r>
    </w:p>
    <w:p w14:paraId="6E1F853F" w14:textId="5931C877" w:rsidR="00C63321" w:rsidRPr="00C63321" w:rsidRDefault="00C63321" w:rsidP="00367271">
      <w:pPr>
        <w:jc w:val="both"/>
        <w:rPr>
          <w:szCs w:val="24"/>
        </w:rPr>
      </w:pPr>
      <w:r w:rsidRPr="00C63321">
        <w:rPr>
          <w:szCs w:val="24"/>
        </w:rPr>
        <w:t xml:space="preserve">Oferta pożyczkowa/ poręczeniowa poszczególnych Beneficjentów </w:t>
      </w:r>
      <w:r w:rsidRPr="00367271">
        <w:rPr>
          <w:i/>
          <w:szCs w:val="24"/>
        </w:rPr>
        <w:t>podziałań 1.1.1 i 6.2.3,</w:t>
      </w:r>
      <w:r w:rsidRPr="00C63321">
        <w:rPr>
          <w:szCs w:val="24"/>
        </w:rPr>
        <w:t xml:space="preserve"> opisana w Biznes Planach została dostosowa</w:t>
      </w:r>
      <w:r w:rsidR="00B3038A">
        <w:rPr>
          <w:szCs w:val="24"/>
        </w:rPr>
        <w:t>na do rzeczywistych potrzeb i</w:t>
      </w:r>
      <w:r w:rsidRPr="00C63321">
        <w:rPr>
          <w:szCs w:val="24"/>
        </w:rPr>
        <w:t xml:space="preserve"> oczekiwań </w:t>
      </w:r>
      <w:r w:rsidRPr="00C63321">
        <w:rPr>
          <w:szCs w:val="24"/>
        </w:rPr>
        <w:lastRenderedPageBreak/>
        <w:t>przedsiębiorców poszczególnych regionów. W rezultacie, w toku wdra</w:t>
      </w:r>
      <w:r w:rsidR="00B3038A">
        <w:rPr>
          <w:szCs w:val="24"/>
        </w:rPr>
        <w:t xml:space="preserve">żania projektów nie odnotowano </w:t>
      </w:r>
      <w:r w:rsidRPr="00C63321">
        <w:rPr>
          <w:szCs w:val="24"/>
        </w:rPr>
        <w:t xml:space="preserve">uwag o niedopasowaniu wsparcia. </w:t>
      </w:r>
    </w:p>
    <w:p w14:paraId="4A47A4A4" w14:textId="77777777" w:rsidR="00C63321" w:rsidRPr="00367271" w:rsidRDefault="00C63321" w:rsidP="00367271">
      <w:pPr>
        <w:jc w:val="both"/>
        <w:rPr>
          <w:b/>
          <w:szCs w:val="24"/>
        </w:rPr>
      </w:pPr>
      <w:r w:rsidRPr="00367271">
        <w:rPr>
          <w:b/>
          <w:szCs w:val="24"/>
        </w:rPr>
        <w:t>Rezultaty</w:t>
      </w:r>
    </w:p>
    <w:p w14:paraId="39841101" w14:textId="77777777" w:rsidR="00C63321" w:rsidRPr="00C63321" w:rsidRDefault="00C63321" w:rsidP="00367271">
      <w:pPr>
        <w:spacing w:after="0"/>
        <w:jc w:val="both"/>
        <w:rPr>
          <w:szCs w:val="24"/>
        </w:rPr>
      </w:pPr>
      <w:r w:rsidRPr="00C63321">
        <w:rPr>
          <w:szCs w:val="24"/>
        </w:rPr>
        <w:t xml:space="preserve">W ramach wdrażanych instrumentów finansowych w perspektywie 2007-2013 dostęp do kapitału zewnętrznego doprowadził do szybszego wzrostu i poprawy konkurencyjności przedsiębiorstw w województwie śląskim. </w:t>
      </w:r>
    </w:p>
    <w:p w14:paraId="1A8D1CA5" w14:textId="77777777" w:rsidR="00C63321" w:rsidRPr="00C63321" w:rsidRDefault="00C63321" w:rsidP="00367271">
      <w:pPr>
        <w:spacing w:after="0"/>
        <w:jc w:val="both"/>
        <w:rPr>
          <w:szCs w:val="24"/>
        </w:rPr>
      </w:pPr>
      <w:r w:rsidRPr="00C63321">
        <w:rPr>
          <w:szCs w:val="24"/>
        </w:rPr>
        <w:t>Natomiast z  finansowania w ramach Inicjatywy JESSICA mogły  skorzystać zarówno podmioty sektora publicznego jak i inwestorzy prywatni. Podjęcie decyzji o korzystaniu ze środków JESSICA:</w:t>
      </w:r>
    </w:p>
    <w:p w14:paraId="3290B225" w14:textId="35F06D91" w:rsidR="00C63321" w:rsidRPr="005C0A5F" w:rsidRDefault="00C63321" w:rsidP="00367271">
      <w:pPr>
        <w:pStyle w:val="Akapitzlist"/>
        <w:numPr>
          <w:ilvl w:val="0"/>
          <w:numId w:val="93"/>
        </w:numPr>
        <w:spacing w:after="0"/>
        <w:jc w:val="both"/>
        <w:rPr>
          <w:szCs w:val="24"/>
        </w:rPr>
      </w:pPr>
      <w:r w:rsidRPr="005C0A5F">
        <w:rPr>
          <w:szCs w:val="24"/>
        </w:rPr>
        <w:t>powodowało  większe niż w przypadku dotacji przemyślenie celu, oraz zasadności podjęcia inwestycji,</w:t>
      </w:r>
    </w:p>
    <w:p w14:paraId="740F04DD" w14:textId="2014C265" w:rsidR="00C63321" w:rsidRPr="005C0A5F" w:rsidRDefault="00C63321" w:rsidP="00367271">
      <w:pPr>
        <w:pStyle w:val="Akapitzlist"/>
        <w:numPr>
          <w:ilvl w:val="0"/>
          <w:numId w:val="93"/>
        </w:numPr>
        <w:spacing w:after="0"/>
        <w:jc w:val="both"/>
        <w:rPr>
          <w:szCs w:val="24"/>
        </w:rPr>
      </w:pPr>
      <w:r w:rsidRPr="005C0A5F">
        <w:rPr>
          <w:szCs w:val="24"/>
        </w:rPr>
        <w:t>zmierzało w kierunku racjonalnego gospodar</w:t>
      </w:r>
      <w:r w:rsidR="00440CAD">
        <w:rPr>
          <w:szCs w:val="24"/>
        </w:rPr>
        <w:t>owania zasobami samorządów, i w </w:t>
      </w:r>
      <w:r w:rsidRPr="005C0A5F">
        <w:rPr>
          <w:szCs w:val="24"/>
        </w:rPr>
        <w:t>ogólności w stronę nowoczesnego zarządzania JST,</w:t>
      </w:r>
    </w:p>
    <w:p w14:paraId="7F3A80CD" w14:textId="4534BAA5" w:rsidR="00C63321" w:rsidRPr="005C0A5F" w:rsidRDefault="00C63321" w:rsidP="00367271">
      <w:pPr>
        <w:pStyle w:val="Akapitzlist"/>
        <w:numPr>
          <w:ilvl w:val="0"/>
          <w:numId w:val="93"/>
        </w:numPr>
        <w:spacing w:after="120"/>
        <w:ind w:left="714" w:hanging="357"/>
        <w:jc w:val="both"/>
        <w:rPr>
          <w:szCs w:val="24"/>
        </w:rPr>
      </w:pPr>
      <w:r w:rsidRPr="005C0A5F">
        <w:rPr>
          <w:szCs w:val="24"/>
        </w:rPr>
        <w:t xml:space="preserve">stanowiło stanowi dodatkowe źródło atrakcyjnych na rynku innych instrumentów zwrotnych dla przedsiębiorców z MSP. </w:t>
      </w:r>
    </w:p>
    <w:p w14:paraId="026C35AF" w14:textId="22129266" w:rsidR="00C63321" w:rsidRPr="00C63321" w:rsidRDefault="00C63321" w:rsidP="00367271">
      <w:pPr>
        <w:spacing w:after="0"/>
        <w:jc w:val="both"/>
        <w:rPr>
          <w:szCs w:val="24"/>
        </w:rPr>
      </w:pPr>
      <w:r w:rsidRPr="00C63321">
        <w:rPr>
          <w:szCs w:val="24"/>
        </w:rPr>
        <w:t>Inicjatywa JESSICA objęła mniejszy obszar niż pierwotnie zakładano. Jednak biorąc pod uwagę, że rewitalizacja to nie punktowo zlokalizowane projekty, ale proces realizacji powiązanych ze sobą przedsięwzięć (zarówno infrastrukturalnych, jak i społecznych), które mają przyczynić się do osiągnięcia efektu synergii istotne znaczenie ma również obszar oddziaływania projektu. Zrealizowane projekty wpisują się w wiązkę projektów rewitalizacyjnych, są ze sobą komplementarne i i</w:t>
      </w:r>
      <w:r w:rsidR="00906FD5">
        <w:rPr>
          <w:szCs w:val="24"/>
        </w:rPr>
        <w:t>ch realizacja przyczynia się do </w:t>
      </w:r>
      <w:r w:rsidRPr="00C63321">
        <w:rPr>
          <w:szCs w:val="24"/>
        </w:rPr>
        <w:t>wyprowadzenia ze stanu kryzysowego obszaru zdegradowanego. Dlatego oceniając rezultaty odziaływania poszczególnych projektów niezbędne jest uwzględnienie nie tylko t</w:t>
      </w:r>
      <w:r w:rsidRPr="002E0934">
        <w:rPr>
          <w:szCs w:val="24"/>
        </w:rPr>
        <w:t>erenów objętych bezpośrednio działaniami rewitalizacyjnymi, ale większy obszar na którym odnotowano pozytywne zmiany będące wynikiem realizacji d</w:t>
      </w:r>
      <w:r w:rsidRPr="00345716">
        <w:rPr>
          <w:szCs w:val="24"/>
        </w:rPr>
        <w:t>anego projektu tzw. o</w:t>
      </w:r>
      <w:r w:rsidRPr="00C63321">
        <w:rPr>
          <w:szCs w:val="24"/>
        </w:rPr>
        <w:t>ddziaływanie na powierzchnię sąsiadująca - wystąpienie pozytywnego  efektu sąsiedztwa. Efekty te powstają wówczas, gdy działania jednego podmiotu</w:t>
      </w:r>
      <w:r w:rsidR="00906FD5">
        <w:rPr>
          <w:szCs w:val="24"/>
        </w:rPr>
        <w:t xml:space="preserve"> przysparzają korzyści innym, a </w:t>
      </w:r>
      <w:r w:rsidRPr="00C63321">
        <w:rPr>
          <w:szCs w:val="24"/>
        </w:rPr>
        <w:t>nie są rekompensowane odpowiednią płatnością. Przykładowo:</w:t>
      </w:r>
    </w:p>
    <w:p w14:paraId="0C541BC5" w14:textId="544C75B2" w:rsidR="00C63321" w:rsidRPr="00B4394D" w:rsidRDefault="00C63321" w:rsidP="00367271">
      <w:pPr>
        <w:pStyle w:val="Akapitzlist"/>
        <w:numPr>
          <w:ilvl w:val="0"/>
          <w:numId w:val="95"/>
        </w:numPr>
        <w:spacing w:after="0"/>
        <w:jc w:val="both"/>
        <w:rPr>
          <w:szCs w:val="24"/>
        </w:rPr>
      </w:pPr>
      <w:r w:rsidRPr="005C0A5F">
        <w:rPr>
          <w:szCs w:val="24"/>
        </w:rPr>
        <w:t xml:space="preserve">budowa placów zabaw, kortów i boisk </w:t>
      </w:r>
      <w:r w:rsidRPr="002E0934">
        <w:rPr>
          <w:szCs w:val="24"/>
        </w:rPr>
        <w:t xml:space="preserve">oraz instalacja monitoringu wizyjnego poszerzyła pojęcie zrewitalizowanego terenu do miejsc, gdzie dzięki projektowi nastąpiła poprawa bezpieczeństwa publicznego, podniesie funkcjonalności i estetyki przestrzeni oraz </w:t>
      </w:r>
      <w:r w:rsidRPr="00345716">
        <w:rPr>
          <w:szCs w:val="24"/>
        </w:rPr>
        <w:t>zwiększyła się oferta spędzania czasu wolnego;</w:t>
      </w:r>
    </w:p>
    <w:p w14:paraId="11BA19F5" w14:textId="1949BC3F" w:rsidR="00C63321" w:rsidRPr="00436FC7" w:rsidRDefault="00C63321" w:rsidP="00367271">
      <w:pPr>
        <w:pStyle w:val="Akapitzlist"/>
        <w:numPr>
          <w:ilvl w:val="0"/>
          <w:numId w:val="94"/>
        </w:numPr>
        <w:spacing w:after="0"/>
        <w:jc w:val="both"/>
        <w:rPr>
          <w:szCs w:val="24"/>
        </w:rPr>
      </w:pPr>
      <w:r w:rsidRPr="00141B0A">
        <w:rPr>
          <w:szCs w:val="24"/>
        </w:rPr>
        <w:t xml:space="preserve">uporządkowywanie przez właściciela zaniedbanego terenu podniesie poziom bezpieczeństwa publicznego na terenach przyległych; </w:t>
      </w:r>
    </w:p>
    <w:p w14:paraId="2B8277C1" w14:textId="3A75BAAC" w:rsidR="00C63321" w:rsidRPr="00C7108F" w:rsidRDefault="00C63321" w:rsidP="00367271">
      <w:pPr>
        <w:pStyle w:val="Akapitzlist"/>
        <w:numPr>
          <w:ilvl w:val="0"/>
          <w:numId w:val="94"/>
        </w:numPr>
        <w:spacing w:after="0"/>
        <w:jc w:val="both"/>
        <w:rPr>
          <w:szCs w:val="24"/>
        </w:rPr>
      </w:pPr>
      <w:r w:rsidRPr="00534A43">
        <w:rPr>
          <w:szCs w:val="24"/>
        </w:rPr>
        <w:t>rewitalizacja miejskiego rynku przyniesie większe o</w:t>
      </w:r>
      <w:r w:rsidRPr="002B2F3B">
        <w:rPr>
          <w:szCs w:val="24"/>
        </w:rPr>
        <w:t xml:space="preserve">broty i dochody restauratorom, hotelarzom i handlowcom działającym w sąsiedztwie. </w:t>
      </w:r>
    </w:p>
    <w:p w14:paraId="4738F4B4" w14:textId="77777777" w:rsidR="00C63321" w:rsidRPr="00C63321" w:rsidRDefault="00C63321" w:rsidP="00367271">
      <w:pPr>
        <w:spacing w:after="0"/>
        <w:jc w:val="both"/>
        <w:rPr>
          <w:szCs w:val="24"/>
        </w:rPr>
      </w:pPr>
      <w:r w:rsidRPr="00FA754D">
        <w:rPr>
          <w:szCs w:val="24"/>
        </w:rPr>
        <w:t>Dodatkowo realizacja projektów doprowadziła do utworzenia wielu nowych miejsc pracy związanych z prowadzoną działalnością na zrewitalizowanych terenach. Należy stwierdzić</w:t>
      </w:r>
      <w:r w:rsidRPr="0080514C">
        <w:rPr>
          <w:szCs w:val="24"/>
        </w:rPr>
        <w:t>, że istotą procesu rewitalizacji powinno być generowanie tego typu korzyści.</w:t>
      </w:r>
    </w:p>
    <w:p w14:paraId="6F106774" w14:textId="5C130CB8" w:rsidR="00C63321" w:rsidRPr="00C63321" w:rsidRDefault="00C63321" w:rsidP="00367271">
      <w:pPr>
        <w:spacing w:after="0"/>
        <w:jc w:val="both"/>
        <w:rPr>
          <w:szCs w:val="24"/>
        </w:rPr>
      </w:pPr>
      <w:r w:rsidRPr="00C63321">
        <w:rPr>
          <w:szCs w:val="24"/>
        </w:rPr>
        <w:t>Mając na uwadze powyższe należy stwierdzić, że projekty miejskie realizow</w:t>
      </w:r>
      <w:r w:rsidR="005C0A5F">
        <w:rPr>
          <w:szCs w:val="24"/>
        </w:rPr>
        <w:t xml:space="preserve">ane w ramach Podziałania 6.2.3 </w:t>
      </w:r>
      <w:r w:rsidRPr="00C63321">
        <w:rPr>
          <w:szCs w:val="24"/>
        </w:rPr>
        <w:t>przyczyniły się do trwałego i zrównoważonego</w:t>
      </w:r>
      <w:r w:rsidR="001330A8">
        <w:rPr>
          <w:szCs w:val="24"/>
        </w:rPr>
        <w:t xml:space="preserve"> rozwoju miejskiego w </w:t>
      </w:r>
      <w:r w:rsidRPr="00C63321">
        <w:rPr>
          <w:szCs w:val="24"/>
        </w:rPr>
        <w:t>województwie śląskim.</w:t>
      </w:r>
    </w:p>
    <w:p w14:paraId="3C47E3A1" w14:textId="77777777" w:rsidR="001915C3" w:rsidRPr="008B2457" w:rsidRDefault="00D65FC5" w:rsidP="0021401A">
      <w:pPr>
        <w:pStyle w:val="Nagwek1"/>
        <w:numPr>
          <w:ilvl w:val="3"/>
          <w:numId w:val="40"/>
        </w:numPr>
        <w:tabs>
          <w:tab w:val="left" w:pos="1985"/>
        </w:tabs>
        <w:spacing w:before="120" w:after="120"/>
        <w:ind w:left="1134"/>
        <w:jc w:val="both"/>
        <w:rPr>
          <w:szCs w:val="24"/>
          <w:lang w:eastAsia="ar-SA"/>
        </w:rPr>
      </w:pPr>
      <w:bookmarkStart w:id="123" w:name="_Toc324786809"/>
      <w:bookmarkStart w:id="124" w:name="_Toc324853867"/>
      <w:bookmarkStart w:id="125" w:name="_Toc391466345"/>
      <w:bookmarkStart w:id="126" w:name="_Toc423351761"/>
      <w:bookmarkStart w:id="127" w:name="_Toc473117314"/>
      <w:bookmarkStart w:id="128" w:name="_Toc477779754"/>
      <w:bookmarkEnd w:id="123"/>
      <w:bookmarkEnd w:id="124"/>
      <w:r w:rsidRPr="008B2457">
        <w:rPr>
          <w:szCs w:val="24"/>
          <w:lang w:eastAsia="ar-SA"/>
        </w:rPr>
        <w:lastRenderedPageBreak/>
        <w:t>Realizacja założeń S</w:t>
      </w:r>
      <w:r w:rsidR="00173F77" w:rsidRPr="008B2457">
        <w:rPr>
          <w:szCs w:val="24"/>
          <w:lang w:eastAsia="ar-SA"/>
        </w:rPr>
        <w:t>trategii EU 2020</w:t>
      </w:r>
      <w:bookmarkEnd w:id="125"/>
      <w:bookmarkEnd w:id="126"/>
      <w:bookmarkEnd w:id="127"/>
      <w:bookmarkEnd w:id="128"/>
    </w:p>
    <w:p w14:paraId="027B336A" w14:textId="77777777" w:rsidR="00A227B6" w:rsidRDefault="00A227B6" w:rsidP="00A227B6">
      <w:pPr>
        <w:autoSpaceDE w:val="0"/>
        <w:autoSpaceDN w:val="0"/>
        <w:adjustRightInd w:val="0"/>
        <w:spacing w:after="120"/>
        <w:jc w:val="both"/>
        <w:rPr>
          <w:szCs w:val="24"/>
        </w:rPr>
      </w:pPr>
      <w:bookmarkStart w:id="129" w:name="_Toc355688722"/>
      <w:r w:rsidRPr="00A227B6">
        <w:rPr>
          <w:szCs w:val="24"/>
        </w:rPr>
        <w:t xml:space="preserve">Strategia EU 2020 jest kontynuacją wizji rozwoju nakreślonej przez Strategię Lizbońską. Analizując założenia Strategii EU 2020 można stwierdzić, że ponad 95% alokacji RPO WSL wpisuje się w realizację poszczególnych inicjatyw flagowych Strategii, wyjątkiem jest inicjatywa </w:t>
      </w:r>
      <w:r w:rsidRPr="00A227B6">
        <w:rPr>
          <w:i/>
          <w:szCs w:val="24"/>
        </w:rPr>
        <w:t>Program na rzecz nowych umiejętności i zatrudnienia</w:t>
      </w:r>
      <w:r w:rsidRPr="00A227B6">
        <w:rPr>
          <w:szCs w:val="24"/>
        </w:rPr>
        <w:t xml:space="preserve">, która wdrażana jest w regionie przez PO KL. </w:t>
      </w:r>
    </w:p>
    <w:p w14:paraId="0E8F0035" w14:textId="77777777" w:rsidR="00FB2805" w:rsidRPr="00A227B6" w:rsidRDefault="00FB2805" w:rsidP="00A227B6">
      <w:pPr>
        <w:autoSpaceDE w:val="0"/>
        <w:autoSpaceDN w:val="0"/>
        <w:adjustRightInd w:val="0"/>
        <w:spacing w:after="120"/>
        <w:jc w:val="both"/>
        <w:rPr>
          <w:szCs w:val="24"/>
        </w:rPr>
      </w:pPr>
    </w:p>
    <w:p w14:paraId="4B700947" w14:textId="77777777" w:rsidR="00A227B6" w:rsidRPr="00A227B6" w:rsidRDefault="00A227B6" w:rsidP="00B3038A">
      <w:pPr>
        <w:autoSpaceDE w:val="0"/>
        <w:autoSpaceDN w:val="0"/>
        <w:adjustRightInd w:val="0"/>
        <w:spacing w:after="120"/>
        <w:jc w:val="both"/>
        <w:rPr>
          <w:rFonts w:eastAsia="Calibri"/>
          <w:szCs w:val="24"/>
        </w:rPr>
      </w:pPr>
      <w:r w:rsidRPr="00A227B6">
        <w:rPr>
          <w:rFonts w:eastAsia="Calibri"/>
          <w:szCs w:val="24"/>
        </w:rPr>
        <w:t xml:space="preserve">Dodatkowe informacje zostały przedstawione w </w:t>
      </w:r>
      <w:r w:rsidRPr="00A227B6">
        <w:rPr>
          <w:rFonts w:eastAsia="Calibri"/>
          <w:i/>
          <w:iCs/>
          <w:szCs w:val="24"/>
        </w:rPr>
        <w:t xml:space="preserve">załączniku nr VI </w:t>
      </w:r>
      <w:r w:rsidRPr="00A227B6">
        <w:rPr>
          <w:rFonts w:eastAsia="Calibri"/>
          <w:iCs/>
          <w:szCs w:val="24"/>
        </w:rPr>
        <w:t>do sprawozdania</w:t>
      </w:r>
      <w:r w:rsidRPr="00A227B6">
        <w:rPr>
          <w:rFonts w:eastAsia="Calibri"/>
          <w:i/>
          <w:iCs/>
          <w:szCs w:val="24"/>
        </w:rPr>
        <w:t xml:space="preserve"> Tabela 6 Matryca priorytetów, obszarów, celów i inicjatyw flagowych Strategii Europa 2020 oraz kategorii interwencji realizowanych w okresie programowania 2007-2013</w:t>
      </w:r>
      <w:r w:rsidRPr="00A227B6">
        <w:rPr>
          <w:rFonts w:eastAsia="Calibri"/>
          <w:szCs w:val="24"/>
        </w:rPr>
        <w:t xml:space="preserve">. </w:t>
      </w:r>
    </w:p>
    <w:p w14:paraId="2420C33C" w14:textId="3374214F" w:rsidR="00A227B6" w:rsidRDefault="00A227B6">
      <w:pPr>
        <w:autoSpaceDE w:val="0"/>
        <w:autoSpaceDN w:val="0"/>
        <w:adjustRightInd w:val="0"/>
        <w:spacing w:after="120"/>
        <w:jc w:val="both"/>
        <w:rPr>
          <w:szCs w:val="24"/>
        </w:rPr>
      </w:pPr>
      <w:r w:rsidRPr="00A227B6">
        <w:rPr>
          <w:szCs w:val="24"/>
        </w:rPr>
        <w:t>IZ RPO WSL stara</w:t>
      </w:r>
      <w:r w:rsidR="00EE50E2">
        <w:rPr>
          <w:szCs w:val="24"/>
        </w:rPr>
        <w:t>ła</w:t>
      </w:r>
      <w:r w:rsidRPr="00A227B6">
        <w:rPr>
          <w:szCs w:val="24"/>
        </w:rPr>
        <w:t xml:space="preserve"> się zapewnić zgodność projektów realizowanych w ramach RPO WSL</w:t>
      </w:r>
      <w:r>
        <w:rPr>
          <w:szCs w:val="24"/>
        </w:rPr>
        <w:t xml:space="preserve"> ze </w:t>
      </w:r>
      <w:r w:rsidRPr="00A227B6">
        <w:rPr>
          <w:szCs w:val="24"/>
        </w:rPr>
        <w:t>strategiami UE, a tym samym zagwarantować ich pozytywny wpływ na realizację celów tych strategii. Na różnych etapach wdrażania pro</w:t>
      </w:r>
      <w:r w:rsidR="008B2457">
        <w:rPr>
          <w:szCs w:val="24"/>
        </w:rPr>
        <w:t>jektów – od wyboru projektów do </w:t>
      </w:r>
      <w:r w:rsidRPr="00A227B6">
        <w:rPr>
          <w:szCs w:val="24"/>
        </w:rPr>
        <w:t>dofinansowania po zapewnienie trwałośc</w:t>
      </w:r>
      <w:r w:rsidR="00EE50E2">
        <w:rPr>
          <w:szCs w:val="24"/>
        </w:rPr>
        <w:t>i osiągniętych celów, IZ stosowała</w:t>
      </w:r>
      <w:r w:rsidRPr="00A227B6">
        <w:rPr>
          <w:szCs w:val="24"/>
        </w:rPr>
        <w:t xml:space="preserve"> szereg mechanizmów. Na pierwszym etapie (od złożenia wniosku do podpisania umowy) kluczową rolę w weryfikacji pełni</w:t>
      </w:r>
      <w:r w:rsidR="00EE50E2">
        <w:rPr>
          <w:szCs w:val="24"/>
        </w:rPr>
        <w:t>ł</w:t>
      </w:r>
      <w:r w:rsidRPr="00A227B6">
        <w:rPr>
          <w:szCs w:val="24"/>
        </w:rPr>
        <w:t xml:space="preserve"> etap oceny projektów, natomiast po rozpoczęc</w:t>
      </w:r>
      <w:r w:rsidR="00EE50E2">
        <w:rPr>
          <w:szCs w:val="24"/>
        </w:rPr>
        <w:t>iu procesu wdrażania IZ dokonywała</w:t>
      </w:r>
      <w:r w:rsidRPr="00A227B6">
        <w:rPr>
          <w:szCs w:val="24"/>
        </w:rPr>
        <w:t xml:space="preserve"> regularnych kontroli.</w:t>
      </w:r>
    </w:p>
    <w:p w14:paraId="221014F6" w14:textId="262CE41C" w:rsidR="006D6677" w:rsidRDefault="006D6677" w:rsidP="00367271">
      <w:pPr>
        <w:jc w:val="both"/>
      </w:pPr>
      <w:r>
        <w:t>Od uruchomienia programu do końca 2016 r. we wdrażanie wyznaczonych w Strategii</w:t>
      </w:r>
      <w:r w:rsidR="00B3038A">
        <w:t xml:space="preserve"> EU 2020</w:t>
      </w:r>
      <w:r>
        <w:t xml:space="preserve"> inicjatyw flagowych zaang</w:t>
      </w:r>
      <w:r w:rsidRPr="00B3038A">
        <w:t xml:space="preserve">ażowanych było </w:t>
      </w:r>
      <w:r w:rsidRPr="00367271">
        <w:rPr>
          <w:bCs/>
        </w:rPr>
        <w:t xml:space="preserve">4954 </w:t>
      </w:r>
      <w:r w:rsidRPr="00B3038A">
        <w:t>zakontraktowanych projektów, o wartości dofinansowania z EFFR</w:t>
      </w:r>
      <w:r w:rsidR="00B3038A" w:rsidRPr="00B3038A">
        <w:t xml:space="preserve"> </w:t>
      </w:r>
      <w:r w:rsidR="00B3038A" w:rsidRPr="006D6677">
        <w:rPr>
          <w:bCs/>
        </w:rPr>
        <w:t>1</w:t>
      </w:r>
      <w:r w:rsidR="00B3038A">
        <w:rPr>
          <w:bCs/>
        </w:rPr>
        <w:t> </w:t>
      </w:r>
      <w:r w:rsidR="00B3038A" w:rsidRPr="006D6677">
        <w:rPr>
          <w:bCs/>
        </w:rPr>
        <w:t>606</w:t>
      </w:r>
      <w:r w:rsidR="00B3038A">
        <w:rPr>
          <w:bCs/>
        </w:rPr>
        <w:t>,</w:t>
      </w:r>
      <w:r w:rsidR="00B3038A" w:rsidRPr="006D6677">
        <w:rPr>
          <w:bCs/>
        </w:rPr>
        <w:t>05 mln</w:t>
      </w:r>
      <w:r w:rsidRPr="00367271">
        <w:rPr>
          <w:bCs/>
        </w:rPr>
        <w:t xml:space="preserve"> EUR</w:t>
      </w:r>
      <w:r w:rsidRPr="00B3038A">
        <w:t xml:space="preserve">. </w:t>
      </w:r>
      <w:r w:rsidRPr="006D6677">
        <w:t xml:space="preserve">Najwięcej środków zakontraktowano </w:t>
      </w:r>
      <w:r w:rsidRPr="00367271">
        <w:rPr>
          <w:bCs/>
        </w:rPr>
        <w:t>(646</w:t>
      </w:r>
      <w:r>
        <w:rPr>
          <w:bCs/>
        </w:rPr>
        <w:t>,75 mln</w:t>
      </w:r>
      <w:r w:rsidRPr="00367271">
        <w:rPr>
          <w:bCs/>
        </w:rPr>
        <w:t xml:space="preserve"> EUR) </w:t>
      </w:r>
      <w:r w:rsidRPr="00B3038A">
        <w:t xml:space="preserve">w ramach inicjatywy </w:t>
      </w:r>
      <w:r w:rsidRPr="00367271">
        <w:rPr>
          <w:bCs/>
          <w:i/>
        </w:rPr>
        <w:t>Europa efektywnie korzystająca z zasobów</w:t>
      </w:r>
      <w:r>
        <w:t xml:space="preserve">. </w:t>
      </w:r>
    </w:p>
    <w:p w14:paraId="120EB2DE" w14:textId="27C6827F" w:rsidR="006D6677" w:rsidRDefault="006D6677" w:rsidP="00367271">
      <w:pPr>
        <w:jc w:val="both"/>
      </w:pPr>
      <w:r>
        <w:t>Poniżej na wykresie zaprezentowano realizację Strategii Europa 2020</w:t>
      </w:r>
      <w:r w:rsidR="00B3038A">
        <w:t xml:space="preserve"> w ramach RPO WSL w podziale na inicjatywy flagowe UE</w:t>
      </w:r>
      <w:r>
        <w:t>.</w:t>
      </w:r>
    </w:p>
    <w:p w14:paraId="734A6DD2" w14:textId="4051159B" w:rsidR="006D6677" w:rsidRDefault="006D6677" w:rsidP="00367271">
      <w:pPr>
        <w:jc w:val="center"/>
        <w:rPr>
          <w:sz w:val="22"/>
        </w:rPr>
      </w:pPr>
      <w:r>
        <w:rPr>
          <w:noProof/>
        </w:rPr>
        <w:lastRenderedPageBreak/>
        <w:drawing>
          <wp:inline distT="0" distB="0" distL="0" distR="0" wp14:anchorId="01B6A079" wp14:editId="288596B5">
            <wp:extent cx="6191250" cy="7058025"/>
            <wp:effectExtent l="0" t="0" r="0" b="0"/>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103A785" w14:textId="71A40B24" w:rsidR="00367271" w:rsidRPr="00367271" w:rsidRDefault="00367271" w:rsidP="00367271">
      <w:pPr>
        <w:pStyle w:val="Legenda"/>
        <w:rPr>
          <w:color w:val="auto"/>
          <w:sz w:val="20"/>
          <w:szCs w:val="20"/>
        </w:rPr>
      </w:pPr>
      <w:r w:rsidRPr="00367271">
        <w:rPr>
          <w:color w:val="auto"/>
          <w:sz w:val="20"/>
          <w:szCs w:val="20"/>
        </w:rPr>
        <w:t xml:space="preserve">Rysunek </w:t>
      </w:r>
      <w:r w:rsidRPr="00367271">
        <w:rPr>
          <w:color w:val="auto"/>
          <w:sz w:val="20"/>
          <w:szCs w:val="20"/>
        </w:rPr>
        <w:fldChar w:fldCharType="begin"/>
      </w:r>
      <w:r w:rsidRPr="00367271">
        <w:rPr>
          <w:color w:val="auto"/>
          <w:sz w:val="20"/>
          <w:szCs w:val="20"/>
        </w:rPr>
        <w:instrText xml:space="preserve"> SEQ Rysunek \* ARABIC </w:instrText>
      </w:r>
      <w:r w:rsidRPr="00367271">
        <w:rPr>
          <w:color w:val="auto"/>
          <w:sz w:val="20"/>
          <w:szCs w:val="20"/>
        </w:rPr>
        <w:fldChar w:fldCharType="separate"/>
      </w:r>
      <w:r w:rsidR="0050297D">
        <w:rPr>
          <w:noProof/>
          <w:color w:val="auto"/>
          <w:sz w:val="20"/>
          <w:szCs w:val="20"/>
        </w:rPr>
        <w:t>7</w:t>
      </w:r>
      <w:r w:rsidRPr="00367271">
        <w:rPr>
          <w:color w:val="auto"/>
          <w:sz w:val="20"/>
          <w:szCs w:val="20"/>
        </w:rPr>
        <w:fldChar w:fldCharType="end"/>
      </w:r>
      <w:r w:rsidRPr="00367271">
        <w:rPr>
          <w:color w:val="auto"/>
          <w:sz w:val="20"/>
          <w:szCs w:val="20"/>
        </w:rPr>
        <w:t xml:space="preserve"> </w:t>
      </w:r>
      <w:r w:rsidRPr="00367271">
        <w:rPr>
          <w:b w:val="0"/>
          <w:i/>
          <w:color w:val="auto"/>
          <w:sz w:val="20"/>
          <w:szCs w:val="20"/>
        </w:rPr>
        <w:t>Realizacja Strategii Europa 2020</w:t>
      </w:r>
    </w:p>
    <w:p w14:paraId="2F5EB3EF" w14:textId="4753C28C" w:rsidR="001E62D6" w:rsidRDefault="00A227B6" w:rsidP="00A44293">
      <w:pPr>
        <w:jc w:val="both"/>
        <w:rPr>
          <w:szCs w:val="24"/>
        </w:rPr>
      </w:pPr>
      <w:r w:rsidRPr="00A227B6">
        <w:rPr>
          <w:szCs w:val="24"/>
        </w:rPr>
        <w:t>Poniżej przedstawiono wybrane przykłady tzw. dobre praktyki w postaci projektów objętych dofinansowaniem RPO WSL, które przyczyniają się do realizacji inicjatyw flagowych Strategii EU 2020.</w:t>
      </w:r>
      <w:bookmarkStart w:id="130" w:name="_Toc423351762"/>
    </w:p>
    <w:p w14:paraId="0DF0DDD8" w14:textId="77777777" w:rsidR="0018564D" w:rsidRDefault="0018564D">
      <w:pPr>
        <w:spacing w:after="0" w:line="240" w:lineRule="auto"/>
        <w:rPr>
          <w:b/>
          <w:bCs/>
          <w:szCs w:val="24"/>
        </w:rPr>
      </w:pPr>
      <w:bookmarkStart w:id="131" w:name="_Toc473117315"/>
      <w:r>
        <w:rPr>
          <w:szCs w:val="24"/>
        </w:rPr>
        <w:br w:type="page"/>
      </w:r>
    </w:p>
    <w:p w14:paraId="667BD575" w14:textId="6064968F" w:rsidR="00A227B6" w:rsidRPr="00B40919" w:rsidRDefault="00A227B6" w:rsidP="00BF365E">
      <w:pPr>
        <w:pStyle w:val="Nagwek2"/>
        <w:numPr>
          <w:ilvl w:val="0"/>
          <w:numId w:val="0"/>
        </w:numPr>
        <w:rPr>
          <w:sz w:val="24"/>
          <w:szCs w:val="24"/>
        </w:rPr>
      </w:pPr>
      <w:bookmarkStart w:id="132" w:name="_Toc477779755"/>
      <w:r w:rsidRPr="00B40919">
        <w:rPr>
          <w:sz w:val="24"/>
          <w:szCs w:val="24"/>
        </w:rPr>
        <w:lastRenderedPageBreak/>
        <w:t>Ważne otwarcie w Fundacji Rozwoju Kardiochirurgii</w:t>
      </w:r>
      <w:bookmarkEnd w:id="130"/>
      <w:bookmarkEnd w:id="131"/>
      <w:bookmarkEnd w:id="132"/>
    </w:p>
    <w:p w14:paraId="37B8C8E4" w14:textId="77777777" w:rsidR="00A227B6" w:rsidRPr="00B40919" w:rsidRDefault="00A227B6" w:rsidP="00A227B6">
      <w:pPr>
        <w:spacing w:after="0"/>
        <w:jc w:val="both"/>
        <w:rPr>
          <w:szCs w:val="24"/>
        </w:rPr>
      </w:pPr>
      <w:r>
        <w:rPr>
          <w:noProof/>
        </w:rPr>
        <w:drawing>
          <wp:anchor distT="0" distB="0" distL="114300" distR="114300" simplePos="0" relativeHeight="251658240" behindDoc="1" locked="0" layoutInCell="1" allowOverlap="1" wp14:anchorId="4AD2F233" wp14:editId="19A26346">
            <wp:simplePos x="0" y="0"/>
            <wp:positionH relativeFrom="column">
              <wp:posOffset>14605</wp:posOffset>
            </wp:positionH>
            <wp:positionV relativeFrom="paragraph">
              <wp:posOffset>-4445</wp:posOffset>
            </wp:positionV>
            <wp:extent cx="2209800" cy="1733550"/>
            <wp:effectExtent l="19050" t="0" r="0" b="0"/>
            <wp:wrapTight wrapText="bothSides">
              <wp:wrapPolygon edited="0">
                <wp:start x="-186" y="0"/>
                <wp:lineTo x="-186" y="21363"/>
                <wp:lineTo x="21600" y="21363"/>
                <wp:lineTo x="21600" y="0"/>
                <wp:lineTo x="-186" y="0"/>
              </wp:wrapPolygon>
            </wp:wrapTight>
            <wp:docPr id="4" name="zdj1" descr="zdj. F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j1" descr="zdj. FRK"/>
                    <pic:cNvPicPr>
                      <a:picLocks noChangeAspect="1" noChangeArrowheads="1"/>
                    </pic:cNvPicPr>
                  </pic:nvPicPr>
                  <pic:blipFill>
                    <a:blip r:embed="rId41" cstate="print"/>
                    <a:srcRect/>
                    <a:stretch>
                      <a:fillRect/>
                    </a:stretch>
                  </pic:blipFill>
                  <pic:spPr bwMode="auto">
                    <a:xfrm>
                      <a:off x="0" y="0"/>
                      <a:ext cx="2209800" cy="1733550"/>
                    </a:xfrm>
                    <a:prstGeom prst="rect">
                      <a:avLst/>
                    </a:prstGeom>
                    <a:noFill/>
                    <a:ln w="9525">
                      <a:noFill/>
                      <a:miter lim="800000"/>
                      <a:headEnd/>
                      <a:tailEnd/>
                    </a:ln>
                  </pic:spPr>
                </pic:pic>
              </a:graphicData>
            </a:graphic>
          </wp:anchor>
        </w:drawing>
      </w:r>
      <w:r w:rsidRPr="008A4E3B">
        <w:rPr>
          <w:szCs w:val="24"/>
        </w:rPr>
        <w:t>7 maja 2013 w Fundacji Rozwoju Kardiochirurgii im. prof. Zbigniewa Relig</w:t>
      </w:r>
      <w:r>
        <w:rPr>
          <w:szCs w:val="24"/>
        </w:rPr>
        <w:t xml:space="preserve">i w Zabrzu odbyło się oficjalne </w:t>
      </w:r>
      <w:r w:rsidRPr="008A4E3B">
        <w:rPr>
          <w:szCs w:val="24"/>
        </w:rPr>
        <w:t>otwarcie Laboratorium Technologicznego.</w:t>
      </w:r>
      <w:r>
        <w:rPr>
          <w:szCs w:val="24"/>
        </w:rPr>
        <w:t xml:space="preserve"> </w:t>
      </w:r>
      <w:r w:rsidRPr="008A4E3B">
        <w:rPr>
          <w:szCs w:val="24"/>
        </w:rPr>
        <w:t>Laborator</w:t>
      </w:r>
      <w:r>
        <w:rPr>
          <w:szCs w:val="24"/>
        </w:rPr>
        <w:t xml:space="preserve">ium powstało w ramach projektu </w:t>
      </w:r>
      <w:r w:rsidRPr="00B40919">
        <w:rPr>
          <w:i/>
          <w:szCs w:val="24"/>
        </w:rPr>
        <w:t>Przebudowa i doposażenie w aparaturę specjalistyczną części budynku na potrzeby Laboratorium Technologicznego Pracowni Sztucznego Serca w ramach CD Fundacji Rozwoju Kardiochirurgii w Zabrzu</w:t>
      </w:r>
      <w:r w:rsidRPr="008A4E3B">
        <w:rPr>
          <w:szCs w:val="24"/>
        </w:rPr>
        <w:t>. Prace objęły przebudowę i adaptację pomieszczeń o powierzchni 200 m</w:t>
      </w:r>
      <w:r w:rsidRPr="0046349B">
        <w:rPr>
          <w:szCs w:val="24"/>
          <w:vertAlign w:val="superscript"/>
        </w:rPr>
        <w:t>2</w:t>
      </w:r>
      <w:r w:rsidRPr="008A4E3B">
        <w:rPr>
          <w:szCs w:val="24"/>
        </w:rPr>
        <w:t>, w celu stworzenia tzw. strefy czystej.</w:t>
      </w:r>
      <w:r>
        <w:rPr>
          <w:szCs w:val="24"/>
        </w:rPr>
        <w:t xml:space="preserve"> </w:t>
      </w:r>
      <w:r w:rsidRPr="00B40919">
        <w:rPr>
          <w:bCs/>
          <w:szCs w:val="24"/>
        </w:rPr>
        <w:t>Nowo powstałe Laboratorium</w:t>
      </w:r>
      <w:r w:rsidRPr="00B40919">
        <w:rPr>
          <w:szCs w:val="24"/>
        </w:rPr>
        <w:t xml:space="preserve"> jest dedykowane </w:t>
      </w:r>
      <w:r w:rsidRPr="00B40919">
        <w:rPr>
          <w:bCs/>
          <w:szCs w:val="24"/>
        </w:rPr>
        <w:t>opracowywaniu zaawansowanych, zautomatyzowanych technologii wytwarzania małoseryjnego elementów, podzespołów i komple</w:t>
      </w:r>
      <w:r>
        <w:rPr>
          <w:bCs/>
          <w:szCs w:val="24"/>
        </w:rPr>
        <w:t>tnych implantów, wytwarzanych z </w:t>
      </w:r>
      <w:r w:rsidRPr="00B40919">
        <w:rPr>
          <w:bCs/>
          <w:szCs w:val="24"/>
        </w:rPr>
        <w:t>biomateriałów – w szczególności protez serca</w:t>
      </w:r>
      <w:r w:rsidRPr="00B40919">
        <w:rPr>
          <w:szCs w:val="24"/>
        </w:rPr>
        <w:t>.</w:t>
      </w:r>
    </w:p>
    <w:p w14:paraId="46FFA613" w14:textId="77777777" w:rsidR="00A227B6" w:rsidRPr="00B40919" w:rsidRDefault="00A227B6" w:rsidP="00A227B6">
      <w:pPr>
        <w:spacing w:after="0"/>
        <w:jc w:val="both"/>
        <w:rPr>
          <w:szCs w:val="24"/>
        </w:rPr>
      </w:pPr>
      <w:r w:rsidRPr="00B40919">
        <w:rPr>
          <w:szCs w:val="24"/>
        </w:rPr>
        <w:t>Ze względu na charakter planowanej działalności la</w:t>
      </w:r>
      <w:r>
        <w:rPr>
          <w:szCs w:val="24"/>
        </w:rPr>
        <w:t>boratorium zostało wybudowane i </w:t>
      </w:r>
      <w:r w:rsidRPr="00B40919">
        <w:rPr>
          <w:szCs w:val="24"/>
        </w:rPr>
        <w:t>zorganizowane w sposób zapewniający odpowiednią czystość strefy wytwarzania implantów oraz strefy ich przygotowania do pakowania i sterylizacji.</w:t>
      </w:r>
    </w:p>
    <w:p w14:paraId="5892F92C" w14:textId="77777777" w:rsidR="00A227B6" w:rsidRPr="00B40919" w:rsidRDefault="00A227B6" w:rsidP="00A227B6">
      <w:pPr>
        <w:spacing w:after="0"/>
        <w:jc w:val="both"/>
        <w:rPr>
          <w:szCs w:val="24"/>
        </w:rPr>
      </w:pPr>
      <w:r w:rsidRPr="00B40919">
        <w:rPr>
          <w:szCs w:val="24"/>
        </w:rPr>
        <w:t xml:space="preserve">Projekt objął również </w:t>
      </w:r>
      <w:r w:rsidRPr="00B40919">
        <w:rPr>
          <w:bCs/>
          <w:szCs w:val="24"/>
        </w:rPr>
        <w:t>doposażenie w aparaturę specjalistyczną</w:t>
      </w:r>
      <w:r w:rsidRPr="00B40919">
        <w:rPr>
          <w:szCs w:val="24"/>
        </w:rPr>
        <w:t xml:space="preserve"> przebudowanych powierzchni, w szczególności wytworzenie zautomatyzowanego stanowiska do laminowania. Element ten stanowi odpowiedź na poziom skomplikowania konstruk</w:t>
      </w:r>
      <w:r>
        <w:rPr>
          <w:szCs w:val="24"/>
        </w:rPr>
        <w:t>cyjnego prototypów implantów, w </w:t>
      </w:r>
      <w:r w:rsidRPr="00B40919">
        <w:rPr>
          <w:szCs w:val="24"/>
        </w:rPr>
        <w:t>szczególności protez serca, który wymaga zastosowania zautomatyzowanych technologii wytwarzania elementów, podzespołów protez implantów oraz ich finalnego montażu, w celu uzyskania odpowiedniej jakości protezy.</w:t>
      </w:r>
    </w:p>
    <w:p w14:paraId="196DF7C3" w14:textId="2845DFC9" w:rsidR="00A227B6" w:rsidRDefault="00A227B6" w:rsidP="00A227B6">
      <w:pPr>
        <w:spacing w:after="0"/>
        <w:jc w:val="both"/>
        <w:rPr>
          <w:szCs w:val="24"/>
        </w:rPr>
      </w:pPr>
      <w:r w:rsidRPr="00B40919">
        <w:rPr>
          <w:szCs w:val="24"/>
        </w:rPr>
        <w:t xml:space="preserve">Ze względu na </w:t>
      </w:r>
      <w:r w:rsidRPr="00B40919">
        <w:rPr>
          <w:bCs/>
          <w:szCs w:val="24"/>
        </w:rPr>
        <w:t>realizowany przez Fundację program Polskiego Sztucznego Serca</w:t>
      </w:r>
      <w:r>
        <w:rPr>
          <w:szCs w:val="24"/>
        </w:rPr>
        <w:t>, w </w:t>
      </w:r>
      <w:r w:rsidRPr="00B40919">
        <w:rPr>
          <w:szCs w:val="24"/>
        </w:rPr>
        <w:t>początkowym okresie działalności nowego Laboratorium opracowywane będą przede wszystkim technologie wytwarzania małoseryjnego protez serca o unowocześnionych konstrukcjach, a także jego elementów: zastawek, komór, kaniul wypływowych oraz kaniul napływowych.</w:t>
      </w:r>
    </w:p>
    <w:p w14:paraId="2AC6A119" w14:textId="77777777" w:rsidR="00A227B6" w:rsidRDefault="00A227B6" w:rsidP="00A227B6">
      <w:pPr>
        <w:spacing w:after="0"/>
        <w:jc w:val="both"/>
        <w:rPr>
          <w:szCs w:val="24"/>
        </w:rPr>
      </w:pPr>
    </w:p>
    <w:p w14:paraId="211F0AD5" w14:textId="4D054877" w:rsidR="00A227B6" w:rsidRDefault="00A227B6" w:rsidP="00A227B6">
      <w:pPr>
        <w:spacing w:after="0"/>
        <w:jc w:val="both"/>
        <w:rPr>
          <w:szCs w:val="24"/>
        </w:rPr>
      </w:pPr>
      <w:r>
        <w:t xml:space="preserve">W Strategii Europa 2020 ustalono pięć </w:t>
      </w:r>
      <w:hyperlink r:id="rId42" w:tooltip="nadrzędnych celów" w:history="1">
        <w:r w:rsidRPr="00C57FAD">
          <w:rPr>
            <w:rStyle w:val="Hipercze"/>
            <w:color w:val="auto"/>
            <w:u w:val="none"/>
          </w:rPr>
          <w:t>nadrzędnych celów</w:t>
        </w:r>
      </w:hyperlink>
      <w:r w:rsidRPr="00C57FAD">
        <w:t>,</w:t>
      </w:r>
      <w:r>
        <w:t xml:space="preserve"> które UE ma osiągnąć do 2020 roku. Obejmują one zatrudnienie, badania i rozwój, klimat i energię, edukację, integrację społeczną i walkę z ubóstwem.</w:t>
      </w:r>
      <w:r w:rsidRPr="001143CF">
        <w:rPr>
          <w:rFonts w:eastAsia="Calibri"/>
          <w:szCs w:val="24"/>
        </w:rPr>
        <w:t xml:space="preserve"> </w:t>
      </w:r>
      <w:r>
        <w:rPr>
          <w:rFonts w:eastAsia="Calibri"/>
          <w:szCs w:val="24"/>
        </w:rPr>
        <w:t>Wyżej opisany projekt przyczynia się w dużej mierze do realizacji wspomnianej strategii m.in. wychodzi naprzeciw potrzebie tworzenia nowoczesnej tkanki przedsiębiorczości, w tym centrów transferu technologii i rozwijaniu współpracy sektora B+R z przedsiębiorstwami</w:t>
      </w:r>
      <w:r w:rsidR="00C33DB3">
        <w:rPr>
          <w:rFonts w:eastAsia="Calibri"/>
          <w:szCs w:val="24"/>
        </w:rPr>
        <w:t>.</w:t>
      </w:r>
      <w:r w:rsidRPr="001143CF">
        <w:rPr>
          <w:rFonts w:eastAsia="Calibri"/>
          <w:szCs w:val="24"/>
        </w:rPr>
        <w:t xml:space="preserve"> </w:t>
      </w:r>
      <w:r>
        <w:rPr>
          <w:rFonts w:eastAsia="Calibri"/>
          <w:szCs w:val="24"/>
        </w:rPr>
        <w:t>Firmy oraz instytucje będące potencjalnymi odbiorcami usług laboratorium wykazały braki w nowoczesnej infrastrukturze B+R skutkującym ograniczonym dostępem do usług o charakterze B+R.</w:t>
      </w:r>
      <w:r>
        <w:rPr>
          <w:szCs w:val="24"/>
        </w:rPr>
        <w:t xml:space="preserve"> </w:t>
      </w:r>
    </w:p>
    <w:p w14:paraId="2589DF5E" w14:textId="4A6A0629" w:rsidR="001F484B" w:rsidRDefault="001F484B">
      <w:pPr>
        <w:spacing w:after="0" w:line="240" w:lineRule="auto"/>
        <w:rPr>
          <w:b/>
        </w:rPr>
      </w:pPr>
      <w:r>
        <w:rPr>
          <w:b/>
        </w:rPr>
        <w:br w:type="page"/>
      </w:r>
    </w:p>
    <w:p w14:paraId="641F0519" w14:textId="5C052F9B" w:rsidR="003862CB" w:rsidRPr="003862CB" w:rsidRDefault="00BD598E" w:rsidP="003862CB">
      <w:pPr>
        <w:tabs>
          <w:tab w:val="left" w:pos="0"/>
          <w:tab w:val="left" w:pos="142"/>
        </w:tabs>
        <w:jc w:val="both"/>
        <w:rPr>
          <w:b/>
        </w:rPr>
      </w:pPr>
      <w:r w:rsidRPr="003862CB">
        <w:rPr>
          <w:noProof/>
        </w:rPr>
        <w:lastRenderedPageBreak/>
        <w:drawing>
          <wp:anchor distT="0" distB="0" distL="114300" distR="114300" simplePos="0" relativeHeight="251659776" behindDoc="0" locked="0" layoutInCell="1" allowOverlap="1" wp14:anchorId="4475155D" wp14:editId="214A83D5">
            <wp:simplePos x="0" y="0"/>
            <wp:positionH relativeFrom="margin">
              <wp:posOffset>47901</wp:posOffset>
            </wp:positionH>
            <wp:positionV relativeFrom="margin">
              <wp:posOffset>982869</wp:posOffset>
            </wp:positionV>
            <wp:extent cx="2941320" cy="2057400"/>
            <wp:effectExtent l="0" t="0" r="0" b="0"/>
            <wp:wrapSquare wrapText="bothSides"/>
            <wp:docPr id="1" name="Obraz 1" descr="C:\Users\durdam\AppData\Local\Microsoft\Windows\Temporary Internet Files\Content.Outlook\O4EZ0JJI\1411642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urdam\AppData\Local\Microsoft\Windows\Temporary Internet Files\Content.Outlook\O4EZ0JJI\1411642829.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41320" cy="20574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3862CB" w:rsidRPr="003862CB">
        <w:rPr>
          <w:b/>
        </w:rPr>
        <w:t xml:space="preserve">Wzrost konkurencyjności </w:t>
      </w:r>
    </w:p>
    <w:p w14:paraId="65AC8AC7" w14:textId="724F8D14" w:rsidR="003862CB" w:rsidRDefault="003862CB" w:rsidP="003862CB">
      <w:pPr>
        <w:jc w:val="both"/>
      </w:pPr>
      <w:r w:rsidRPr="003862CB">
        <w:t xml:space="preserve"> </w:t>
      </w:r>
      <w:r>
        <w:t xml:space="preserve">W ramach projektu </w:t>
      </w:r>
      <w:r w:rsidRPr="003862CB">
        <w:rPr>
          <w:i/>
        </w:rPr>
        <w:t>Wzrost konkurencyjności PREVAC poprzez wytworzenie na skalę światow</w:t>
      </w:r>
      <w:r w:rsidR="005E76F5">
        <w:rPr>
          <w:i/>
        </w:rPr>
        <w:t>ą spektrometru elektronowego ze </w:t>
      </w:r>
      <w:r w:rsidRPr="003862CB">
        <w:rPr>
          <w:i/>
        </w:rPr>
        <w:t>zintegrowanym działem elektronowym typu CMA w miniaturowej skali</w:t>
      </w:r>
      <w:r>
        <w:t xml:space="preserve"> firma, będąca wiodącym na świecie producentem aparatury naukowo – badawczej wykorzystywanej do badań w warunkach ultra wysokiej próżni, wprowadziła d</w:t>
      </w:r>
      <w:r w:rsidR="005E76F5">
        <w:t>o </w:t>
      </w:r>
      <w:r>
        <w:t>oferty nowy produkt. Został zaprojektowany i stworzony spektrometr ze zintegrowanym działem elektronowym o niepotykanej dotychczas skali miniaturyzacji. Urządzenie to pozwala na wyznaczenie składu chemicznego wybranego punktu badanej powierzchni materiał</w:t>
      </w:r>
      <w:r w:rsidR="005E76F5">
        <w:t>u, co </w:t>
      </w:r>
      <w:r>
        <w:t>przy jego kompaktowej budowie, znacznie poszerza za</w:t>
      </w:r>
      <w:r w:rsidR="005E76F5">
        <w:t>kres zastosowań - teraz nawet w </w:t>
      </w:r>
      <w:r>
        <w:t>najmniejszych aplikacjach badawczych. Dzięki tym działaniom przełamana została bariera aplikacyjna, gdyż urządzenie w tej skali można zastosować do wieli już istniejących aparatur, co automatycznie poszerza zakres badań na tych aparaturach.</w:t>
      </w:r>
    </w:p>
    <w:p w14:paraId="00CAC75B" w14:textId="77777777" w:rsidR="00A227B6" w:rsidRPr="004D2E36" w:rsidRDefault="00A227B6" w:rsidP="00A227B6">
      <w:pPr>
        <w:spacing w:after="120"/>
        <w:jc w:val="both"/>
        <w:rPr>
          <w:b/>
          <w:szCs w:val="24"/>
        </w:rPr>
      </w:pPr>
      <w:r w:rsidRPr="004D2E36">
        <w:rPr>
          <w:b/>
          <w:szCs w:val="24"/>
        </w:rPr>
        <w:t>Krajowy Program Reform</w:t>
      </w:r>
    </w:p>
    <w:p w14:paraId="7C9BF7EC" w14:textId="77777777" w:rsidR="0072241F" w:rsidRDefault="00A227B6" w:rsidP="0072241F">
      <w:pPr>
        <w:pStyle w:val="NormalnyWeb"/>
        <w:jc w:val="both"/>
      </w:pPr>
      <w:r w:rsidRPr="00621A53">
        <w:rPr>
          <w:i/>
        </w:rPr>
        <w:t>Krajowy Prog</w:t>
      </w:r>
      <w:r>
        <w:rPr>
          <w:i/>
        </w:rPr>
        <w:t>ram Reform na rzecz realizacji Strategii EU</w:t>
      </w:r>
      <w:r w:rsidRPr="00621A53">
        <w:rPr>
          <w:i/>
        </w:rPr>
        <w:t xml:space="preserve"> 2020</w:t>
      </w:r>
      <w:r w:rsidRPr="00621A53">
        <w:t xml:space="preserve"> (KPR) </w:t>
      </w:r>
      <w:r w:rsidR="0072241F">
        <w:t>był</w:t>
      </w:r>
      <w:r w:rsidRPr="00621A53">
        <w:t xml:space="preserve"> instrumentem służącym realizacji osiągania celów Strategii EU 2020. </w:t>
      </w:r>
      <w:r w:rsidRPr="00DB2918">
        <w:t>W dniu 2</w:t>
      </w:r>
      <w:r w:rsidR="00DB2918" w:rsidRPr="00DB2918">
        <w:t>6 kwietnia 2016</w:t>
      </w:r>
      <w:r w:rsidRPr="00DB2918">
        <w:t xml:space="preserve"> r. Rada</w:t>
      </w:r>
      <w:r w:rsidRPr="00621A53">
        <w:t xml:space="preserve"> Ministrów przyjęła aktualizację </w:t>
      </w:r>
      <w:r w:rsidRPr="00621A53">
        <w:rPr>
          <w:i/>
        </w:rPr>
        <w:t xml:space="preserve">Krajowego Programu Reform na rzecz realizacji Strategii EU 2020 </w:t>
      </w:r>
      <w:r w:rsidRPr="00621A53">
        <w:t xml:space="preserve">w Polsce. </w:t>
      </w:r>
      <w:r w:rsidR="00DB2918" w:rsidRPr="00DB2918">
        <w:t>W KPR 2016/2017 przedstawi</w:t>
      </w:r>
      <w:r w:rsidR="0072241F">
        <w:t xml:space="preserve">ono część działań zawartych  w </w:t>
      </w:r>
      <w:r w:rsidR="00DB2918" w:rsidRPr="0072241F">
        <w:rPr>
          <w:i/>
        </w:rPr>
        <w:t>Planie na rzecz odpowiedzialnego rozwoju</w:t>
      </w:r>
      <w:r w:rsidR="00DB2918" w:rsidRPr="00DB2918">
        <w:t>, p</w:t>
      </w:r>
      <w:r w:rsidR="00DB2918">
        <w:t>rzyjętym przez rząd 16 lutego 2016 r</w:t>
      </w:r>
      <w:r w:rsidR="00DB2918" w:rsidRPr="00DB2918">
        <w:t>. Krajowy Program Reform odnosi</w:t>
      </w:r>
      <w:r w:rsidR="0072241F">
        <w:t>ł</w:t>
      </w:r>
      <w:r w:rsidR="00DB2918" w:rsidRPr="00DB2918">
        <w:t xml:space="preserve"> się nie tylko do strategii „Europa 2020”, ale jest także </w:t>
      </w:r>
      <w:r w:rsidR="0072241F">
        <w:t xml:space="preserve">był </w:t>
      </w:r>
      <w:r w:rsidR="00DB2918" w:rsidRPr="00DB2918">
        <w:t>ważnym el</w:t>
      </w:r>
      <w:r w:rsidR="0072241F">
        <w:t>ementem Semestru Europejskiego.</w:t>
      </w:r>
    </w:p>
    <w:p w14:paraId="2B0AA5C3" w14:textId="068319EA" w:rsidR="00A227B6" w:rsidRPr="00A53240" w:rsidRDefault="00A227B6" w:rsidP="0072241F">
      <w:pPr>
        <w:pStyle w:val="NormalnyWeb"/>
        <w:jc w:val="both"/>
      </w:pPr>
      <w:r w:rsidRPr="004C4F30">
        <w:t>Założone cele poszczególnych priorytetów RPO WSL wpisują się w priorytety wyznaczone w ramach KPR, realizując w ten sposób również cele Strategii EU 2020.</w:t>
      </w:r>
    </w:p>
    <w:p w14:paraId="5285EDF3" w14:textId="77777777" w:rsidR="00A227B6" w:rsidRPr="00A53240" w:rsidRDefault="00A227B6" w:rsidP="00A227B6">
      <w:pPr>
        <w:keepNext/>
        <w:tabs>
          <w:tab w:val="left" w:pos="8222"/>
        </w:tabs>
        <w:jc w:val="both"/>
      </w:pPr>
      <w:r w:rsidRPr="00A53240">
        <w:rPr>
          <w:noProof/>
          <w:szCs w:val="24"/>
        </w:rPr>
        <w:lastRenderedPageBreak/>
        <w:drawing>
          <wp:inline distT="0" distB="0" distL="0" distR="0" wp14:anchorId="05C7389E" wp14:editId="1E20A0AD">
            <wp:extent cx="5486843" cy="3457797"/>
            <wp:effectExtent l="0" t="0" r="1905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66898EE4" w14:textId="2A6FEA32" w:rsidR="00C402F3" w:rsidRPr="001E62D6" w:rsidRDefault="007A6688" w:rsidP="007A6688">
      <w:pPr>
        <w:pStyle w:val="Legenda"/>
        <w:rPr>
          <w:bCs w:val="0"/>
          <w:i/>
          <w:color w:val="auto"/>
          <w:sz w:val="20"/>
          <w:szCs w:val="20"/>
        </w:rPr>
      </w:pPr>
      <w:bookmarkStart w:id="133" w:name="_Toc355688674"/>
      <w:bookmarkStart w:id="134" w:name="_Toc476832926"/>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8</w:t>
      </w:r>
      <w:r w:rsidR="00A44293" w:rsidRPr="00A44293">
        <w:rPr>
          <w:noProof/>
          <w:color w:val="auto"/>
        </w:rPr>
        <w:fldChar w:fldCharType="end"/>
      </w:r>
      <w:r w:rsidRPr="00A44293">
        <w:rPr>
          <w:color w:val="auto"/>
        </w:rPr>
        <w:t xml:space="preserve"> </w:t>
      </w:r>
      <w:r w:rsidR="00A227B6" w:rsidRPr="00C402F3">
        <w:rPr>
          <w:b w:val="0"/>
          <w:i/>
          <w:color w:val="auto"/>
          <w:sz w:val="20"/>
          <w:szCs w:val="20"/>
        </w:rPr>
        <w:t>Spójność RPO WSL z priorytetami Krajowego Programu Reform na rzecz Strategii Europa 2020</w:t>
      </w:r>
      <w:bookmarkEnd w:id="133"/>
      <w:bookmarkEnd w:id="134"/>
    </w:p>
    <w:p w14:paraId="463BB4AB" w14:textId="09BEA4A2" w:rsidR="007016CC" w:rsidRPr="00FD7C4B" w:rsidRDefault="0022154B" w:rsidP="0021401A">
      <w:pPr>
        <w:pStyle w:val="Nagwek1"/>
        <w:numPr>
          <w:ilvl w:val="3"/>
          <w:numId w:val="40"/>
        </w:numPr>
        <w:tabs>
          <w:tab w:val="left" w:pos="1985"/>
        </w:tabs>
        <w:spacing w:before="120" w:after="120"/>
        <w:ind w:left="1701" w:hanging="425"/>
        <w:jc w:val="both"/>
        <w:rPr>
          <w:bCs w:val="0"/>
          <w:szCs w:val="24"/>
        </w:rPr>
      </w:pPr>
      <w:bookmarkStart w:id="135" w:name="_Toc292789261"/>
      <w:bookmarkStart w:id="136" w:name="_Toc292793546"/>
      <w:bookmarkStart w:id="137" w:name="_Toc391466346"/>
      <w:bookmarkStart w:id="138" w:name="_Toc423351763"/>
      <w:bookmarkStart w:id="139" w:name="_Toc473117316"/>
      <w:bookmarkStart w:id="140" w:name="_Toc477779756"/>
      <w:bookmarkStart w:id="141" w:name="_Toc262031850"/>
      <w:bookmarkEnd w:id="129"/>
      <w:r>
        <w:rPr>
          <w:bCs w:val="0"/>
          <w:szCs w:val="24"/>
        </w:rPr>
        <w:t>Strategia UE dla Regionu Morza B</w:t>
      </w:r>
      <w:r w:rsidR="00173F77" w:rsidRPr="00FD7C4B">
        <w:rPr>
          <w:bCs w:val="0"/>
          <w:szCs w:val="24"/>
        </w:rPr>
        <w:t>ałtyckiego</w:t>
      </w:r>
      <w:bookmarkEnd w:id="135"/>
      <w:bookmarkEnd w:id="136"/>
      <w:bookmarkEnd w:id="137"/>
      <w:bookmarkEnd w:id="138"/>
      <w:bookmarkEnd w:id="139"/>
      <w:bookmarkEnd w:id="140"/>
      <w:r w:rsidR="00173F77" w:rsidRPr="00FD7C4B">
        <w:rPr>
          <w:bCs w:val="0"/>
          <w:szCs w:val="24"/>
        </w:rPr>
        <w:t xml:space="preserve"> </w:t>
      </w:r>
    </w:p>
    <w:p w14:paraId="7B8ED6EA" w14:textId="7409208D" w:rsidR="009D0DE9" w:rsidRPr="0094320D" w:rsidRDefault="009D0DE9" w:rsidP="0094320D">
      <w:pPr>
        <w:autoSpaceDE w:val="0"/>
        <w:autoSpaceDN w:val="0"/>
        <w:adjustRightInd w:val="0"/>
        <w:spacing w:after="0"/>
        <w:jc w:val="both"/>
        <w:rPr>
          <w:rFonts w:eastAsia="Calibri"/>
          <w:szCs w:val="24"/>
        </w:rPr>
      </w:pPr>
      <w:bookmarkStart w:id="142" w:name="_Toc296427391"/>
      <w:bookmarkStart w:id="143" w:name="_Toc324853703"/>
      <w:bookmarkStart w:id="144" w:name="_Toc326046364"/>
      <w:r w:rsidRPr="0094320D">
        <w:rPr>
          <w:rFonts w:eastAsia="Calibri"/>
          <w:szCs w:val="24"/>
        </w:rPr>
        <w:t xml:space="preserve">Strategia UE dla Regionu Morza Bałtyckiego (SUE RMB) w ramach RPO WSL wdrażana jest poprzez realizację projektów wpisujących się w poszczególne priorytety Strategii. </w:t>
      </w:r>
      <w:r w:rsidR="00A559CF" w:rsidRPr="0094320D">
        <w:rPr>
          <w:szCs w:val="24"/>
        </w:rPr>
        <w:t xml:space="preserve">RPO WSL nie realizuje projektów flagowych zidentyfikowanych w </w:t>
      </w:r>
      <w:r w:rsidR="00A559CF" w:rsidRPr="0094320D">
        <w:rPr>
          <w:i/>
          <w:szCs w:val="24"/>
        </w:rPr>
        <w:t>Planie działań Strategii…</w:t>
      </w:r>
      <w:r w:rsidRPr="0094320D">
        <w:rPr>
          <w:rFonts w:eastAsia="Calibri"/>
          <w:szCs w:val="24"/>
        </w:rPr>
        <w:t>W </w:t>
      </w:r>
      <w:r w:rsidR="00A227B6">
        <w:rPr>
          <w:rFonts w:eastAsia="Calibri"/>
          <w:szCs w:val="24"/>
        </w:rPr>
        <w:t>całym okresie programowania</w:t>
      </w:r>
      <w:r w:rsidRPr="0094320D">
        <w:rPr>
          <w:rFonts w:eastAsia="Calibri"/>
          <w:szCs w:val="24"/>
        </w:rPr>
        <w:t xml:space="preserve"> w ramach realizacji </w:t>
      </w:r>
      <w:r w:rsidR="00456D94" w:rsidRPr="0094320D">
        <w:rPr>
          <w:rFonts w:eastAsia="Calibri"/>
          <w:szCs w:val="24"/>
        </w:rPr>
        <w:t>SUE RMB</w:t>
      </w:r>
      <w:r w:rsidRPr="0094320D">
        <w:rPr>
          <w:rFonts w:eastAsia="Calibri"/>
          <w:szCs w:val="24"/>
        </w:rPr>
        <w:t xml:space="preserve"> Instytucja Zarządzająca </w:t>
      </w:r>
      <w:r w:rsidR="00456D94" w:rsidRPr="0094320D">
        <w:rPr>
          <w:rFonts w:eastAsia="Calibri"/>
          <w:szCs w:val="24"/>
        </w:rPr>
        <w:t xml:space="preserve">RPO WSL </w:t>
      </w:r>
      <w:r w:rsidRPr="0094320D">
        <w:rPr>
          <w:rFonts w:eastAsia="Calibri"/>
          <w:szCs w:val="24"/>
        </w:rPr>
        <w:t>nie podejmowała działań informacyjno-promocyjnych czy szko</w:t>
      </w:r>
      <w:r w:rsidR="005E76F5">
        <w:rPr>
          <w:rFonts w:eastAsia="Calibri"/>
          <w:szCs w:val="24"/>
        </w:rPr>
        <w:t>leniowych współfinansowanych ze </w:t>
      </w:r>
      <w:r w:rsidRPr="0094320D">
        <w:rPr>
          <w:rFonts w:eastAsia="Calibri"/>
          <w:szCs w:val="24"/>
        </w:rPr>
        <w:t xml:space="preserve">środków Pomocy Technicznej. W systemie wdrażania RPO WSL nie wprowadzono szczególnych mechanizmów w ramach wdrażania SUE RMB. </w:t>
      </w:r>
      <w:r w:rsidR="00E773DB">
        <w:rPr>
          <w:rFonts w:eastAsia="Calibri"/>
          <w:szCs w:val="24"/>
        </w:rPr>
        <w:t>Podczas procedury oceny i </w:t>
      </w:r>
      <w:r w:rsidRPr="0094320D">
        <w:rPr>
          <w:rFonts w:eastAsia="Calibri"/>
          <w:szCs w:val="24"/>
        </w:rPr>
        <w:t>wyboru projektów do dofi</w:t>
      </w:r>
      <w:r w:rsidR="00E773DB">
        <w:rPr>
          <w:rFonts w:eastAsia="Calibri"/>
          <w:szCs w:val="24"/>
        </w:rPr>
        <w:t>nansowania istniały</w:t>
      </w:r>
      <w:r w:rsidRPr="0094320D">
        <w:rPr>
          <w:rFonts w:eastAsia="Calibri"/>
          <w:szCs w:val="24"/>
        </w:rPr>
        <w:t xml:space="preserve"> kr</w:t>
      </w:r>
      <w:r w:rsidR="00E773DB">
        <w:rPr>
          <w:rFonts w:eastAsia="Calibri"/>
          <w:szCs w:val="24"/>
        </w:rPr>
        <w:t>yteria oceny, które również miały</w:t>
      </w:r>
      <w:r w:rsidR="005E76F5">
        <w:rPr>
          <w:rFonts w:eastAsia="Calibri"/>
          <w:szCs w:val="24"/>
        </w:rPr>
        <w:t xml:space="preserve"> wpływ na </w:t>
      </w:r>
      <w:r w:rsidRPr="0094320D">
        <w:rPr>
          <w:rFonts w:eastAsia="Calibri"/>
          <w:szCs w:val="24"/>
        </w:rPr>
        <w:t>wybór projektów przyczyniających się do realizacji SUE RMB.</w:t>
      </w:r>
      <w:r w:rsidR="00FC5288">
        <w:rPr>
          <w:rFonts w:eastAsia="Calibri"/>
          <w:szCs w:val="24"/>
        </w:rPr>
        <w:t xml:space="preserve"> </w:t>
      </w:r>
      <w:r w:rsidR="00FC5288" w:rsidRPr="00D90934">
        <w:rPr>
          <w:szCs w:val="24"/>
        </w:rPr>
        <w:t>Biorąc pod uwagę kategorie interwencji wpisujące się w SUE RMB</w:t>
      </w:r>
      <w:r w:rsidR="00FC5288" w:rsidRPr="00D90934">
        <w:rPr>
          <w:i/>
          <w:iCs/>
          <w:szCs w:val="24"/>
        </w:rPr>
        <w:t xml:space="preserve">, </w:t>
      </w:r>
      <w:r w:rsidR="00FC5288" w:rsidRPr="00D90934">
        <w:rPr>
          <w:szCs w:val="24"/>
        </w:rPr>
        <w:t>wg stanu na 31 grudn</w:t>
      </w:r>
      <w:r w:rsidR="00FC5288">
        <w:rPr>
          <w:szCs w:val="24"/>
        </w:rPr>
        <w:t>ia 2016</w:t>
      </w:r>
      <w:r w:rsidR="0022154B">
        <w:rPr>
          <w:szCs w:val="24"/>
        </w:rPr>
        <w:t xml:space="preserve"> </w:t>
      </w:r>
      <w:r w:rsidR="00FC5288" w:rsidRPr="00D90934">
        <w:rPr>
          <w:szCs w:val="24"/>
        </w:rPr>
        <w:t xml:space="preserve">r. łącznie podpisano </w:t>
      </w:r>
      <w:r w:rsidR="00FC5288">
        <w:rPr>
          <w:szCs w:val="24"/>
        </w:rPr>
        <w:t xml:space="preserve">4696 umów na kwotę 2 082,33 </w:t>
      </w:r>
      <w:r w:rsidR="00FC5288" w:rsidRPr="00D90934">
        <w:rPr>
          <w:szCs w:val="24"/>
        </w:rPr>
        <w:t>mln EUR, w tym d</w:t>
      </w:r>
      <w:r w:rsidR="00FC5288">
        <w:rPr>
          <w:szCs w:val="24"/>
        </w:rPr>
        <w:t xml:space="preserve">ofinansowanie UE wyniosło 1149,99 mln </w:t>
      </w:r>
      <w:r w:rsidR="00FC5288">
        <w:rPr>
          <w:bCs/>
          <w:szCs w:val="24"/>
        </w:rPr>
        <w:t xml:space="preserve">EUR </w:t>
      </w:r>
      <w:r w:rsidR="00FC5288" w:rsidRPr="00D90934">
        <w:rPr>
          <w:szCs w:val="24"/>
        </w:rPr>
        <w:t>(szczegółowe dane znajdują się w </w:t>
      </w:r>
      <w:r w:rsidR="00FC5288" w:rsidRPr="00D90934">
        <w:rPr>
          <w:i/>
          <w:iCs/>
          <w:szCs w:val="24"/>
        </w:rPr>
        <w:t>zał</w:t>
      </w:r>
      <w:r w:rsidR="00FC5288" w:rsidRPr="00D90934">
        <w:rPr>
          <w:szCs w:val="24"/>
        </w:rPr>
        <w:t>ą</w:t>
      </w:r>
      <w:r w:rsidR="00FC5288" w:rsidRPr="00D90934">
        <w:rPr>
          <w:i/>
          <w:iCs/>
          <w:szCs w:val="24"/>
        </w:rPr>
        <w:t>czniku VII</w:t>
      </w:r>
      <w:r w:rsidR="00FC5288" w:rsidRPr="00D90934">
        <w:rPr>
          <w:szCs w:val="24"/>
        </w:rPr>
        <w:t>). Ponadto</w:t>
      </w:r>
      <w:r w:rsidR="004B369D">
        <w:rPr>
          <w:szCs w:val="24"/>
        </w:rPr>
        <w:t>,</w:t>
      </w:r>
      <w:r w:rsidR="00FC5288" w:rsidRPr="00D90934">
        <w:rPr>
          <w:szCs w:val="24"/>
        </w:rPr>
        <w:t xml:space="preserve"> w załączniku VII zaprezentowano przykładowe projekty wpisujące się w obszary SUE RMB.</w:t>
      </w:r>
    </w:p>
    <w:p w14:paraId="59546F3A" w14:textId="77777777" w:rsidR="00E773DB" w:rsidRDefault="00E773DB" w:rsidP="0094320D">
      <w:pPr>
        <w:spacing w:after="0"/>
        <w:jc w:val="both"/>
        <w:rPr>
          <w:szCs w:val="24"/>
        </w:rPr>
      </w:pPr>
    </w:p>
    <w:p w14:paraId="3D8E8F4D" w14:textId="03504976" w:rsidR="00FD7C4B" w:rsidRDefault="009D0DE9" w:rsidP="0094320D">
      <w:pPr>
        <w:spacing w:after="0"/>
        <w:jc w:val="both"/>
        <w:rPr>
          <w:i/>
          <w:iCs/>
          <w:szCs w:val="24"/>
        </w:rPr>
      </w:pPr>
      <w:r w:rsidRPr="0094320D">
        <w:rPr>
          <w:szCs w:val="24"/>
        </w:rPr>
        <w:t xml:space="preserve">IZ RPO WSL wprowadziła </w:t>
      </w:r>
      <w:r w:rsidR="004B369D" w:rsidRPr="0094320D">
        <w:rPr>
          <w:szCs w:val="24"/>
        </w:rPr>
        <w:t>do </w:t>
      </w:r>
      <w:r w:rsidR="004B369D" w:rsidRPr="0094320D">
        <w:rPr>
          <w:i/>
          <w:iCs/>
          <w:szCs w:val="24"/>
        </w:rPr>
        <w:t>Programu</w:t>
      </w:r>
      <w:r w:rsidR="004B369D" w:rsidRPr="0094320D">
        <w:rPr>
          <w:szCs w:val="24"/>
        </w:rPr>
        <w:t xml:space="preserve"> </w:t>
      </w:r>
      <w:r w:rsidRPr="0094320D">
        <w:rPr>
          <w:szCs w:val="24"/>
        </w:rPr>
        <w:t>poniższe zapisy dot. komplementarności pomiędzy RPO WSL a </w:t>
      </w:r>
      <w:r w:rsidRPr="0094320D">
        <w:rPr>
          <w:i/>
          <w:iCs/>
          <w:szCs w:val="24"/>
        </w:rPr>
        <w:t>Strategią</w:t>
      </w:r>
      <w:r w:rsidR="00B65319" w:rsidRPr="0094320D">
        <w:rPr>
          <w:i/>
          <w:iCs/>
          <w:szCs w:val="24"/>
        </w:rPr>
        <w:t>.</w:t>
      </w:r>
    </w:p>
    <w:p w14:paraId="55F669D9" w14:textId="77777777" w:rsidR="00AC10F8" w:rsidRPr="0094320D" w:rsidRDefault="00AC10F8" w:rsidP="0094320D">
      <w:pPr>
        <w:spacing w:after="0"/>
        <w:jc w:val="both"/>
        <w:rPr>
          <w:b/>
          <w:bCs/>
          <w:szCs w:val="24"/>
        </w:rPr>
      </w:pPr>
      <w:bookmarkStart w:id="145" w:name="_Toc324855872"/>
      <w:bookmarkStart w:id="146" w:name="_Toc355688723"/>
    </w:p>
    <w:p w14:paraId="3E5BADF8" w14:textId="77777777" w:rsidR="005E76F5" w:rsidRDefault="005E76F5">
      <w:pPr>
        <w:spacing w:after="0" w:line="240" w:lineRule="auto"/>
        <w:rPr>
          <w:b/>
          <w:bCs/>
          <w:sz w:val="18"/>
          <w:szCs w:val="18"/>
        </w:rPr>
      </w:pPr>
      <w:r>
        <w:br w:type="page"/>
      </w:r>
    </w:p>
    <w:p w14:paraId="6947888A" w14:textId="1D32BBCF" w:rsidR="00A559CF" w:rsidRPr="00A227B6" w:rsidRDefault="007A6688" w:rsidP="007A6688">
      <w:pPr>
        <w:pStyle w:val="Legenda"/>
        <w:rPr>
          <w:sz w:val="20"/>
          <w:szCs w:val="20"/>
        </w:rPr>
      </w:pPr>
      <w:bookmarkStart w:id="147" w:name="_Toc476131790"/>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7</w:t>
      </w:r>
      <w:r w:rsidR="00A44293" w:rsidRPr="00A44293">
        <w:rPr>
          <w:noProof/>
          <w:color w:val="auto"/>
        </w:rPr>
        <w:fldChar w:fldCharType="end"/>
      </w:r>
      <w:r w:rsidRPr="00A44293">
        <w:rPr>
          <w:color w:val="auto"/>
        </w:rPr>
        <w:t xml:space="preserve"> </w:t>
      </w:r>
      <w:r w:rsidR="00A559CF" w:rsidRPr="00A227B6">
        <w:rPr>
          <w:b w:val="0"/>
          <w:i/>
          <w:color w:val="auto"/>
          <w:sz w:val="20"/>
          <w:szCs w:val="20"/>
        </w:rPr>
        <w:t xml:space="preserve">Odniesienie </w:t>
      </w:r>
      <w:r w:rsidR="00E740B2">
        <w:rPr>
          <w:b w:val="0"/>
          <w:i/>
          <w:color w:val="auto"/>
          <w:sz w:val="20"/>
          <w:szCs w:val="20"/>
        </w:rPr>
        <w:t>priorytetów</w:t>
      </w:r>
      <w:r w:rsidR="00A559CF" w:rsidRPr="00A227B6">
        <w:rPr>
          <w:b w:val="0"/>
          <w:i/>
          <w:color w:val="auto"/>
          <w:sz w:val="20"/>
          <w:szCs w:val="20"/>
        </w:rPr>
        <w:t xml:space="preserve"> RPO WSL do Strategii UE dla Regionu Morza Bałtyckiego</w:t>
      </w:r>
      <w:bookmarkEnd w:id="145"/>
      <w:bookmarkEnd w:id="146"/>
      <w:bookmarkEnd w:id="147"/>
    </w:p>
    <w:tbl>
      <w:tblPr>
        <w:tblStyle w:val="Tabelalisty3akcent6"/>
        <w:tblpPr w:leftFromText="141" w:rightFromText="141" w:vertAnchor="text" w:tblpXSpec="center" w:tblpY="1"/>
        <w:tblW w:w="9498" w:type="dxa"/>
        <w:tblLook w:val="01E0" w:firstRow="1" w:lastRow="1" w:firstColumn="1" w:lastColumn="1" w:noHBand="0" w:noVBand="0"/>
      </w:tblPr>
      <w:tblGrid>
        <w:gridCol w:w="5422"/>
        <w:gridCol w:w="4076"/>
      </w:tblGrid>
      <w:tr w:rsidR="00A559CF" w:rsidRPr="003D0CAC" w14:paraId="0CAF8521" w14:textId="77777777" w:rsidTr="0072241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422" w:type="dxa"/>
            <w:vAlign w:val="center"/>
          </w:tcPr>
          <w:p w14:paraId="784E06BF" w14:textId="77777777" w:rsidR="00A559CF" w:rsidRPr="003D0CAC" w:rsidRDefault="00A559CF" w:rsidP="0072241F">
            <w:pPr>
              <w:spacing w:before="120"/>
              <w:jc w:val="center"/>
              <w:rPr>
                <w:color w:val="auto"/>
                <w:sz w:val="20"/>
                <w:szCs w:val="20"/>
              </w:rPr>
            </w:pPr>
            <w:r w:rsidRPr="003D0CAC">
              <w:rPr>
                <w:color w:val="auto"/>
                <w:sz w:val="20"/>
                <w:szCs w:val="20"/>
              </w:rPr>
              <w:t>OBSZARY PRIORYTETOWE</w:t>
            </w:r>
          </w:p>
          <w:p w14:paraId="6465CDD0" w14:textId="77777777" w:rsidR="00A559CF" w:rsidRPr="003D0CAC" w:rsidRDefault="00A559CF" w:rsidP="0072241F">
            <w:pPr>
              <w:jc w:val="center"/>
              <w:rPr>
                <w:color w:val="auto"/>
                <w:sz w:val="20"/>
                <w:szCs w:val="20"/>
              </w:rPr>
            </w:pPr>
            <w:r w:rsidRPr="003D0CAC">
              <w:rPr>
                <w:color w:val="auto"/>
                <w:sz w:val="20"/>
                <w:szCs w:val="20"/>
              </w:rPr>
              <w:t>Strategii UE dla regionu Morza Bałtyckiego</w:t>
            </w:r>
          </w:p>
        </w:tc>
        <w:tc>
          <w:tcPr>
            <w:cnfStyle w:val="000100001000" w:firstRow="0" w:lastRow="0" w:firstColumn="0" w:lastColumn="1" w:oddVBand="0" w:evenVBand="0" w:oddHBand="0" w:evenHBand="0" w:firstRowFirstColumn="0" w:firstRowLastColumn="1" w:lastRowFirstColumn="0" w:lastRowLastColumn="0"/>
            <w:tcW w:w="4076" w:type="dxa"/>
            <w:vAlign w:val="center"/>
          </w:tcPr>
          <w:p w14:paraId="740D70D8" w14:textId="77777777" w:rsidR="00A559CF" w:rsidRPr="003D0CAC" w:rsidRDefault="00A559CF" w:rsidP="0072241F">
            <w:pPr>
              <w:spacing w:after="0"/>
              <w:jc w:val="center"/>
              <w:rPr>
                <w:color w:val="auto"/>
                <w:sz w:val="20"/>
                <w:szCs w:val="20"/>
              </w:rPr>
            </w:pPr>
            <w:r w:rsidRPr="003D0CAC">
              <w:rPr>
                <w:color w:val="auto"/>
                <w:sz w:val="20"/>
                <w:szCs w:val="20"/>
              </w:rPr>
              <w:t>OSIE PRIORYTETOWE/</w:t>
            </w:r>
          </w:p>
          <w:p w14:paraId="42AEFBF0" w14:textId="77777777" w:rsidR="00A559CF" w:rsidRPr="003D0CAC" w:rsidRDefault="00A559CF" w:rsidP="0072241F">
            <w:pPr>
              <w:spacing w:after="0"/>
              <w:jc w:val="center"/>
              <w:rPr>
                <w:color w:val="auto"/>
                <w:sz w:val="20"/>
                <w:szCs w:val="20"/>
              </w:rPr>
            </w:pPr>
            <w:r w:rsidRPr="003D0CAC">
              <w:rPr>
                <w:color w:val="auto"/>
                <w:sz w:val="20"/>
                <w:szCs w:val="20"/>
              </w:rPr>
              <w:t>DZIAŁANIA/</w:t>
            </w:r>
          </w:p>
          <w:p w14:paraId="4E040E90" w14:textId="77777777" w:rsidR="00A559CF" w:rsidRPr="003D0CAC" w:rsidRDefault="00A559CF" w:rsidP="0072241F">
            <w:pPr>
              <w:spacing w:after="0"/>
              <w:jc w:val="center"/>
              <w:rPr>
                <w:color w:val="auto"/>
                <w:sz w:val="20"/>
                <w:szCs w:val="20"/>
              </w:rPr>
            </w:pPr>
            <w:r w:rsidRPr="003D0CAC">
              <w:rPr>
                <w:color w:val="auto"/>
                <w:sz w:val="20"/>
                <w:szCs w:val="20"/>
              </w:rPr>
              <w:t>PODDZIAŁANIA RPO WSL</w:t>
            </w:r>
          </w:p>
        </w:tc>
      </w:tr>
      <w:tr w:rsidR="00A559CF" w:rsidRPr="003D0CAC" w14:paraId="679956E4" w14:textId="77777777" w:rsidTr="0072241F">
        <w:trPr>
          <w:cnfStyle w:val="000000100000" w:firstRow="0" w:lastRow="0" w:firstColumn="0" w:lastColumn="0" w:oddVBand="0" w:evenVBand="0" w:oddHBand="1" w:evenHBand="0" w:firstRowFirstColumn="0" w:firstRowLastColumn="0" w:lastRowFirstColumn="0" w:lastRowLastColumn="0"/>
          <w:trHeight w:val="1751"/>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4492FC29" w14:textId="77777777" w:rsidR="00A559CF" w:rsidRPr="003D0CAC" w:rsidRDefault="00A559CF" w:rsidP="0072241F">
            <w:pPr>
              <w:spacing w:before="120" w:after="120"/>
              <w:rPr>
                <w:b w:val="0"/>
                <w:sz w:val="20"/>
                <w:szCs w:val="20"/>
              </w:rPr>
            </w:pPr>
            <w:r w:rsidRPr="003D0CAC">
              <w:rPr>
                <w:b w:val="0"/>
                <w:sz w:val="20"/>
                <w:szCs w:val="20"/>
              </w:rPr>
              <w:t>Obszar priorytetowy 7: Wykorzystanie pełnego potencjału regionu w zakresie badań i innowacji</w:t>
            </w:r>
          </w:p>
          <w:p w14:paraId="55E07B13" w14:textId="77777777" w:rsidR="00A559CF" w:rsidRPr="003D0CAC" w:rsidRDefault="00A559CF" w:rsidP="0072241F">
            <w:pPr>
              <w:spacing w:before="120" w:after="120"/>
              <w:rPr>
                <w:b w:val="0"/>
                <w:sz w:val="20"/>
                <w:szCs w:val="20"/>
              </w:rPr>
            </w:pPr>
            <w:r w:rsidRPr="003D0CAC">
              <w:rPr>
                <w:b w:val="0"/>
                <w:sz w:val="20"/>
                <w:szCs w:val="20"/>
              </w:rPr>
              <w:t>Obszar priorytetowy 8: Wdrożenie Small Business Act: promocja przedsiębiorczości, wzmocnienie MŚP oraz podniesienie poziomu efektywnego wykorzystania zasobów ludzkich</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1FDE5B00" w14:textId="77777777" w:rsidR="00A559CF" w:rsidRPr="003D0CAC" w:rsidRDefault="00A559CF" w:rsidP="0072241F">
            <w:pPr>
              <w:spacing w:before="120" w:after="120"/>
              <w:rPr>
                <w:b w:val="0"/>
                <w:sz w:val="20"/>
                <w:szCs w:val="20"/>
              </w:rPr>
            </w:pPr>
            <w:r w:rsidRPr="003D0CAC">
              <w:rPr>
                <w:b w:val="0"/>
                <w:sz w:val="20"/>
                <w:szCs w:val="20"/>
              </w:rPr>
              <w:t>Badanie i rozwój technologiczny (B+R); innowacje i przedsiębiorczość ( działanie 1.3 Transfer technologii i innowacji, działanie 1.2 Mikroprzedsiębiorstwa i MŚP)</w:t>
            </w:r>
          </w:p>
          <w:p w14:paraId="3055D356" w14:textId="77777777" w:rsidR="00A559CF" w:rsidRPr="003D0CAC" w:rsidRDefault="00A559CF" w:rsidP="0072241F">
            <w:pPr>
              <w:spacing w:before="120" w:after="120"/>
              <w:rPr>
                <w:b w:val="0"/>
                <w:sz w:val="20"/>
                <w:szCs w:val="20"/>
              </w:rPr>
            </w:pPr>
          </w:p>
        </w:tc>
      </w:tr>
      <w:tr w:rsidR="00A559CF" w:rsidRPr="003D0CAC" w14:paraId="67347453" w14:textId="77777777" w:rsidTr="0072241F">
        <w:trPr>
          <w:trHeight w:val="826"/>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00A76211" w14:textId="77777777" w:rsidR="00A559CF" w:rsidRPr="003D0CAC" w:rsidRDefault="00A559CF" w:rsidP="0072241F">
            <w:pPr>
              <w:spacing w:before="120" w:after="120"/>
              <w:rPr>
                <w:b w:val="0"/>
                <w:sz w:val="20"/>
                <w:szCs w:val="20"/>
              </w:rPr>
            </w:pPr>
            <w:r w:rsidRPr="003D0CAC">
              <w:rPr>
                <w:b w:val="0"/>
                <w:sz w:val="20"/>
                <w:szCs w:val="20"/>
              </w:rPr>
              <w:t>Obszar priorytetowy 12: Utrzymanie i wzmocnienie atrakcyjności Regionu Morza Bałtyckiego w szczególności poprzez edukację, turystykę i poziom zdrowotności</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3069D59B" w14:textId="77777777" w:rsidR="00A559CF" w:rsidRPr="003D0CAC" w:rsidRDefault="00A559CF" w:rsidP="0072241F">
            <w:pPr>
              <w:spacing w:before="120" w:after="120"/>
              <w:rPr>
                <w:b w:val="0"/>
                <w:sz w:val="20"/>
                <w:szCs w:val="20"/>
              </w:rPr>
            </w:pPr>
            <w:r w:rsidRPr="003D0CAC">
              <w:rPr>
                <w:b w:val="0"/>
                <w:sz w:val="20"/>
                <w:szCs w:val="20"/>
              </w:rPr>
              <w:t>Społeczeństwo informacyjne ( działanie 2.2 Rozwój elektronicznych usług publicznych)</w:t>
            </w:r>
          </w:p>
        </w:tc>
      </w:tr>
      <w:tr w:rsidR="00A559CF" w:rsidRPr="003D0CAC" w14:paraId="20532AB5" w14:textId="77777777" w:rsidTr="0072241F">
        <w:trPr>
          <w:cnfStyle w:val="000000100000" w:firstRow="0" w:lastRow="0" w:firstColumn="0" w:lastColumn="0" w:oddVBand="0" w:evenVBand="0" w:oddHBand="1" w:evenHBand="0" w:firstRowFirstColumn="0" w:firstRowLastColumn="0" w:lastRowFirstColumn="0" w:lastRowLastColumn="0"/>
          <w:trHeight w:val="2680"/>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625F7166" w14:textId="77777777" w:rsidR="00A559CF" w:rsidRPr="003D0CAC" w:rsidRDefault="00A559CF" w:rsidP="0072241F">
            <w:pPr>
              <w:spacing w:before="120" w:after="120"/>
              <w:rPr>
                <w:b w:val="0"/>
                <w:sz w:val="20"/>
                <w:szCs w:val="20"/>
              </w:rPr>
            </w:pPr>
            <w:r w:rsidRPr="003D0CAC">
              <w:rPr>
                <w:b w:val="0"/>
                <w:sz w:val="20"/>
                <w:szCs w:val="20"/>
              </w:rPr>
              <w:t>Obszar priorytetowy 8: Wdrożenie Small Business Act: promocja przedsiębiorczości, wzmocnienie MŚP oraz podniesienie poziomu efektywnego wykorzystania zasobów ludzkich</w:t>
            </w:r>
          </w:p>
          <w:p w14:paraId="028E451A" w14:textId="77777777" w:rsidR="00A559CF" w:rsidRPr="003D0CAC" w:rsidRDefault="00A559CF" w:rsidP="0072241F">
            <w:pPr>
              <w:spacing w:before="120" w:after="120"/>
              <w:rPr>
                <w:b w:val="0"/>
                <w:sz w:val="20"/>
                <w:szCs w:val="20"/>
              </w:rPr>
            </w:pPr>
            <w:r w:rsidRPr="003D0CAC">
              <w:rPr>
                <w:b w:val="0"/>
                <w:sz w:val="20"/>
                <w:szCs w:val="20"/>
              </w:rPr>
              <w:t>Obszar priorytetowy 12: Utrzymanie i wzmocnienie atrakcyjności Regionu Morza Bałtyckiego w szczególności poprzez edukację, turystykę i poziom zdrowotności</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26FDB144" w14:textId="77777777" w:rsidR="00A559CF" w:rsidRPr="003D0CAC" w:rsidRDefault="00A559CF" w:rsidP="0072241F">
            <w:pPr>
              <w:spacing w:before="120" w:after="120"/>
              <w:rPr>
                <w:b w:val="0"/>
                <w:sz w:val="20"/>
                <w:szCs w:val="20"/>
              </w:rPr>
            </w:pPr>
            <w:r w:rsidRPr="003D0CAC">
              <w:rPr>
                <w:b w:val="0"/>
                <w:sz w:val="20"/>
                <w:szCs w:val="20"/>
              </w:rPr>
              <w:t>Turystyka (poddziałanie 3.1.1 Infrastruktura zaplecza turystycznego/ przedsiębiorstwa</w:t>
            </w:r>
          </w:p>
          <w:p w14:paraId="6D8647BB" w14:textId="77777777" w:rsidR="00A559CF" w:rsidRPr="003D0CAC" w:rsidRDefault="00A559CF" w:rsidP="0072241F">
            <w:pPr>
              <w:spacing w:before="120" w:after="120"/>
              <w:rPr>
                <w:b w:val="0"/>
                <w:sz w:val="20"/>
                <w:szCs w:val="20"/>
              </w:rPr>
            </w:pPr>
            <w:r w:rsidRPr="003D0CAC">
              <w:rPr>
                <w:b w:val="0"/>
                <w:sz w:val="20"/>
                <w:szCs w:val="20"/>
              </w:rPr>
              <w:t>poddziałanie 3.2.1 Infrastruktura okołoturystyczna/ przedsiębiorstwa</w:t>
            </w:r>
          </w:p>
          <w:p w14:paraId="537AD375" w14:textId="77777777" w:rsidR="00A559CF" w:rsidRPr="003D0CAC" w:rsidRDefault="00A559CF" w:rsidP="0072241F">
            <w:pPr>
              <w:spacing w:before="120" w:after="120"/>
              <w:rPr>
                <w:b w:val="0"/>
                <w:sz w:val="20"/>
                <w:szCs w:val="20"/>
              </w:rPr>
            </w:pPr>
            <w:r w:rsidRPr="003D0CAC">
              <w:rPr>
                <w:b w:val="0"/>
                <w:sz w:val="20"/>
                <w:szCs w:val="20"/>
              </w:rPr>
              <w:t>poddziałanie 3.1.2 Infrastruktura zaplecza turystycznego/ podmioty publiczne</w:t>
            </w:r>
          </w:p>
          <w:p w14:paraId="2A0F1987" w14:textId="77777777" w:rsidR="00A559CF" w:rsidRPr="003D0CAC" w:rsidRDefault="00A559CF" w:rsidP="0072241F">
            <w:pPr>
              <w:spacing w:before="120" w:after="120"/>
              <w:rPr>
                <w:b w:val="0"/>
                <w:sz w:val="20"/>
                <w:szCs w:val="20"/>
              </w:rPr>
            </w:pPr>
            <w:r w:rsidRPr="003D0CAC">
              <w:rPr>
                <w:b w:val="0"/>
                <w:sz w:val="20"/>
                <w:szCs w:val="20"/>
              </w:rPr>
              <w:t>poddziałanie 3.2.2 Infrastruktura okołoturystyczna/ podmioty publiczne)</w:t>
            </w:r>
          </w:p>
        </w:tc>
      </w:tr>
      <w:tr w:rsidR="00A559CF" w:rsidRPr="003D0CAC" w14:paraId="32130F3F" w14:textId="77777777" w:rsidTr="0072241F">
        <w:tc>
          <w:tcPr>
            <w:cnfStyle w:val="001000000000" w:firstRow="0" w:lastRow="0" w:firstColumn="1" w:lastColumn="0" w:oddVBand="0" w:evenVBand="0" w:oddHBand="0" w:evenHBand="0" w:firstRowFirstColumn="0" w:firstRowLastColumn="0" w:lastRowFirstColumn="0" w:lastRowLastColumn="0"/>
            <w:tcW w:w="5422" w:type="dxa"/>
            <w:vAlign w:val="center"/>
          </w:tcPr>
          <w:p w14:paraId="319A335A" w14:textId="77777777" w:rsidR="00A559CF" w:rsidRPr="003D0CAC" w:rsidRDefault="00A559CF" w:rsidP="0072241F">
            <w:pPr>
              <w:spacing w:before="120" w:after="120"/>
              <w:rPr>
                <w:b w:val="0"/>
                <w:sz w:val="20"/>
                <w:szCs w:val="20"/>
              </w:rPr>
            </w:pPr>
            <w:r w:rsidRPr="003D0CAC">
              <w:rPr>
                <w:b w:val="0"/>
                <w:sz w:val="20"/>
                <w:szCs w:val="20"/>
              </w:rPr>
              <w:t>Obszar priorytetowy 12: Utrzymanie i wzmocnienie atrakcyjności Regionu Morza Bałtyckiego w szczególności poprzez edukację, turystykę i poziom zdrowotności</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03B0D61F" w14:textId="77777777" w:rsidR="00A559CF" w:rsidRPr="003D0CAC" w:rsidRDefault="00A559CF" w:rsidP="0072241F">
            <w:pPr>
              <w:spacing w:before="120" w:after="120"/>
              <w:rPr>
                <w:b w:val="0"/>
                <w:sz w:val="20"/>
                <w:szCs w:val="20"/>
              </w:rPr>
            </w:pPr>
            <w:r w:rsidRPr="003D0CAC">
              <w:rPr>
                <w:b w:val="0"/>
                <w:sz w:val="20"/>
                <w:szCs w:val="20"/>
              </w:rPr>
              <w:t>Kultura ( działanie 4.2 Systemy informacji kulturalnej)</w:t>
            </w:r>
          </w:p>
        </w:tc>
      </w:tr>
      <w:tr w:rsidR="00A559CF" w:rsidRPr="003D0CAC" w14:paraId="2AE5D19A" w14:textId="77777777" w:rsidTr="007224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203CAF44" w14:textId="77777777" w:rsidR="00A559CF" w:rsidRPr="003D0CAC" w:rsidRDefault="00A559CF" w:rsidP="0072241F">
            <w:pPr>
              <w:spacing w:before="120" w:after="120"/>
              <w:rPr>
                <w:b w:val="0"/>
                <w:sz w:val="20"/>
                <w:szCs w:val="20"/>
              </w:rPr>
            </w:pPr>
            <w:r w:rsidRPr="003D0CAC">
              <w:rPr>
                <w:b w:val="0"/>
                <w:sz w:val="20"/>
                <w:szCs w:val="20"/>
              </w:rPr>
              <w:t>Obszar priorytetowy 2: Zachowanie stref przyrodniczych oraz bioróżnorodności, uwzględniając łowiska morskie</w:t>
            </w:r>
          </w:p>
          <w:p w14:paraId="531C9334" w14:textId="77777777" w:rsidR="00A559CF" w:rsidRPr="003D0CAC" w:rsidRDefault="00A559CF" w:rsidP="0072241F">
            <w:pPr>
              <w:spacing w:before="120" w:after="120"/>
              <w:rPr>
                <w:b w:val="0"/>
                <w:sz w:val="20"/>
                <w:szCs w:val="20"/>
              </w:rPr>
            </w:pPr>
            <w:r w:rsidRPr="003D0CAC">
              <w:rPr>
                <w:b w:val="0"/>
                <w:sz w:val="20"/>
                <w:szCs w:val="20"/>
              </w:rPr>
              <w:t>Obszar priorytetowy 3: Redukcja użytkowania oraz wpływu substancji niebezpiecznych</w:t>
            </w:r>
          </w:p>
          <w:p w14:paraId="0A480105" w14:textId="77777777" w:rsidR="00A559CF" w:rsidRPr="003D0CAC" w:rsidRDefault="00A559CF" w:rsidP="0072241F">
            <w:pPr>
              <w:spacing w:before="120" w:after="120"/>
              <w:rPr>
                <w:b w:val="0"/>
                <w:sz w:val="20"/>
                <w:szCs w:val="20"/>
              </w:rPr>
            </w:pPr>
            <w:r w:rsidRPr="003D0CAC">
              <w:rPr>
                <w:b w:val="0"/>
                <w:sz w:val="20"/>
                <w:szCs w:val="20"/>
              </w:rPr>
              <w:t>Obszar priorytetowy 10: Poprawa dostępności, efektywności i bezpieczeństwa rynków energetycznych</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075BC91A" w14:textId="77777777" w:rsidR="00A559CF" w:rsidRPr="003D0CAC" w:rsidRDefault="00A559CF" w:rsidP="0072241F">
            <w:pPr>
              <w:spacing w:before="120" w:after="120"/>
              <w:rPr>
                <w:b w:val="0"/>
                <w:sz w:val="20"/>
                <w:szCs w:val="20"/>
              </w:rPr>
            </w:pPr>
            <w:r w:rsidRPr="003D0CAC">
              <w:rPr>
                <w:b w:val="0"/>
                <w:sz w:val="20"/>
                <w:szCs w:val="20"/>
              </w:rPr>
              <w:t>Środowisko (działanie 5.1 Gospodarka wodno –ściekowa</w:t>
            </w:r>
          </w:p>
          <w:p w14:paraId="673EAB55" w14:textId="77777777" w:rsidR="00A559CF" w:rsidRPr="003D0CAC" w:rsidRDefault="00A559CF" w:rsidP="0072241F">
            <w:pPr>
              <w:spacing w:before="120" w:after="120"/>
              <w:rPr>
                <w:b w:val="0"/>
                <w:sz w:val="20"/>
                <w:szCs w:val="20"/>
              </w:rPr>
            </w:pPr>
            <w:r w:rsidRPr="003D0CAC">
              <w:rPr>
                <w:b w:val="0"/>
                <w:sz w:val="20"/>
                <w:szCs w:val="20"/>
              </w:rPr>
              <w:t>działanie 5.2 Gospodarka odpadami</w:t>
            </w:r>
          </w:p>
          <w:p w14:paraId="6A3FC141" w14:textId="77777777" w:rsidR="00A559CF" w:rsidRPr="003D0CAC" w:rsidRDefault="00A559CF" w:rsidP="0072241F">
            <w:pPr>
              <w:spacing w:before="120" w:after="120"/>
              <w:rPr>
                <w:b w:val="0"/>
                <w:sz w:val="20"/>
                <w:szCs w:val="20"/>
              </w:rPr>
            </w:pPr>
            <w:r w:rsidRPr="003D0CAC">
              <w:rPr>
                <w:b w:val="0"/>
                <w:sz w:val="20"/>
                <w:szCs w:val="20"/>
              </w:rPr>
              <w:t>działanie 5.3 Czyste powietrze i odnawialne źródła energii)</w:t>
            </w:r>
          </w:p>
        </w:tc>
      </w:tr>
      <w:tr w:rsidR="00A559CF" w:rsidRPr="003D0CAC" w14:paraId="503640BE" w14:textId="77777777" w:rsidTr="0072241F">
        <w:trPr>
          <w:trHeight w:val="1121"/>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4DA6C581" w14:textId="77777777" w:rsidR="00A559CF" w:rsidRPr="003D0CAC" w:rsidRDefault="00A559CF" w:rsidP="0072241F">
            <w:pPr>
              <w:spacing w:before="120" w:after="120"/>
              <w:rPr>
                <w:b w:val="0"/>
                <w:sz w:val="20"/>
                <w:szCs w:val="20"/>
              </w:rPr>
            </w:pPr>
            <w:r w:rsidRPr="003D0CAC">
              <w:rPr>
                <w:b w:val="0"/>
                <w:sz w:val="20"/>
                <w:szCs w:val="20"/>
              </w:rPr>
              <w:t>Obszar priorytetowy 8: Wdrożenie Small Business Act: promocja przedsiębiorczości, wzmocnienie MŚP oraz podniesienie poziomu efektywnego wykorzystania zasobów ludzkich</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11F3C76C" w14:textId="77777777" w:rsidR="00A559CF" w:rsidRPr="003D0CAC" w:rsidRDefault="00A559CF" w:rsidP="0072241F">
            <w:pPr>
              <w:spacing w:before="120" w:after="120"/>
              <w:rPr>
                <w:b w:val="0"/>
                <w:sz w:val="20"/>
                <w:szCs w:val="20"/>
              </w:rPr>
            </w:pPr>
            <w:r w:rsidRPr="003D0CAC">
              <w:rPr>
                <w:b w:val="0"/>
                <w:sz w:val="20"/>
                <w:szCs w:val="20"/>
              </w:rPr>
              <w:t>Zrównoważony rozwój miast ( poddziałanie 6.2.1 Rewitalizacja – „duże miasta”)</w:t>
            </w:r>
          </w:p>
        </w:tc>
      </w:tr>
      <w:tr w:rsidR="00A559CF" w:rsidRPr="003D0CAC" w14:paraId="1E498A03" w14:textId="77777777" w:rsidTr="0072241F">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4C5E8FF1" w14:textId="77777777" w:rsidR="00A559CF" w:rsidRPr="003D0CAC" w:rsidRDefault="00A559CF" w:rsidP="0072241F">
            <w:pPr>
              <w:spacing w:before="120" w:after="120"/>
              <w:rPr>
                <w:b w:val="0"/>
                <w:sz w:val="20"/>
                <w:szCs w:val="20"/>
              </w:rPr>
            </w:pPr>
            <w:r w:rsidRPr="003D0CAC">
              <w:rPr>
                <w:b w:val="0"/>
                <w:sz w:val="20"/>
                <w:szCs w:val="20"/>
              </w:rPr>
              <w:t>Obszar priorytetowy 11: Wzmocnienie wewnętrznych i zewnętrznych połączeń transportowych</w:t>
            </w:r>
          </w:p>
          <w:p w14:paraId="62C4DF00" w14:textId="77777777" w:rsidR="00A559CF" w:rsidRPr="003D0CAC" w:rsidRDefault="00A559CF" w:rsidP="0072241F">
            <w:pPr>
              <w:spacing w:before="120" w:after="120"/>
              <w:rPr>
                <w:b w:val="0"/>
                <w:sz w:val="20"/>
                <w:szCs w:val="20"/>
              </w:rPr>
            </w:pPr>
            <w:r w:rsidRPr="003D0CAC">
              <w:rPr>
                <w:b w:val="0"/>
                <w:sz w:val="20"/>
                <w:szCs w:val="20"/>
              </w:rPr>
              <w:t>Obszar priorytetowy 12: Utrzymanie i wzmocnienie atrakcyjności Regionu Morza Bałtyckiego w szczególności poprzez edukację, turystykę i poziom zdrowotności</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35ABE3A9" w14:textId="77777777" w:rsidR="00A559CF" w:rsidRPr="003D0CAC" w:rsidRDefault="00A559CF" w:rsidP="0072241F">
            <w:pPr>
              <w:spacing w:before="120" w:after="120"/>
              <w:rPr>
                <w:b w:val="0"/>
                <w:sz w:val="20"/>
                <w:szCs w:val="20"/>
              </w:rPr>
            </w:pPr>
            <w:r w:rsidRPr="003D0CAC">
              <w:rPr>
                <w:b w:val="0"/>
                <w:sz w:val="20"/>
                <w:szCs w:val="20"/>
              </w:rPr>
              <w:t>Transport (działanie 7.1 Modernizacja i rozbudowa sieci drogowej, działanie 7.2 Transport publiczny)</w:t>
            </w:r>
          </w:p>
        </w:tc>
      </w:tr>
      <w:tr w:rsidR="00A559CF" w:rsidRPr="003D0CAC" w14:paraId="312114AF" w14:textId="77777777" w:rsidTr="0072241F">
        <w:trPr>
          <w:trHeight w:val="1531"/>
        </w:trPr>
        <w:tc>
          <w:tcPr>
            <w:cnfStyle w:val="001000000000" w:firstRow="0" w:lastRow="0" w:firstColumn="1" w:lastColumn="0" w:oddVBand="0" w:evenVBand="0" w:oddHBand="0" w:evenHBand="0" w:firstRowFirstColumn="0" w:firstRowLastColumn="0" w:lastRowFirstColumn="0" w:lastRowLastColumn="0"/>
            <w:tcW w:w="5422" w:type="dxa"/>
            <w:vAlign w:val="center"/>
          </w:tcPr>
          <w:p w14:paraId="064050BD" w14:textId="77777777" w:rsidR="00A559CF" w:rsidRPr="003D0CAC" w:rsidRDefault="00A559CF" w:rsidP="0072241F">
            <w:pPr>
              <w:spacing w:before="120" w:after="120"/>
              <w:rPr>
                <w:b w:val="0"/>
                <w:sz w:val="20"/>
                <w:szCs w:val="20"/>
              </w:rPr>
            </w:pPr>
            <w:r w:rsidRPr="003D0CAC">
              <w:rPr>
                <w:b w:val="0"/>
                <w:sz w:val="20"/>
                <w:szCs w:val="20"/>
              </w:rPr>
              <w:lastRenderedPageBreak/>
              <w:t>Obszar priorytetowy 12: Utrzymanie i wzmocnienie atrakcyjności Regionu Morza Bałtyckiego w szczególności poprzez edukację, turystykę i poziom zdrowotności</w:t>
            </w:r>
          </w:p>
        </w:tc>
        <w:tc>
          <w:tcPr>
            <w:cnfStyle w:val="000100000000" w:firstRow="0" w:lastRow="0" w:firstColumn="0" w:lastColumn="1" w:oddVBand="0" w:evenVBand="0" w:oddHBand="0" w:evenHBand="0" w:firstRowFirstColumn="0" w:firstRowLastColumn="0" w:lastRowFirstColumn="0" w:lastRowLastColumn="0"/>
            <w:tcW w:w="4076" w:type="dxa"/>
            <w:vAlign w:val="center"/>
          </w:tcPr>
          <w:p w14:paraId="6C660640" w14:textId="77777777" w:rsidR="00A559CF" w:rsidRPr="003D0CAC" w:rsidRDefault="00A559CF" w:rsidP="0072241F">
            <w:pPr>
              <w:spacing w:before="120" w:after="120"/>
              <w:rPr>
                <w:b w:val="0"/>
                <w:sz w:val="20"/>
                <w:szCs w:val="20"/>
              </w:rPr>
            </w:pPr>
            <w:r w:rsidRPr="003D0CAC">
              <w:rPr>
                <w:b w:val="0"/>
                <w:sz w:val="20"/>
                <w:szCs w:val="20"/>
              </w:rPr>
              <w:t>Infrastruktura edukacyjna (działania 8.1 Infrastruktura szkolnictwa wyższego</w:t>
            </w:r>
          </w:p>
          <w:p w14:paraId="210AA9CE" w14:textId="77777777" w:rsidR="00A559CF" w:rsidRPr="003D0CAC" w:rsidRDefault="00A559CF" w:rsidP="0072241F">
            <w:pPr>
              <w:spacing w:before="120" w:after="120"/>
              <w:rPr>
                <w:b w:val="0"/>
                <w:sz w:val="20"/>
                <w:szCs w:val="20"/>
              </w:rPr>
            </w:pPr>
            <w:r w:rsidRPr="003D0CAC">
              <w:rPr>
                <w:b w:val="0"/>
                <w:sz w:val="20"/>
                <w:szCs w:val="20"/>
              </w:rPr>
              <w:t>działania 8.2 Infrastruktura placówek oświaty, działania 8.3 Infrastruktura kształcenia ustawicznego)</w:t>
            </w:r>
          </w:p>
        </w:tc>
      </w:tr>
      <w:tr w:rsidR="00A559CF" w:rsidRPr="003D0CAC" w14:paraId="30D35FA6" w14:textId="77777777" w:rsidTr="0072241F">
        <w:trPr>
          <w:cnfStyle w:val="010000000000" w:firstRow="0" w:lastRow="1" w:firstColumn="0" w:lastColumn="0" w:oddVBand="0" w:evenVBand="0" w:oddHBand="0" w:evenHBand="0" w:firstRowFirstColumn="0" w:firstRowLastColumn="0" w:lastRowFirstColumn="0" w:lastRowLastColumn="0"/>
          <w:trHeight w:val="1114"/>
        </w:trPr>
        <w:tc>
          <w:tcPr>
            <w:cnfStyle w:val="001000000001" w:firstRow="0" w:lastRow="0" w:firstColumn="1" w:lastColumn="0" w:oddVBand="0" w:evenVBand="0" w:oddHBand="0" w:evenHBand="0" w:firstRowFirstColumn="0" w:firstRowLastColumn="0" w:lastRowFirstColumn="1" w:lastRowLastColumn="0"/>
            <w:tcW w:w="5422" w:type="dxa"/>
            <w:vAlign w:val="center"/>
          </w:tcPr>
          <w:p w14:paraId="5D23570A" w14:textId="77777777" w:rsidR="00A559CF" w:rsidRPr="003D0CAC" w:rsidRDefault="00A559CF" w:rsidP="0072241F">
            <w:pPr>
              <w:spacing w:before="120" w:after="120"/>
              <w:rPr>
                <w:b w:val="0"/>
                <w:sz w:val="20"/>
                <w:szCs w:val="20"/>
              </w:rPr>
            </w:pPr>
            <w:r w:rsidRPr="003D0CAC">
              <w:rPr>
                <w:b w:val="0"/>
                <w:sz w:val="20"/>
                <w:szCs w:val="20"/>
              </w:rPr>
              <w:t>Obszar priorytetowy 12: Utrzymanie i wzmocnienie atrakcyjności Regionu Morza Bałtyckiego w szczególności poprzez edukację, turystykę i poziom zdrowotności</w:t>
            </w:r>
          </w:p>
        </w:tc>
        <w:tc>
          <w:tcPr>
            <w:cnfStyle w:val="000100000010" w:firstRow="0" w:lastRow="0" w:firstColumn="0" w:lastColumn="1" w:oddVBand="0" w:evenVBand="0" w:oddHBand="0" w:evenHBand="0" w:firstRowFirstColumn="0" w:firstRowLastColumn="0" w:lastRowFirstColumn="0" w:lastRowLastColumn="1"/>
            <w:tcW w:w="4076" w:type="dxa"/>
            <w:vAlign w:val="center"/>
          </w:tcPr>
          <w:p w14:paraId="2FCEEFD4" w14:textId="77777777" w:rsidR="00A559CF" w:rsidRPr="003D0CAC" w:rsidRDefault="00A559CF" w:rsidP="0072241F">
            <w:pPr>
              <w:spacing w:before="120" w:after="120"/>
              <w:rPr>
                <w:b w:val="0"/>
                <w:sz w:val="20"/>
                <w:szCs w:val="20"/>
              </w:rPr>
            </w:pPr>
            <w:r w:rsidRPr="003D0CAC">
              <w:rPr>
                <w:b w:val="0"/>
                <w:sz w:val="20"/>
                <w:szCs w:val="20"/>
              </w:rPr>
              <w:t>Zdrowie i rekreacja (działanie 9.1 Infrastruktura lecznictwa zamkniętego, działanie 9.2 Infrastruktura lecznictwa otwartego)</w:t>
            </w:r>
          </w:p>
        </w:tc>
      </w:tr>
    </w:tbl>
    <w:p w14:paraId="19BF6FD8" w14:textId="77777777" w:rsidR="00046D74" w:rsidRDefault="00046D74" w:rsidP="00046D74">
      <w:pPr>
        <w:pStyle w:val="Nagwek1"/>
        <w:numPr>
          <w:ilvl w:val="0"/>
          <w:numId w:val="28"/>
        </w:numPr>
        <w:tabs>
          <w:tab w:val="left" w:pos="851"/>
        </w:tabs>
        <w:spacing w:after="120"/>
        <w:ind w:left="360"/>
        <w:jc w:val="both"/>
        <w:rPr>
          <w:bCs w:val="0"/>
          <w:szCs w:val="24"/>
        </w:rPr>
      </w:pPr>
      <w:bookmarkStart w:id="148" w:name="_Toc477779757"/>
      <w:bookmarkStart w:id="149" w:name="_Toc292789265"/>
      <w:bookmarkStart w:id="150" w:name="_Toc292793550"/>
      <w:bookmarkStart w:id="151" w:name="_Toc391466350"/>
      <w:bookmarkStart w:id="152" w:name="_Toc423351767"/>
      <w:bookmarkEnd w:id="141"/>
      <w:bookmarkEnd w:id="142"/>
      <w:bookmarkEnd w:id="143"/>
      <w:bookmarkEnd w:id="144"/>
      <w:r w:rsidRPr="006D71C7">
        <w:rPr>
          <w:bCs w:val="0"/>
          <w:szCs w:val="24"/>
        </w:rPr>
        <w:t>INFORMACJA NA TEMAT ZGODNOŚCI Z PRZEPISAMI WSPÓLNOTOWYMI</w:t>
      </w:r>
      <w:bookmarkEnd w:id="148"/>
    </w:p>
    <w:p w14:paraId="60327BDF" w14:textId="77777777" w:rsidR="00046D74" w:rsidRPr="006D71C7" w:rsidRDefault="00046D74" w:rsidP="00046D74">
      <w:pPr>
        <w:autoSpaceDE w:val="0"/>
        <w:autoSpaceDN w:val="0"/>
        <w:adjustRightInd w:val="0"/>
        <w:spacing w:after="120"/>
        <w:jc w:val="both"/>
        <w:rPr>
          <w:rFonts w:eastAsia="Calibri"/>
          <w:b/>
          <w:bCs/>
          <w:sz w:val="36"/>
          <w:szCs w:val="24"/>
        </w:rPr>
      </w:pPr>
      <w:r w:rsidRPr="006D71C7">
        <w:rPr>
          <w:rFonts w:eastAsia="Calibri"/>
          <w:szCs w:val="24"/>
        </w:rPr>
        <w:t>Zapisy RPO WSL oraz pozostałych dokumentów programowych i wdrożeniowych zapewnia</w:t>
      </w:r>
      <w:r>
        <w:rPr>
          <w:rFonts w:eastAsia="Calibri"/>
          <w:szCs w:val="24"/>
        </w:rPr>
        <w:t>ły</w:t>
      </w:r>
      <w:r w:rsidRPr="006D71C7">
        <w:rPr>
          <w:rFonts w:eastAsia="Calibri"/>
          <w:szCs w:val="24"/>
        </w:rPr>
        <w:t xml:space="preserve"> od początku wdrażania </w:t>
      </w:r>
      <w:r w:rsidRPr="006D71C7">
        <w:rPr>
          <w:rFonts w:eastAsia="Calibri"/>
          <w:i/>
          <w:szCs w:val="24"/>
        </w:rPr>
        <w:t>Programu</w:t>
      </w:r>
      <w:r w:rsidRPr="006D71C7">
        <w:rPr>
          <w:rFonts w:eastAsia="Calibri"/>
          <w:szCs w:val="24"/>
        </w:rPr>
        <w:t xml:space="preserve"> i na każdym etapie zgodność operacji z przepisami prawa wspólnotowego, w tym również przestrzegania zasad poszczególnych polityk wspólnotowych.</w:t>
      </w:r>
    </w:p>
    <w:p w14:paraId="0BC70204" w14:textId="77777777" w:rsidR="00046D74" w:rsidRPr="006D71C7" w:rsidRDefault="00046D74" w:rsidP="00046D74">
      <w:pPr>
        <w:autoSpaceDE w:val="0"/>
        <w:autoSpaceDN w:val="0"/>
        <w:adjustRightInd w:val="0"/>
        <w:spacing w:after="0"/>
        <w:jc w:val="both"/>
        <w:rPr>
          <w:szCs w:val="24"/>
        </w:rPr>
      </w:pPr>
      <w:r w:rsidRPr="006D71C7">
        <w:rPr>
          <w:szCs w:val="24"/>
        </w:rPr>
        <w:t>Do działa</w:t>
      </w:r>
      <w:r w:rsidRPr="006D71C7">
        <w:rPr>
          <w:rFonts w:eastAsia="TimesNewRoman"/>
          <w:szCs w:val="24"/>
        </w:rPr>
        <w:t xml:space="preserve">ń </w:t>
      </w:r>
      <w:r w:rsidRPr="006D71C7">
        <w:rPr>
          <w:szCs w:val="24"/>
        </w:rPr>
        <w:t>zwi</w:t>
      </w:r>
      <w:r w:rsidRPr="006D71C7">
        <w:rPr>
          <w:rFonts w:eastAsia="TimesNewRoman"/>
          <w:szCs w:val="24"/>
        </w:rPr>
        <w:t>ą</w:t>
      </w:r>
      <w:r w:rsidRPr="006D71C7">
        <w:rPr>
          <w:szCs w:val="24"/>
        </w:rPr>
        <w:t>zanych z zapewnieniem zgodno</w:t>
      </w:r>
      <w:r w:rsidRPr="006D71C7">
        <w:rPr>
          <w:rFonts w:eastAsia="TimesNewRoman"/>
          <w:szCs w:val="24"/>
        </w:rPr>
        <w:t>ś</w:t>
      </w:r>
      <w:r w:rsidRPr="006D71C7">
        <w:rPr>
          <w:szCs w:val="24"/>
        </w:rPr>
        <w:t xml:space="preserve">ci realizacji </w:t>
      </w:r>
      <w:r w:rsidRPr="006D71C7">
        <w:rPr>
          <w:i/>
          <w:szCs w:val="24"/>
        </w:rPr>
        <w:t>Programu</w:t>
      </w:r>
      <w:r w:rsidRPr="006D71C7">
        <w:rPr>
          <w:szCs w:val="24"/>
        </w:rPr>
        <w:t xml:space="preserve"> z przepisami wspólnotowymi mo</w:t>
      </w:r>
      <w:r w:rsidRPr="006D71C7">
        <w:rPr>
          <w:rFonts w:eastAsia="TimesNewRoman"/>
          <w:szCs w:val="24"/>
        </w:rPr>
        <w:t>ż</w:t>
      </w:r>
      <w:r w:rsidRPr="006D71C7">
        <w:rPr>
          <w:szCs w:val="24"/>
        </w:rPr>
        <w:t xml:space="preserve">na </w:t>
      </w:r>
      <w:r>
        <w:rPr>
          <w:szCs w:val="24"/>
        </w:rPr>
        <w:t xml:space="preserve">było </w:t>
      </w:r>
      <w:r w:rsidRPr="006D71C7">
        <w:rPr>
          <w:szCs w:val="24"/>
        </w:rPr>
        <w:t>zaliczy</w:t>
      </w:r>
      <w:r w:rsidRPr="006D71C7">
        <w:rPr>
          <w:rFonts w:eastAsia="TimesNewRoman"/>
          <w:szCs w:val="24"/>
        </w:rPr>
        <w:t xml:space="preserve">ć </w:t>
      </w:r>
      <w:r w:rsidRPr="006D71C7">
        <w:rPr>
          <w:szCs w:val="24"/>
        </w:rPr>
        <w:t>przede wszystkim:</w:t>
      </w:r>
    </w:p>
    <w:p w14:paraId="6CA50B6C" w14:textId="07F48FD3" w:rsidR="00046D74" w:rsidRPr="006D71C7" w:rsidRDefault="00046D74" w:rsidP="004914D8">
      <w:pPr>
        <w:pStyle w:val="Default"/>
        <w:numPr>
          <w:ilvl w:val="0"/>
          <w:numId w:val="53"/>
        </w:numPr>
        <w:tabs>
          <w:tab w:val="left" w:pos="0"/>
        </w:tabs>
        <w:spacing w:line="276" w:lineRule="auto"/>
        <w:ind w:left="851"/>
        <w:jc w:val="both"/>
        <w:rPr>
          <w:color w:val="auto"/>
        </w:rPr>
      </w:pPr>
      <w:r w:rsidRPr="006D71C7">
        <w:rPr>
          <w:color w:val="auto"/>
        </w:rPr>
        <w:t>obowiązek dostarczenia dokumentu stwierdzającego fakt, czy dany projekt może wywierać istotny negatywny wpływ na obszary objęte lub, które mają być objęte siecią Natura 2000, proje</w:t>
      </w:r>
      <w:r>
        <w:rPr>
          <w:color w:val="auto"/>
        </w:rPr>
        <w:t>kty, które negatywnie oddziaływa</w:t>
      </w:r>
      <w:r w:rsidRPr="006D71C7">
        <w:rPr>
          <w:color w:val="auto"/>
        </w:rPr>
        <w:t>ją na potencjalne obszary Natura 2000 nie mogą otrzymać dofinansowania,</w:t>
      </w:r>
    </w:p>
    <w:p w14:paraId="12B42260" w14:textId="6D95F179" w:rsidR="00046D74" w:rsidRDefault="00046D74" w:rsidP="004914D8">
      <w:pPr>
        <w:pStyle w:val="Default"/>
        <w:numPr>
          <w:ilvl w:val="0"/>
          <w:numId w:val="53"/>
        </w:numPr>
        <w:tabs>
          <w:tab w:val="left" w:pos="0"/>
        </w:tabs>
        <w:spacing w:line="276" w:lineRule="auto"/>
        <w:ind w:left="851"/>
        <w:jc w:val="both"/>
        <w:rPr>
          <w:color w:val="auto"/>
        </w:rPr>
      </w:pPr>
      <w:r w:rsidRPr="0094707D">
        <w:rPr>
          <w:color w:val="auto"/>
        </w:rPr>
        <w:t>umiejscowienie w strukturze IZ RPO WSL koordynatora ds. środowiska gwarantującego odpowiednie uwzględnienie wymiaru środowiskowego i jego monitoring na wszystkich poziomach realizacji RPO WSL, ponadto IZ RPO WSL przygoto</w:t>
      </w:r>
      <w:r>
        <w:rPr>
          <w:color w:val="auto"/>
        </w:rPr>
        <w:t>wywała,</w:t>
      </w:r>
      <w:r w:rsidRPr="0094707D">
        <w:rPr>
          <w:color w:val="auto"/>
        </w:rPr>
        <w:t xml:space="preserve"> co roku </w:t>
      </w:r>
      <w:r w:rsidRPr="0094707D">
        <w:rPr>
          <w:i/>
          <w:color w:val="auto"/>
        </w:rPr>
        <w:t>Raport środowiskowy</w:t>
      </w:r>
      <w:r w:rsidRPr="0094707D">
        <w:rPr>
          <w:color w:val="auto"/>
        </w:rPr>
        <w:t>,</w:t>
      </w:r>
    </w:p>
    <w:p w14:paraId="23978555" w14:textId="77777777" w:rsidR="00046D74" w:rsidRPr="0094707D" w:rsidRDefault="00046D74" w:rsidP="004914D8">
      <w:pPr>
        <w:pStyle w:val="Default"/>
        <w:numPr>
          <w:ilvl w:val="0"/>
          <w:numId w:val="53"/>
        </w:numPr>
        <w:tabs>
          <w:tab w:val="left" w:pos="0"/>
        </w:tabs>
        <w:spacing w:line="276" w:lineRule="auto"/>
        <w:ind w:left="851"/>
        <w:jc w:val="both"/>
        <w:rPr>
          <w:color w:val="auto"/>
        </w:rPr>
      </w:pPr>
      <w:r w:rsidRPr="0094707D">
        <w:rPr>
          <w:color w:val="auto"/>
        </w:rPr>
        <w:t>zapewnienie, że każde wsparcie stanowiące pomoc publiczną udzielane w ramach RPO WSL, jest zgodne z przepisami dotyczącymi zasad udzielania tej pomocy, każdy beneficjent składający wniosek o dofinansowanie w ramach RPO WSL musi określić czy projekt podlega regułom pomocy publicznej (czy realizacja narusza bądź zagraża naruszaniu wspólnego rynku w rozumieniu Traktatu Ustanawiającego Wspólnotę Europejską), które następnie są weryfikowane przez IZ RPO WSL na etapie oceny,</w:t>
      </w:r>
    </w:p>
    <w:p w14:paraId="06E2DA29" w14:textId="21C95D76" w:rsidR="00046D74" w:rsidRPr="006D71C7" w:rsidRDefault="00046D74" w:rsidP="004914D8">
      <w:pPr>
        <w:pStyle w:val="Default"/>
        <w:numPr>
          <w:ilvl w:val="0"/>
          <w:numId w:val="53"/>
        </w:numPr>
        <w:tabs>
          <w:tab w:val="left" w:pos="0"/>
        </w:tabs>
        <w:spacing w:line="276" w:lineRule="auto"/>
        <w:ind w:left="851"/>
        <w:jc w:val="both"/>
        <w:rPr>
          <w:color w:val="auto"/>
        </w:rPr>
      </w:pPr>
      <w:r w:rsidRPr="006D71C7">
        <w:rPr>
          <w:iCs/>
          <w:color w:val="auto"/>
        </w:rPr>
        <w:t>IZ RPO WSL przyjęła odpowiednie kryteria wyboru projektów do dofinansowania dot. polityk horyzontalnych (ok</w:t>
      </w:r>
      <w:r w:rsidRPr="006D71C7">
        <w:rPr>
          <w:color w:val="auto"/>
        </w:rPr>
        <w:t>reślenie stopnia realizacji polityki równych szans, polityki ochrony środowiska, wpływ projektu na utworzenie nowych miejsc pracy, w tym dla osób niepełnosprawnych, dostępność dla niepełnosprawnych), projekt mają</w:t>
      </w:r>
      <w:r w:rsidR="00A02892">
        <w:rPr>
          <w:color w:val="auto"/>
        </w:rPr>
        <w:t>cy pozytywny wpływ na realizację</w:t>
      </w:r>
      <w:r w:rsidRPr="006D71C7">
        <w:rPr>
          <w:color w:val="auto"/>
        </w:rPr>
        <w:t xml:space="preserve"> poszczególnych polityk horyzontalnych otrzym</w:t>
      </w:r>
      <w:r>
        <w:rPr>
          <w:color w:val="auto"/>
        </w:rPr>
        <w:t>ywał</w:t>
      </w:r>
      <w:r w:rsidRPr="006D71C7">
        <w:rPr>
          <w:color w:val="auto"/>
        </w:rPr>
        <w:t xml:space="preserve"> dodatkowe punkty w trakcie przeprowadzanej oceny merytoryczno-technicznej, co w konsekwencji zwiększa</w:t>
      </w:r>
      <w:r>
        <w:rPr>
          <w:color w:val="auto"/>
        </w:rPr>
        <w:t>ło</w:t>
      </w:r>
      <w:r w:rsidRPr="006D71C7">
        <w:rPr>
          <w:color w:val="auto"/>
        </w:rPr>
        <w:t xml:space="preserve"> jego szansę na otrzymanie dofinansowania,</w:t>
      </w:r>
    </w:p>
    <w:p w14:paraId="47D806EC" w14:textId="77777777" w:rsidR="00046D74" w:rsidRPr="006D71C7" w:rsidRDefault="00046D74" w:rsidP="004914D8">
      <w:pPr>
        <w:pStyle w:val="Default"/>
        <w:numPr>
          <w:ilvl w:val="0"/>
          <w:numId w:val="53"/>
        </w:numPr>
        <w:tabs>
          <w:tab w:val="left" w:pos="0"/>
        </w:tabs>
        <w:spacing w:line="276" w:lineRule="auto"/>
        <w:ind w:left="851"/>
        <w:jc w:val="both"/>
        <w:rPr>
          <w:color w:val="auto"/>
        </w:rPr>
      </w:pPr>
      <w:r w:rsidRPr="006D71C7">
        <w:rPr>
          <w:color w:val="auto"/>
        </w:rPr>
        <w:t>monitorowanie co roku wskaźników horyzontalnych dot. redukcji zużycia energii oraz osób niepełnosprawnych, postęp realizacji wskaźników został przedstawiony w </w:t>
      </w:r>
      <w:r w:rsidRPr="001E62D6">
        <w:rPr>
          <w:color w:val="auto"/>
        </w:rPr>
        <w:t>załączniku nr I</w:t>
      </w:r>
      <w:r w:rsidRPr="006D71C7">
        <w:rPr>
          <w:color w:val="auto"/>
        </w:rPr>
        <w:t xml:space="preserve"> do niniejszego </w:t>
      </w:r>
      <w:r w:rsidRPr="006D71C7">
        <w:rPr>
          <w:i/>
          <w:color w:val="auto"/>
        </w:rPr>
        <w:t>Sprawozdania,</w:t>
      </w:r>
    </w:p>
    <w:p w14:paraId="458E7622" w14:textId="77777777" w:rsidR="00046D74" w:rsidRPr="006D71C7" w:rsidRDefault="00046D74" w:rsidP="00A15C89">
      <w:pPr>
        <w:pStyle w:val="Default"/>
        <w:numPr>
          <w:ilvl w:val="0"/>
          <w:numId w:val="53"/>
        </w:numPr>
        <w:tabs>
          <w:tab w:val="left" w:pos="0"/>
        </w:tabs>
        <w:spacing w:after="120" w:line="276" w:lineRule="auto"/>
        <w:ind w:left="850" w:hanging="357"/>
        <w:jc w:val="both"/>
        <w:rPr>
          <w:color w:val="auto"/>
        </w:rPr>
      </w:pPr>
      <w:r w:rsidRPr="006D71C7">
        <w:rPr>
          <w:color w:val="auto"/>
        </w:rPr>
        <w:lastRenderedPageBreak/>
        <w:t>projekty, które mają negatywny wpływ na którąkolwiek z polityk horyzontalnych nie otrzym</w:t>
      </w:r>
      <w:r>
        <w:rPr>
          <w:color w:val="auto"/>
        </w:rPr>
        <w:t>ywały</w:t>
      </w:r>
      <w:r w:rsidRPr="006D71C7">
        <w:rPr>
          <w:color w:val="auto"/>
        </w:rPr>
        <w:t xml:space="preserve"> dofinansowania w ramach </w:t>
      </w:r>
      <w:r w:rsidRPr="006D71C7">
        <w:rPr>
          <w:i/>
          <w:color w:val="auto"/>
        </w:rPr>
        <w:t>Programu.</w:t>
      </w:r>
    </w:p>
    <w:p w14:paraId="0556CD7F" w14:textId="77777777" w:rsidR="00046D74" w:rsidRPr="00B45C7B" w:rsidRDefault="00046D74" w:rsidP="00046D74">
      <w:pPr>
        <w:spacing w:after="120"/>
        <w:jc w:val="both"/>
      </w:pPr>
      <w:r w:rsidRPr="006D71C7">
        <w:t>W</w:t>
      </w:r>
      <w:r>
        <w:t xml:space="preserve"> okresie</w:t>
      </w:r>
      <w:r w:rsidRPr="006D71C7">
        <w:t xml:space="preserve"> </w:t>
      </w:r>
      <w:r>
        <w:t xml:space="preserve">wdrażania </w:t>
      </w:r>
      <w:r>
        <w:rPr>
          <w:i/>
        </w:rPr>
        <w:t>Programu</w:t>
      </w:r>
      <w:r w:rsidRPr="006D71C7">
        <w:t xml:space="preserve"> nie występowały problemy związane z przestrzeganiem poszczególnych polityk wspólnotowych.</w:t>
      </w:r>
    </w:p>
    <w:p w14:paraId="6E163E20" w14:textId="77777777" w:rsidR="00046D74" w:rsidRPr="00173F77" w:rsidRDefault="00046D74" w:rsidP="009574D1">
      <w:pPr>
        <w:pStyle w:val="Nagwek1"/>
        <w:numPr>
          <w:ilvl w:val="1"/>
          <w:numId w:val="28"/>
        </w:numPr>
        <w:tabs>
          <w:tab w:val="left" w:pos="851"/>
        </w:tabs>
        <w:spacing w:after="120"/>
        <w:jc w:val="both"/>
      </w:pPr>
      <w:bookmarkStart w:id="153" w:name="_Toc324853872"/>
      <w:bookmarkStart w:id="154" w:name="_Toc391466348"/>
      <w:bookmarkStart w:id="155" w:name="_Toc391466659"/>
      <w:bookmarkStart w:id="156" w:name="_Toc473117318"/>
      <w:bookmarkStart w:id="157" w:name="_Toc477779758"/>
      <w:r w:rsidRPr="00173F77">
        <w:t>Zasada równości szans</w:t>
      </w:r>
      <w:bookmarkEnd w:id="153"/>
      <w:bookmarkEnd w:id="154"/>
      <w:bookmarkEnd w:id="155"/>
      <w:bookmarkEnd w:id="156"/>
      <w:bookmarkEnd w:id="157"/>
    </w:p>
    <w:p w14:paraId="665A4C48" w14:textId="77777777" w:rsidR="00046D74" w:rsidRPr="006D71C7" w:rsidRDefault="00046D74" w:rsidP="00046D74">
      <w:pPr>
        <w:spacing w:after="0"/>
        <w:jc w:val="both"/>
      </w:pPr>
      <w:r>
        <w:rPr>
          <w:szCs w:val="24"/>
        </w:rPr>
        <w:t>IZ RPO WSL realizowała</w:t>
      </w:r>
      <w:r w:rsidRPr="006D71C7">
        <w:rPr>
          <w:szCs w:val="24"/>
        </w:rPr>
        <w:t xml:space="preserve"> zasadę równości szans na:</w:t>
      </w:r>
    </w:p>
    <w:p w14:paraId="312D4D55" w14:textId="77777777" w:rsidR="00046D74" w:rsidRPr="006A28E8" w:rsidRDefault="00046D74" w:rsidP="004914D8">
      <w:pPr>
        <w:pStyle w:val="Default"/>
        <w:numPr>
          <w:ilvl w:val="0"/>
          <w:numId w:val="52"/>
        </w:numPr>
        <w:spacing w:line="276" w:lineRule="auto"/>
        <w:ind w:left="708"/>
        <w:jc w:val="both"/>
        <w:rPr>
          <w:bCs/>
          <w:color w:val="auto"/>
        </w:rPr>
      </w:pPr>
      <w:r w:rsidRPr="006A28E8">
        <w:rPr>
          <w:i/>
          <w:color w:val="auto"/>
        </w:rPr>
        <w:t>etapie programowania/wdrażania</w:t>
      </w:r>
      <w:r w:rsidRPr="006A28E8">
        <w:rPr>
          <w:color w:val="auto"/>
        </w:rPr>
        <w:t>: w celu zapewnienia równości szans w ramach RPO WSL utworzono kryterium formalno – merytoryczne w rama</w:t>
      </w:r>
      <w:r>
        <w:rPr>
          <w:color w:val="auto"/>
        </w:rPr>
        <w:t>ch procedury wyboru projektów (</w:t>
      </w:r>
      <w:r w:rsidRPr="00D97C2B">
        <w:rPr>
          <w:i/>
          <w:color w:val="auto"/>
        </w:rPr>
        <w:t>Zgodność projektu z politykami horyzontalnymi</w:t>
      </w:r>
      <w:r w:rsidRPr="006A28E8">
        <w:rPr>
          <w:color w:val="auto"/>
        </w:rPr>
        <w:t xml:space="preserve">), którego spełnienie </w:t>
      </w:r>
      <w:r>
        <w:rPr>
          <w:color w:val="auto"/>
        </w:rPr>
        <w:t>było</w:t>
      </w:r>
      <w:r w:rsidRPr="006A28E8">
        <w:rPr>
          <w:color w:val="auto"/>
        </w:rPr>
        <w:t xml:space="preserve"> możliwe wyłącznie w przypadku, gdy projekt </w:t>
      </w:r>
      <w:r>
        <w:rPr>
          <w:color w:val="auto"/>
        </w:rPr>
        <w:t>był</w:t>
      </w:r>
      <w:r w:rsidRPr="006A28E8">
        <w:rPr>
          <w:color w:val="auto"/>
        </w:rPr>
        <w:t xml:space="preserve"> zgodny z politykami horyzontalnymi</w:t>
      </w:r>
      <w:r>
        <w:rPr>
          <w:color w:val="auto"/>
        </w:rPr>
        <w:t xml:space="preserve">. </w:t>
      </w:r>
      <w:r w:rsidRPr="006A28E8">
        <w:rPr>
          <w:color w:val="auto"/>
        </w:rPr>
        <w:t xml:space="preserve">Dodatkowo </w:t>
      </w:r>
      <w:r w:rsidRPr="006A28E8">
        <w:rPr>
          <w:bCs/>
          <w:color w:val="auto"/>
        </w:rPr>
        <w:t>wszyscy beneficjenci m</w:t>
      </w:r>
      <w:r>
        <w:rPr>
          <w:bCs/>
          <w:color w:val="auto"/>
        </w:rPr>
        <w:t>ieli</w:t>
      </w:r>
      <w:r w:rsidRPr="006A28E8">
        <w:rPr>
          <w:bCs/>
          <w:color w:val="auto"/>
        </w:rPr>
        <w:t xml:space="preserve"> równy dostęp do informacji np. nt. konkursów ogłaszanych na podstawie znanych znacznie wcześniej harmonogramów naborów, a</w:t>
      </w:r>
      <w:r>
        <w:rPr>
          <w:bCs/>
          <w:color w:val="auto"/>
        </w:rPr>
        <w:t> </w:t>
      </w:r>
      <w:r w:rsidRPr="006A28E8">
        <w:rPr>
          <w:bCs/>
          <w:color w:val="auto"/>
        </w:rPr>
        <w:t>katalogi beneficjentów mogących aplikować w</w:t>
      </w:r>
      <w:r>
        <w:rPr>
          <w:bCs/>
          <w:color w:val="auto"/>
        </w:rPr>
        <w:t xml:space="preserve"> danym działaniu/poddziałaniu były </w:t>
      </w:r>
      <w:r w:rsidRPr="006A28E8">
        <w:rPr>
          <w:bCs/>
          <w:color w:val="auto"/>
        </w:rPr>
        <w:t>szersze od listy rzeczywiście zainteresowanych podmiotów.</w:t>
      </w:r>
    </w:p>
    <w:p w14:paraId="4F5E46B5" w14:textId="77777777" w:rsidR="00BF4363" w:rsidRPr="00BF4363" w:rsidRDefault="00046D74" w:rsidP="004914D8">
      <w:pPr>
        <w:pStyle w:val="Default"/>
        <w:numPr>
          <w:ilvl w:val="0"/>
          <w:numId w:val="52"/>
        </w:numPr>
        <w:spacing w:line="276" w:lineRule="auto"/>
        <w:jc w:val="both"/>
        <w:rPr>
          <w:rFonts w:ascii="Arial" w:hAnsi="Arial" w:cs="Arial"/>
          <w:sz w:val="20"/>
          <w:szCs w:val="20"/>
        </w:rPr>
      </w:pPr>
      <w:r w:rsidRPr="006A1402">
        <w:rPr>
          <w:i/>
        </w:rPr>
        <w:t xml:space="preserve">etapie </w:t>
      </w:r>
      <w:r w:rsidRPr="006A1402">
        <w:rPr>
          <w:i/>
          <w:color w:val="auto"/>
        </w:rPr>
        <w:t>monitorowania</w:t>
      </w:r>
      <w:r>
        <w:rPr>
          <w:color w:val="auto"/>
        </w:rPr>
        <w:t>: n</w:t>
      </w:r>
      <w:r w:rsidRPr="001007E9">
        <w:rPr>
          <w:color w:val="auto"/>
        </w:rPr>
        <w:t xml:space="preserve">a etapie monitorowania kluczową kwestią </w:t>
      </w:r>
      <w:r>
        <w:rPr>
          <w:color w:val="auto"/>
        </w:rPr>
        <w:t>był</w:t>
      </w:r>
      <w:r w:rsidRPr="001007E9">
        <w:rPr>
          <w:color w:val="auto"/>
        </w:rPr>
        <w:t xml:space="preserve"> reprezentatywny skład </w:t>
      </w:r>
      <w:r>
        <w:rPr>
          <w:color w:val="auto"/>
        </w:rPr>
        <w:t xml:space="preserve">KM. W skład </w:t>
      </w:r>
      <w:r w:rsidRPr="001007E9">
        <w:rPr>
          <w:color w:val="auto"/>
        </w:rPr>
        <w:t xml:space="preserve">KM </w:t>
      </w:r>
      <w:r>
        <w:rPr>
          <w:color w:val="auto"/>
        </w:rPr>
        <w:t xml:space="preserve">wchodziło </w:t>
      </w:r>
      <w:r w:rsidRPr="001007E9">
        <w:rPr>
          <w:color w:val="auto"/>
        </w:rPr>
        <w:t xml:space="preserve">10 członków </w:t>
      </w:r>
      <w:r>
        <w:rPr>
          <w:color w:val="auto"/>
        </w:rPr>
        <w:t>reprezentujących</w:t>
      </w:r>
      <w:r w:rsidRPr="001007E9">
        <w:rPr>
          <w:color w:val="auto"/>
        </w:rPr>
        <w:t xml:space="preserve"> partner</w:t>
      </w:r>
      <w:r>
        <w:rPr>
          <w:color w:val="auto"/>
        </w:rPr>
        <w:t xml:space="preserve">ów </w:t>
      </w:r>
      <w:r w:rsidRPr="001007E9">
        <w:rPr>
          <w:color w:val="auto"/>
        </w:rPr>
        <w:t>społeczno-gospodarczy</w:t>
      </w:r>
      <w:r>
        <w:rPr>
          <w:color w:val="auto"/>
        </w:rPr>
        <w:t>ch</w:t>
      </w:r>
      <w:r w:rsidRPr="001007E9">
        <w:rPr>
          <w:color w:val="auto"/>
        </w:rPr>
        <w:t xml:space="preserve"> (</w:t>
      </w:r>
      <w:r>
        <w:rPr>
          <w:color w:val="auto"/>
        </w:rPr>
        <w:t>co przy ogólnej liczby</w:t>
      </w:r>
      <w:r w:rsidRPr="001007E9">
        <w:rPr>
          <w:color w:val="auto"/>
        </w:rPr>
        <w:t xml:space="preserve"> 2</w:t>
      </w:r>
      <w:r>
        <w:rPr>
          <w:color w:val="auto"/>
        </w:rPr>
        <w:t xml:space="preserve">8 członków mających prawo głosu dawało udział partnerów na poziomie ponad </w:t>
      </w:r>
      <w:r w:rsidRPr="001007E9">
        <w:rPr>
          <w:color w:val="auto"/>
        </w:rPr>
        <w:t>30%)</w:t>
      </w:r>
      <w:r>
        <w:rPr>
          <w:color w:val="auto"/>
        </w:rPr>
        <w:t>.</w:t>
      </w:r>
      <w:r w:rsidRPr="001007E9">
        <w:rPr>
          <w:color w:val="auto"/>
        </w:rPr>
        <w:t xml:space="preserve"> </w:t>
      </w:r>
      <w:r>
        <w:rPr>
          <w:color w:val="auto"/>
        </w:rPr>
        <w:t>Z</w:t>
      </w:r>
      <w:r w:rsidRPr="001007E9">
        <w:rPr>
          <w:color w:val="auto"/>
        </w:rPr>
        <w:t xml:space="preserve">atem skład </w:t>
      </w:r>
      <w:r>
        <w:rPr>
          <w:color w:val="auto"/>
        </w:rPr>
        <w:t>KM był</w:t>
      </w:r>
      <w:r w:rsidRPr="001007E9">
        <w:rPr>
          <w:color w:val="auto"/>
        </w:rPr>
        <w:t xml:space="preserve"> reprezentatywny dla tej grupy interesariuszy (pozostałe grupy to grupa rządowa i samorządowa). </w:t>
      </w:r>
      <w:r w:rsidRPr="002C52AC">
        <w:rPr>
          <w:color w:val="auto"/>
        </w:rPr>
        <w:t xml:space="preserve">Kolejną kwestią </w:t>
      </w:r>
      <w:r>
        <w:rPr>
          <w:color w:val="auto"/>
        </w:rPr>
        <w:t>było</w:t>
      </w:r>
      <w:r w:rsidRPr="002C52AC">
        <w:rPr>
          <w:color w:val="auto"/>
        </w:rPr>
        <w:t xml:space="preserve"> monitorowanie zasady równości szans. </w:t>
      </w:r>
      <w:r>
        <w:rPr>
          <w:color w:val="auto"/>
        </w:rPr>
        <w:t>W RPO WSL</w:t>
      </w:r>
      <w:r w:rsidRPr="00861B71">
        <w:rPr>
          <w:color w:val="auto"/>
        </w:rPr>
        <w:t xml:space="preserve"> </w:t>
      </w:r>
      <w:r w:rsidRPr="002C52AC">
        <w:rPr>
          <w:color w:val="auto"/>
        </w:rPr>
        <w:t>równe traktowani</w:t>
      </w:r>
      <w:r>
        <w:rPr>
          <w:color w:val="auto"/>
        </w:rPr>
        <w:t>e</w:t>
      </w:r>
      <w:r w:rsidRPr="002C52AC">
        <w:rPr>
          <w:color w:val="auto"/>
        </w:rPr>
        <w:t xml:space="preserve"> kobiet i mężczyzn</w:t>
      </w:r>
      <w:r>
        <w:rPr>
          <w:color w:val="auto"/>
        </w:rPr>
        <w:t xml:space="preserve"> </w:t>
      </w:r>
      <w:r w:rsidRPr="002C52AC">
        <w:rPr>
          <w:color w:val="auto"/>
        </w:rPr>
        <w:t xml:space="preserve">monitorowane </w:t>
      </w:r>
      <w:r>
        <w:rPr>
          <w:color w:val="auto"/>
        </w:rPr>
        <w:t xml:space="preserve">było </w:t>
      </w:r>
      <w:r w:rsidRPr="002C52AC">
        <w:rPr>
          <w:color w:val="auto"/>
        </w:rPr>
        <w:t xml:space="preserve">poprzez przyjęte </w:t>
      </w:r>
      <w:r>
        <w:rPr>
          <w:color w:val="auto"/>
        </w:rPr>
        <w:t>programowe wskaźniki rezultatu odnoszące się</w:t>
      </w:r>
      <w:r w:rsidRPr="002C52AC">
        <w:rPr>
          <w:color w:val="auto"/>
        </w:rPr>
        <w:t xml:space="preserve"> do tworzenia nowych miejsc pracy</w:t>
      </w:r>
      <w:r w:rsidRPr="005D3865">
        <w:rPr>
          <w:color w:val="auto"/>
        </w:rPr>
        <w:t xml:space="preserve">. Dodatkowo, wszystkie informacje monitoringowe nt. realizacji </w:t>
      </w:r>
      <w:r w:rsidRPr="00413106">
        <w:rPr>
          <w:i/>
          <w:color w:val="auto"/>
        </w:rPr>
        <w:t xml:space="preserve">Programu </w:t>
      </w:r>
      <w:r w:rsidRPr="005D3865">
        <w:rPr>
          <w:color w:val="auto"/>
        </w:rPr>
        <w:t xml:space="preserve">umieszczane </w:t>
      </w:r>
      <w:r>
        <w:rPr>
          <w:color w:val="auto"/>
        </w:rPr>
        <w:t>były</w:t>
      </w:r>
      <w:r w:rsidRPr="005D3865">
        <w:rPr>
          <w:color w:val="auto"/>
        </w:rPr>
        <w:t xml:space="preserve"> na strona</w:t>
      </w:r>
      <w:r>
        <w:rPr>
          <w:color w:val="auto"/>
        </w:rPr>
        <w:t>ch internetowych IZ RPO WSL, co </w:t>
      </w:r>
      <w:r w:rsidRPr="005D3865">
        <w:rPr>
          <w:color w:val="auto"/>
        </w:rPr>
        <w:t>zapewnia</w:t>
      </w:r>
      <w:r>
        <w:rPr>
          <w:color w:val="auto"/>
        </w:rPr>
        <w:t>ło</w:t>
      </w:r>
      <w:r w:rsidRPr="005D3865">
        <w:rPr>
          <w:color w:val="auto"/>
        </w:rPr>
        <w:t xml:space="preserve"> równy dostęp do</w:t>
      </w:r>
      <w:r>
        <w:rPr>
          <w:color w:val="auto"/>
        </w:rPr>
        <w:t> </w:t>
      </w:r>
      <w:r w:rsidRPr="005D3865">
        <w:rPr>
          <w:color w:val="auto"/>
        </w:rPr>
        <w:t>informacji wszystkim beneficjentom.</w:t>
      </w:r>
    </w:p>
    <w:p w14:paraId="41D1AFA0" w14:textId="30C4F59F" w:rsidR="00046D74" w:rsidRPr="00BF4363" w:rsidRDefault="00046D74" w:rsidP="004914D8">
      <w:pPr>
        <w:pStyle w:val="Default"/>
        <w:numPr>
          <w:ilvl w:val="0"/>
          <w:numId w:val="52"/>
        </w:numPr>
        <w:spacing w:line="276" w:lineRule="auto"/>
        <w:jc w:val="both"/>
        <w:rPr>
          <w:rFonts w:ascii="Arial" w:hAnsi="Arial" w:cs="Arial"/>
          <w:sz w:val="20"/>
          <w:szCs w:val="20"/>
        </w:rPr>
      </w:pPr>
      <w:r w:rsidRPr="00BF4363">
        <w:rPr>
          <w:i/>
        </w:rPr>
        <w:t>na etapie ewaluacji</w:t>
      </w:r>
      <w:r w:rsidRPr="001E62D6">
        <w:rPr>
          <w:color w:val="auto"/>
        </w:rPr>
        <w:t xml:space="preserve">: zasada równości szans </w:t>
      </w:r>
      <w:r w:rsidR="00BF4363" w:rsidRPr="00BF4363">
        <w:t xml:space="preserve">odbywała się poprzez wybór ewaluatora zewnętrznego na podstawie </w:t>
      </w:r>
      <w:r w:rsidR="00BF4363" w:rsidRPr="00BF4363">
        <w:rPr>
          <w:i/>
        </w:rPr>
        <w:t>Ustawy z dnia 29.01.2004 r. Prawo Zamówień Publicznych</w:t>
      </w:r>
      <w:r w:rsidR="00BF4363" w:rsidRPr="00BF4363">
        <w:t xml:space="preserve"> (uwzględniającą zmiany) w trybie przetargu nieograniczonego. Dawało to możliwość równego dostępu do realizacji badania wszystkim potencjalnym wykonawcom (spełniających określone warunki związane z potencjałem i doświadczeniem), wyboru wykonawcy badań w sposób zapewniające zachowanie zasady uczciwej konkurencji oraz równe traktowanie. Przygotowanie zamówienia, jak również wyłonienie wykonawcy, miało charakter jawny i opierało się na zasadach czytelnych dla wszystkich zainteresowanych podmiotów. Głównym kryterium, przy wyborze wykonawcy, była, jakość przygotowanej oferty.</w:t>
      </w:r>
    </w:p>
    <w:p w14:paraId="043F28D1" w14:textId="6D6AD025" w:rsidR="00046D74" w:rsidRPr="00173F77" w:rsidRDefault="00046D74" w:rsidP="009574D1">
      <w:pPr>
        <w:pStyle w:val="Nagwek1"/>
        <w:numPr>
          <w:ilvl w:val="1"/>
          <w:numId w:val="28"/>
        </w:numPr>
        <w:tabs>
          <w:tab w:val="left" w:pos="851"/>
        </w:tabs>
        <w:spacing w:after="120"/>
        <w:jc w:val="both"/>
      </w:pPr>
      <w:bookmarkStart w:id="158" w:name="_Toc391466349"/>
      <w:bookmarkStart w:id="159" w:name="_Toc391466660"/>
      <w:bookmarkStart w:id="160" w:name="_Toc473117319"/>
      <w:bookmarkStart w:id="161" w:name="_Toc477779759"/>
      <w:r w:rsidRPr="00173F77">
        <w:t>Zasada partnerstwa</w:t>
      </w:r>
      <w:bookmarkEnd w:id="158"/>
      <w:bookmarkEnd w:id="159"/>
      <w:bookmarkEnd w:id="160"/>
      <w:bookmarkEnd w:id="161"/>
    </w:p>
    <w:p w14:paraId="060D7A86" w14:textId="77777777" w:rsidR="00046D74" w:rsidRPr="006D71C7" w:rsidRDefault="00046D74" w:rsidP="00046D74">
      <w:pPr>
        <w:pStyle w:val="Tekstpodstawowy21"/>
        <w:spacing w:after="120" w:line="276" w:lineRule="auto"/>
        <w:jc w:val="both"/>
        <w:rPr>
          <w:sz w:val="24"/>
          <w:szCs w:val="24"/>
        </w:rPr>
      </w:pPr>
      <w:r w:rsidRPr="006D71C7">
        <w:rPr>
          <w:sz w:val="24"/>
          <w:szCs w:val="24"/>
        </w:rPr>
        <w:t>IZ RPO WSL realiz</w:t>
      </w:r>
      <w:r>
        <w:rPr>
          <w:sz w:val="24"/>
          <w:szCs w:val="24"/>
        </w:rPr>
        <w:t>owała</w:t>
      </w:r>
      <w:r w:rsidRPr="006D71C7">
        <w:rPr>
          <w:sz w:val="24"/>
          <w:szCs w:val="24"/>
        </w:rPr>
        <w:t xml:space="preserve"> zasadę partnerstwa na:</w:t>
      </w:r>
    </w:p>
    <w:p w14:paraId="4E221AAE" w14:textId="77777777" w:rsidR="00046D74" w:rsidRPr="006D71C7" w:rsidRDefault="00046D74" w:rsidP="004914D8">
      <w:pPr>
        <w:pStyle w:val="Tekstpodstawowy21"/>
        <w:numPr>
          <w:ilvl w:val="0"/>
          <w:numId w:val="51"/>
        </w:numPr>
        <w:spacing w:line="276" w:lineRule="auto"/>
        <w:ind w:left="426"/>
        <w:jc w:val="both"/>
        <w:rPr>
          <w:sz w:val="24"/>
          <w:szCs w:val="24"/>
        </w:rPr>
      </w:pPr>
      <w:r w:rsidRPr="006D71C7">
        <w:rPr>
          <w:i/>
          <w:sz w:val="24"/>
          <w:szCs w:val="24"/>
        </w:rPr>
        <w:t>etapie programowania/wdrażania z uwzględnieniem następujących wymiarów</w:t>
      </w:r>
      <w:r w:rsidRPr="006D71C7">
        <w:rPr>
          <w:sz w:val="24"/>
          <w:szCs w:val="24"/>
        </w:rPr>
        <w:t>:</w:t>
      </w:r>
    </w:p>
    <w:p w14:paraId="0D66614D" w14:textId="77777777" w:rsidR="00046D74" w:rsidRPr="006D71C7" w:rsidRDefault="00046D74" w:rsidP="00046D74">
      <w:pPr>
        <w:pStyle w:val="Tekstpodstawowy21"/>
        <w:spacing w:line="276" w:lineRule="auto"/>
        <w:ind w:left="426"/>
        <w:jc w:val="both"/>
        <w:rPr>
          <w:i/>
          <w:sz w:val="24"/>
          <w:szCs w:val="24"/>
        </w:rPr>
      </w:pPr>
      <w:r w:rsidRPr="00AB3CD7">
        <w:rPr>
          <w:b/>
          <w:sz w:val="24"/>
          <w:szCs w:val="24"/>
        </w:rPr>
        <w:lastRenderedPageBreak/>
        <w:t xml:space="preserve">partnerstwo instytucjonalne </w:t>
      </w:r>
      <w:r w:rsidRPr="006D71C7">
        <w:rPr>
          <w:b/>
          <w:sz w:val="24"/>
          <w:szCs w:val="24"/>
        </w:rPr>
        <w:t xml:space="preserve">- </w:t>
      </w:r>
      <w:r w:rsidRPr="006D71C7">
        <w:rPr>
          <w:sz w:val="24"/>
          <w:szCs w:val="24"/>
        </w:rPr>
        <w:t>przeprowadzenie konsultacji społecznych RPO WSL</w:t>
      </w:r>
      <w:r>
        <w:rPr>
          <w:sz w:val="24"/>
          <w:szCs w:val="24"/>
        </w:rPr>
        <w:t xml:space="preserve"> </w:t>
      </w:r>
      <w:r w:rsidRPr="00D17F9F">
        <w:rPr>
          <w:sz w:val="24"/>
          <w:szCs w:val="24"/>
        </w:rPr>
        <w:t>prowadzony</w:t>
      </w:r>
      <w:r>
        <w:rPr>
          <w:sz w:val="24"/>
          <w:szCs w:val="24"/>
        </w:rPr>
        <w:t>ch</w:t>
      </w:r>
      <w:r w:rsidRPr="00D17F9F">
        <w:rPr>
          <w:sz w:val="24"/>
          <w:szCs w:val="24"/>
        </w:rPr>
        <w:t xml:space="preserve"> horyzontalnie (sektorowo)</w:t>
      </w:r>
      <w:r>
        <w:rPr>
          <w:sz w:val="20"/>
        </w:rPr>
        <w:t xml:space="preserve"> </w:t>
      </w:r>
      <w:r w:rsidRPr="006D71C7">
        <w:rPr>
          <w:sz w:val="24"/>
          <w:szCs w:val="24"/>
        </w:rPr>
        <w:t>w formie badań ankietowych, warsztatów, subregion</w:t>
      </w:r>
      <w:r>
        <w:rPr>
          <w:sz w:val="24"/>
          <w:szCs w:val="24"/>
        </w:rPr>
        <w:t xml:space="preserve">alnych spotkań konsultacyjnych. </w:t>
      </w:r>
      <w:r w:rsidRPr="006D71C7">
        <w:rPr>
          <w:sz w:val="24"/>
          <w:szCs w:val="24"/>
        </w:rPr>
        <w:t xml:space="preserve">Wdrażanie Programów Rozwoju Subregionów, które </w:t>
      </w:r>
      <w:r>
        <w:rPr>
          <w:sz w:val="24"/>
          <w:szCs w:val="24"/>
        </w:rPr>
        <w:t>były</w:t>
      </w:r>
      <w:r w:rsidRPr="006D71C7">
        <w:rPr>
          <w:sz w:val="24"/>
          <w:szCs w:val="24"/>
        </w:rPr>
        <w:t xml:space="preserve"> programami tworzonymi w porozumieniu z władzami samorządów lokalnych danego subregionu, powstanie przy KM RPO WSL grupy roboczej ds. partnerstwa społeczno – gospodar</w:t>
      </w:r>
      <w:r>
        <w:rPr>
          <w:sz w:val="24"/>
          <w:szCs w:val="24"/>
        </w:rPr>
        <w:t>czego (szczegółowe informacje o </w:t>
      </w:r>
      <w:r w:rsidRPr="006D71C7">
        <w:rPr>
          <w:sz w:val="24"/>
          <w:szCs w:val="24"/>
        </w:rPr>
        <w:t xml:space="preserve">działalności grupy zostały zamieszczone </w:t>
      </w:r>
      <w:r w:rsidRPr="001E62D6">
        <w:rPr>
          <w:sz w:val="24"/>
          <w:szCs w:val="24"/>
        </w:rPr>
        <w:t>w pkt. 2.7</w:t>
      </w:r>
      <w:r w:rsidRPr="006D71C7">
        <w:rPr>
          <w:sz w:val="24"/>
          <w:szCs w:val="24"/>
        </w:rPr>
        <w:t xml:space="preserve"> niniejszego </w:t>
      </w:r>
      <w:r w:rsidRPr="006D71C7">
        <w:rPr>
          <w:i/>
          <w:sz w:val="24"/>
          <w:szCs w:val="24"/>
        </w:rPr>
        <w:t>Sprawozdania</w:t>
      </w:r>
      <w:r w:rsidRPr="006D71C7">
        <w:rPr>
          <w:sz w:val="24"/>
          <w:szCs w:val="24"/>
        </w:rPr>
        <w:t>)</w:t>
      </w:r>
      <w:r>
        <w:rPr>
          <w:sz w:val="24"/>
          <w:szCs w:val="24"/>
        </w:rPr>
        <w:t>.</w:t>
      </w:r>
    </w:p>
    <w:p w14:paraId="2BAF8384" w14:textId="2706BF17" w:rsidR="00046D74" w:rsidRPr="008F250C" w:rsidRDefault="00046D74" w:rsidP="00046D74">
      <w:pPr>
        <w:pStyle w:val="Tekstpodstawowy21"/>
        <w:spacing w:line="276" w:lineRule="auto"/>
        <w:ind w:left="426"/>
        <w:jc w:val="both"/>
        <w:rPr>
          <w:sz w:val="24"/>
          <w:szCs w:val="24"/>
        </w:rPr>
      </w:pPr>
      <w:r w:rsidRPr="00AB3CD7">
        <w:rPr>
          <w:b/>
          <w:sz w:val="24"/>
          <w:szCs w:val="24"/>
        </w:rPr>
        <w:t>wsparcie mechanizmów partnerstwa</w:t>
      </w:r>
      <w:r>
        <w:rPr>
          <w:b/>
          <w:sz w:val="24"/>
          <w:szCs w:val="24"/>
        </w:rPr>
        <w:t xml:space="preserve"> </w:t>
      </w:r>
      <w:r w:rsidR="004D2629">
        <w:rPr>
          <w:b/>
          <w:sz w:val="24"/>
          <w:szCs w:val="24"/>
        </w:rPr>
        <w:t>–</w:t>
      </w:r>
      <w:r w:rsidRPr="006D71C7">
        <w:rPr>
          <w:sz w:val="24"/>
          <w:szCs w:val="24"/>
        </w:rPr>
        <w:t xml:space="preserve"> </w:t>
      </w:r>
      <w:r w:rsidR="004D2629">
        <w:rPr>
          <w:sz w:val="24"/>
          <w:szCs w:val="24"/>
        </w:rPr>
        <w:t xml:space="preserve">realizacja </w:t>
      </w:r>
      <w:r w:rsidRPr="006D71C7">
        <w:rPr>
          <w:sz w:val="24"/>
          <w:szCs w:val="24"/>
        </w:rPr>
        <w:t>PRS</w:t>
      </w:r>
      <w:r w:rsidR="004D2629">
        <w:rPr>
          <w:sz w:val="24"/>
          <w:szCs w:val="24"/>
        </w:rPr>
        <w:t>, których podstawowym elementem była</w:t>
      </w:r>
      <w:r w:rsidRPr="006D71C7">
        <w:rPr>
          <w:sz w:val="24"/>
          <w:szCs w:val="24"/>
        </w:rPr>
        <w:t xml:space="preserve"> uzgodniona lista projektów, które zostały uznane za szczególnie istotne dla rozwoju danego subregionu i wpłyną na poprawę życia mieszkańców na danym terytorium </w:t>
      </w:r>
      <w:r>
        <w:rPr>
          <w:sz w:val="24"/>
          <w:szCs w:val="24"/>
        </w:rPr>
        <w:t>(w </w:t>
      </w:r>
      <w:r w:rsidRPr="0029701C">
        <w:rPr>
          <w:sz w:val="24"/>
          <w:szCs w:val="24"/>
        </w:rPr>
        <w:t xml:space="preserve">ramach PRS </w:t>
      </w:r>
      <w:r>
        <w:rPr>
          <w:sz w:val="24"/>
          <w:szCs w:val="24"/>
        </w:rPr>
        <w:t>zrealizowanych zostało</w:t>
      </w:r>
      <w:r w:rsidRPr="0029701C">
        <w:rPr>
          <w:sz w:val="24"/>
          <w:szCs w:val="24"/>
        </w:rPr>
        <w:t xml:space="preserve"> </w:t>
      </w:r>
      <w:r w:rsidRPr="00A84FC3">
        <w:rPr>
          <w:sz w:val="24"/>
          <w:szCs w:val="24"/>
        </w:rPr>
        <w:t>227 umów</w:t>
      </w:r>
      <w:r>
        <w:rPr>
          <w:sz w:val="24"/>
          <w:szCs w:val="24"/>
        </w:rPr>
        <w:t xml:space="preserve"> o dofinansowanie (</w:t>
      </w:r>
      <w:r w:rsidRPr="005772F4">
        <w:rPr>
          <w:sz w:val="24"/>
          <w:szCs w:val="24"/>
        </w:rPr>
        <w:t xml:space="preserve">szczegółowe informacje dot. realizacji PRS zostały zamieszczone </w:t>
      </w:r>
      <w:r w:rsidRPr="001E62D6">
        <w:rPr>
          <w:sz w:val="24"/>
          <w:szCs w:val="24"/>
        </w:rPr>
        <w:t>w pkt. 2.1.6.2</w:t>
      </w:r>
      <w:r w:rsidRPr="005772F4">
        <w:rPr>
          <w:sz w:val="24"/>
          <w:szCs w:val="24"/>
        </w:rPr>
        <w:t xml:space="preserve"> niniejszego </w:t>
      </w:r>
      <w:r w:rsidRPr="005772F4">
        <w:rPr>
          <w:i/>
          <w:sz w:val="24"/>
          <w:szCs w:val="24"/>
        </w:rPr>
        <w:t>Sprawozdania</w:t>
      </w:r>
      <w:r>
        <w:rPr>
          <w:i/>
          <w:sz w:val="24"/>
          <w:szCs w:val="24"/>
        </w:rPr>
        <w:t>)</w:t>
      </w:r>
      <w:r>
        <w:rPr>
          <w:sz w:val="24"/>
          <w:szCs w:val="24"/>
        </w:rPr>
        <w:t xml:space="preserve">. </w:t>
      </w:r>
    </w:p>
    <w:p w14:paraId="07552FCE" w14:textId="77777777" w:rsidR="00046D74" w:rsidRPr="001972AC" w:rsidRDefault="00046D74" w:rsidP="00046D74">
      <w:pPr>
        <w:pStyle w:val="Default"/>
        <w:spacing w:line="276" w:lineRule="auto"/>
        <w:ind w:left="426"/>
        <w:jc w:val="both"/>
      </w:pPr>
      <w:r w:rsidRPr="00AB3CD7">
        <w:rPr>
          <w:b/>
          <w:color w:val="auto"/>
        </w:rPr>
        <w:t xml:space="preserve">partnerstwo na poziomie projektów </w:t>
      </w:r>
      <w:r w:rsidRPr="006D71C7">
        <w:rPr>
          <w:b/>
          <w:color w:val="auto"/>
        </w:rPr>
        <w:t>-</w:t>
      </w:r>
      <w:r w:rsidRPr="00DF74F5">
        <w:t xml:space="preserve"> </w:t>
      </w:r>
      <w:r>
        <w:t>d</w:t>
      </w:r>
      <w:r w:rsidRPr="00866E5F">
        <w:t xml:space="preserve">o końca </w:t>
      </w:r>
      <w:r w:rsidRPr="00D007E6">
        <w:rPr>
          <w:color w:val="auto"/>
        </w:rPr>
        <w:t>wdrażania</w:t>
      </w:r>
      <w:r>
        <w:rPr>
          <w:color w:val="auto"/>
        </w:rPr>
        <w:t xml:space="preserve"> </w:t>
      </w:r>
      <w:r>
        <w:rPr>
          <w:i/>
          <w:color w:val="auto"/>
        </w:rPr>
        <w:t>Programu</w:t>
      </w:r>
      <w:r w:rsidRPr="00866E5F">
        <w:t xml:space="preserve"> </w:t>
      </w:r>
      <w:r>
        <w:t>87</w:t>
      </w:r>
      <w:r w:rsidRPr="00866E5F">
        <w:t xml:space="preserve"> projektów</w:t>
      </w:r>
      <w:r>
        <w:t xml:space="preserve"> realizowanych było w partnerstwie tzn. występowała wspólna realizacja zadania przez więcej niż jednego beneficjenta. Projekty partnerskie realizowane były w ramach wszystkich priorytetów RPO WSL przy czym szczególnie preferowanym obszarem przez beneficjentów było społeczeństwo informacyjne</w:t>
      </w:r>
      <w:r>
        <w:rPr>
          <w:i/>
        </w:rPr>
        <w:t>.</w:t>
      </w:r>
      <w:r>
        <w:rPr>
          <w:rFonts w:eastAsia="Calibri"/>
        </w:rPr>
        <w:t xml:space="preserve"> W RPO WSL największą grupę partnerstw projektowych stanowią partnerstwa utworzone wyłącznie przez podmioty sektora publicznego. Realizacja w ramach RPO WSL projektu w formule partnerskiej w większości przypadków generowała wartość dodaną w postaci poszerzenia zasięgu terytorialnego danego przedsięwzięcia na obszar obejmujący kilka gmin, powiatów bądź miast m.in. w ramach realizacji projektów kluczowych bądź projektów w ramach PRS. Realizacja projektów w partnerstwie niosła ze sobą znaczną wartość dodaną wyrażoną w efekcie synergii wynikającym ze wspólnej realizacji zadań w projekcie, wypracowania wspólnego rozwiązania problemu oraz odejścia od fragmentarycznych i często nieskoordynowanych działań podejmowanych przez różne podmioty w tych samych obszarach. Projekty realizowane w partnerstwie przyczyniały się także do nawiązania współpracy między instytucjami, co wpływa na proces wzajemnego uczenia się i rozwiązywania problemów.</w:t>
      </w:r>
    </w:p>
    <w:p w14:paraId="3DEEA175" w14:textId="77777777" w:rsidR="00BF4363" w:rsidRPr="00BF4363" w:rsidRDefault="00046D74" w:rsidP="004914D8">
      <w:pPr>
        <w:pStyle w:val="Default"/>
        <w:numPr>
          <w:ilvl w:val="0"/>
          <w:numId w:val="51"/>
        </w:numPr>
        <w:spacing w:line="276" w:lineRule="auto"/>
        <w:ind w:left="426"/>
        <w:jc w:val="both"/>
        <w:rPr>
          <w:iCs/>
        </w:rPr>
      </w:pPr>
      <w:r w:rsidRPr="00295E16">
        <w:rPr>
          <w:i/>
          <w:iCs/>
          <w:color w:val="auto"/>
        </w:rPr>
        <w:t xml:space="preserve">etapie monitorowania z uwzględnieniem partnerstwa instytucjonalnego </w:t>
      </w:r>
      <w:r w:rsidRPr="00295E16">
        <w:rPr>
          <w:b/>
          <w:i/>
          <w:iCs/>
          <w:color w:val="auto"/>
        </w:rPr>
        <w:t xml:space="preserve">- </w:t>
      </w:r>
      <w:r w:rsidRPr="00295E16">
        <w:rPr>
          <w:iCs/>
          <w:color w:val="auto"/>
        </w:rPr>
        <w:t>organizowanie spotkań Komitetu Monitorujące RPO WSL, w skład którego wchodz</w:t>
      </w:r>
      <w:r>
        <w:rPr>
          <w:iCs/>
          <w:color w:val="auto"/>
        </w:rPr>
        <w:t>ili</w:t>
      </w:r>
      <w:r w:rsidRPr="00295E16">
        <w:rPr>
          <w:iCs/>
          <w:color w:val="auto"/>
        </w:rPr>
        <w:t xml:space="preserve"> przedstawiciele samorządowi, rządowi oraz przedstawiciele ze strony partnerów społecznych i gospodarczych, opiniowanie sprawozdania okresowego z realizacji RPO WSL i zatwierdzanie sp</w:t>
      </w:r>
      <w:r>
        <w:rPr>
          <w:iCs/>
          <w:color w:val="auto"/>
        </w:rPr>
        <w:t>rawozdania rocznego i końcowego</w:t>
      </w:r>
      <w:r w:rsidRPr="00295E16">
        <w:rPr>
          <w:iCs/>
          <w:color w:val="auto"/>
        </w:rPr>
        <w:t xml:space="preserve">. Ponadto prezentacja członkom KM RPO WSL postępów we wdrażaniu RPO WSL. </w:t>
      </w:r>
      <w:r w:rsidRPr="006D71C7">
        <w:rPr>
          <w:color w:val="auto"/>
        </w:rPr>
        <w:t xml:space="preserve">Wszystkie informacje nt. realizacji </w:t>
      </w:r>
      <w:r w:rsidRPr="00295E16">
        <w:rPr>
          <w:i/>
          <w:color w:val="auto"/>
        </w:rPr>
        <w:t xml:space="preserve">Programu, </w:t>
      </w:r>
      <w:r w:rsidRPr="006D71C7">
        <w:rPr>
          <w:color w:val="auto"/>
        </w:rPr>
        <w:t>posiedzeń KM RPO WSL, grupy roboczej</w:t>
      </w:r>
      <w:r w:rsidRPr="00295E16">
        <w:rPr>
          <w:i/>
          <w:color w:val="auto"/>
        </w:rPr>
        <w:t xml:space="preserve"> </w:t>
      </w:r>
      <w:r w:rsidRPr="006D71C7">
        <w:rPr>
          <w:color w:val="auto"/>
        </w:rPr>
        <w:t xml:space="preserve">umieszczane </w:t>
      </w:r>
      <w:r>
        <w:rPr>
          <w:color w:val="auto"/>
        </w:rPr>
        <w:t>były</w:t>
      </w:r>
      <w:r w:rsidRPr="00295E16">
        <w:rPr>
          <w:i/>
          <w:color w:val="auto"/>
        </w:rPr>
        <w:t xml:space="preserve"> </w:t>
      </w:r>
      <w:r w:rsidRPr="006D71C7">
        <w:rPr>
          <w:color w:val="auto"/>
        </w:rPr>
        <w:t>na stronach internetowych IZ RPO WSL, co zapewnia</w:t>
      </w:r>
      <w:r>
        <w:rPr>
          <w:color w:val="auto"/>
        </w:rPr>
        <w:t>ło</w:t>
      </w:r>
      <w:r w:rsidRPr="006D71C7">
        <w:rPr>
          <w:color w:val="auto"/>
        </w:rPr>
        <w:t xml:space="preserve"> równy dostęp do informacji.</w:t>
      </w:r>
    </w:p>
    <w:p w14:paraId="307D10D9" w14:textId="5B930D17" w:rsidR="00046D74" w:rsidRPr="00BF4363" w:rsidRDefault="00046D74" w:rsidP="004914D8">
      <w:pPr>
        <w:pStyle w:val="Default"/>
        <w:numPr>
          <w:ilvl w:val="0"/>
          <w:numId w:val="51"/>
        </w:numPr>
        <w:spacing w:line="276" w:lineRule="auto"/>
        <w:ind w:left="426"/>
        <w:jc w:val="both"/>
        <w:rPr>
          <w:iCs/>
        </w:rPr>
      </w:pPr>
      <w:r w:rsidRPr="00BF4363">
        <w:rPr>
          <w:i/>
        </w:rPr>
        <w:t xml:space="preserve">na etapie ewaluacji: </w:t>
      </w:r>
      <w:r w:rsidR="00BF4363" w:rsidRPr="00BF4363">
        <w:rPr>
          <w:bCs/>
        </w:rPr>
        <w:t xml:space="preserve">odbywała się </w:t>
      </w:r>
      <w:r w:rsidR="00BF4363" w:rsidRPr="00BF4363">
        <w:t>poprzez utrzymywanie partnerskich relacji Jednostki Ewaluacyjnej RPO WSL z ewaluatorem zewnętrznym (np. poprzez współpracę na każdym etapie wykonania badania). Ponadto różnorodnego doboru respondentów badań ewaluacyjnych dawała możliwość wypowiedzenia się wszystkim interesariuszom (m. in. beneficjentom, partnerom społecznym, ekspertom branżowym).</w:t>
      </w:r>
      <w:r w:rsidR="00BF4363">
        <w:t xml:space="preserve"> </w:t>
      </w:r>
      <w:r w:rsidR="00BF4363" w:rsidRPr="00BF4363">
        <w:t xml:space="preserve">Zasada partnerstwa realizowana była także poprzez powołanie Grupy Sterującej ds. ewaluacji, która stanowiła </w:t>
      </w:r>
      <w:r w:rsidR="00BF4363" w:rsidRPr="00BF4363">
        <w:lastRenderedPageBreak/>
        <w:t>wsparcie dla JE RPO WSL m. in. przy formułowaniu zakresu ewaluacji, kryteriów wyboru wykonawców badań, w ocenie wstępnych wersji rapo</w:t>
      </w:r>
      <w:r w:rsidR="002C6E5F">
        <w:t>rtów końcowych i cząstkowych, w </w:t>
      </w:r>
      <w:r w:rsidR="00BF4363" w:rsidRPr="00BF4363">
        <w:t>opiniowaniu planów ewaluacji. oraz prezentowanie okresowych planów ewaluacji oraz wyników badań ewaluacyjnych na posiedzeniach KM RPO WSL. Co więcej Komitet Monitorujący RPO WSL mógł rekomendować IZ RPO WSL obszary, które powinny zostać poddane badaniom ewaluacyjnym w ramach Programu.</w:t>
      </w:r>
      <w:r w:rsidR="00BF4363">
        <w:t xml:space="preserve"> </w:t>
      </w:r>
      <w:r w:rsidR="00BF4363" w:rsidRPr="00BF4363">
        <w:t>Obie zasady realizowane były także poprzez upublicznianie wyników przeprowadzonych ewaluacji na stronach internetowych, co umożliwiło wszystkim zainteresowanym zapoznanie się z ich wynikami.</w:t>
      </w:r>
    </w:p>
    <w:p w14:paraId="259D9EF3" w14:textId="7FBC0E81" w:rsidR="00EC3BF0" w:rsidRDefault="00432DF7" w:rsidP="00EC3BF0">
      <w:pPr>
        <w:pStyle w:val="Nagwek1"/>
        <w:numPr>
          <w:ilvl w:val="3"/>
          <w:numId w:val="28"/>
        </w:numPr>
        <w:tabs>
          <w:tab w:val="left" w:pos="851"/>
        </w:tabs>
        <w:spacing w:before="240" w:after="120"/>
        <w:ind w:left="567" w:hanging="357"/>
        <w:jc w:val="both"/>
        <w:rPr>
          <w:bCs w:val="0"/>
          <w:spacing w:val="1"/>
          <w:szCs w:val="24"/>
        </w:rPr>
      </w:pPr>
      <w:bookmarkStart w:id="162" w:name="_Toc477779760"/>
      <w:r w:rsidRPr="001E62D6">
        <w:rPr>
          <w:bCs w:val="0"/>
          <w:spacing w:val="1"/>
          <w:szCs w:val="24"/>
        </w:rPr>
        <w:t>NAPOTKANE ZNACZĄCE PROBLEMY ORAZ PODJĘTE ŚRODKI ZARADCZE</w:t>
      </w:r>
      <w:bookmarkEnd w:id="149"/>
      <w:bookmarkEnd w:id="150"/>
      <w:bookmarkEnd w:id="151"/>
      <w:bookmarkEnd w:id="152"/>
      <w:bookmarkEnd w:id="162"/>
    </w:p>
    <w:p w14:paraId="6C856F56" w14:textId="6D7CF2AF" w:rsidR="00EC3BF0" w:rsidRPr="00EC3BF0" w:rsidRDefault="00237BC6" w:rsidP="00237BC6">
      <w:pPr>
        <w:jc w:val="both"/>
      </w:pPr>
      <w:r>
        <w:t>Problemy związane z wdrażaniem poszczególnych priorytetów zostały przedstawione w pkt. 3 niniejszego Sprawozdania.</w:t>
      </w:r>
    </w:p>
    <w:p w14:paraId="7CF8113B" w14:textId="3BD569EC" w:rsidR="007F6AAA" w:rsidRPr="007F6AAA" w:rsidRDefault="007F6AAA" w:rsidP="007F6AAA">
      <w:pPr>
        <w:jc w:val="both"/>
        <w:rPr>
          <w:b/>
        </w:rPr>
      </w:pPr>
      <w:r w:rsidRPr="007F6AAA">
        <w:rPr>
          <w:b/>
        </w:rPr>
        <w:t>Problem</w:t>
      </w:r>
      <w:r>
        <w:rPr>
          <w:b/>
        </w:rPr>
        <w:t xml:space="preserve">: </w:t>
      </w:r>
      <w:r>
        <w:t xml:space="preserve">w ramach wdrażania RPO WSL 2017-2013 zidentyfikowano jeden projekt niefunkcjonujący pn. </w:t>
      </w:r>
      <w:r w:rsidRPr="007F6AAA">
        <w:rPr>
          <w:i/>
        </w:rPr>
        <w:t>Budowa sieci szerokopasmowej dla społeczeństwa informacyjnego na terenie Gmin Górnego Śląska wraz z punktami dostępu Hot-spot</w:t>
      </w:r>
      <w:r>
        <w:t xml:space="preserve"> z uwagi na nieprzedłożenie IZ dokumentów potwierdzających prawidłowe funkcjonowanie projektu, tj. decyzji określonej w art. 7 Ustawy z dnia 7 maja 2010 r. o wspieraniu rozwoju usług i sieci telekomunikacyjnych dot. zgody na świadczenie dostępu do Internetu bez pobierania opłat lub w zamian za opłatę niższą niż cena rynkowa.</w:t>
      </w:r>
    </w:p>
    <w:p w14:paraId="20A1865D" w14:textId="48E737FF" w:rsidR="007F6AAA" w:rsidRPr="007F6AAA" w:rsidRDefault="007F6AAA" w:rsidP="007F6AAA">
      <w:pPr>
        <w:jc w:val="both"/>
        <w:rPr>
          <w:b/>
        </w:rPr>
      </w:pPr>
      <w:r w:rsidRPr="007F6AAA">
        <w:rPr>
          <w:b/>
        </w:rPr>
        <w:t>Działania zaradcze</w:t>
      </w:r>
      <w:r>
        <w:rPr>
          <w:b/>
        </w:rPr>
        <w:t xml:space="preserve">: </w:t>
      </w:r>
      <w:r>
        <w:t>IZ RPO WSL prowadzi stały monitoring projektów. Odnośnie projektu niefunkcjonującego IZ prowadzi korespondencję z Beneficjentem oraz z Urzędem Komunikacji Elektronicznej w Warszawie w celu pozyskania informacji dotyczącej</w:t>
      </w:r>
      <w:r w:rsidR="005E76F5">
        <w:t xml:space="preserve"> procesu wydania decyzji. UKE </w:t>
      </w:r>
      <w:r>
        <w:t>prowadzi postępowanie konsultacyjne do sporządzonego projektu decyzji. Po zakończeniu tego postępowania zostanie wydana przez Prezesa UKE decyzja wyrażająca zgodę na świadczenie przedmiotowej usługi.</w:t>
      </w:r>
    </w:p>
    <w:p w14:paraId="648E5A09" w14:textId="6681FCE6" w:rsidR="007F6AAA" w:rsidRDefault="007F6AAA" w:rsidP="007F6AAA">
      <w:pPr>
        <w:jc w:val="both"/>
      </w:pPr>
      <w:r>
        <w:t xml:space="preserve">W załączniku XIII przedstawiono </w:t>
      </w:r>
      <w:r>
        <w:rPr>
          <w:i/>
        </w:rPr>
        <w:t>projekt niefunkcjonujący</w:t>
      </w:r>
      <w:r>
        <w:t>.</w:t>
      </w:r>
    </w:p>
    <w:p w14:paraId="42886876" w14:textId="06FACC9E" w:rsidR="005919C8" w:rsidRDefault="005919C8" w:rsidP="007F6AAA">
      <w:pPr>
        <w:jc w:val="both"/>
      </w:pPr>
      <w:r>
        <w:t>Poniżej w tabeli zaprezentowano dane dot. problemów związanych z brakiem kwalifikowalności podatku VAT.</w:t>
      </w:r>
    </w:p>
    <w:p w14:paraId="2DDA4863" w14:textId="1EEF3705" w:rsidR="005919C8" w:rsidRDefault="005919C8">
      <w:pPr>
        <w:spacing w:after="0" w:line="240" w:lineRule="auto"/>
        <w:sectPr w:rsidR="005919C8" w:rsidSect="00367271">
          <w:headerReference w:type="even" r:id="rId49"/>
          <w:headerReference w:type="default" r:id="rId50"/>
          <w:footerReference w:type="default" r:id="rId51"/>
          <w:headerReference w:type="first" r:id="rId52"/>
          <w:pgSz w:w="11906" w:h="16838"/>
          <w:pgMar w:top="1417" w:right="1417" w:bottom="1417" w:left="1417" w:header="397" w:footer="397" w:gutter="0"/>
          <w:cols w:space="708"/>
          <w:titlePg/>
          <w:docGrid w:linePitch="360"/>
        </w:sectPr>
      </w:pPr>
      <w:r>
        <w:br w:type="page"/>
      </w:r>
    </w:p>
    <w:p w14:paraId="78A201DD" w14:textId="419A4D5A" w:rsidR="005919C8" w:rsidRDefault="005919C8">
      <w:pPr>
        <w:spacing w:after="0" w:line="240" w:lineRule="auto"/>
      </w:pPr>
      <w:r w:rsidRPr="00906FD5">
        <w:rPr>
          <w:noProof/>
          <w:sz w:val="32"/>
          <w:szCs w:val="32"/>
        </w:rPr>
        <w:lastRenderedPageBreak/>
        <w:drawing>
          <wp:inline distT="0" distB="0" distL="0" distR="0" wp14:anchorId="559FC622" wp14:editId="2459478B">
            <wp:extent cx="8892529" cy="6773545"/>
            <wp:effectExtent l="0" t="0" r="4445" b="825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905654" cy="6783542"/>
                    </a:xfrm>
                    <a:prstGeom prst="rect">
                      <a:avLst/>
                    </a:prstGeom>
                    <a:noFill/>
                    <a:ln>
                      <a:noFill/>
                    </a:ln>
                  </pic:spPr>
                </pic:pic>
              </a:graphicData>
            </a:graphic>
          </wp:inline>
        </w:drawing>
      </w:r>
    </w:p>
    <w:p w14:paraId="11ADF976" w14:textId="77777777" w:rsidR="005919C8" w:rsidRDefault="005919C8" w:rsidP="007F6AAA">
      <w:pPr>
        <w:jc w:val="both"/>
        <w:sectPr w:rsidR="005919C8" w:rsidSect="001F484B">
          <w:pgSz w:w="16838" w:h="11906" w:orient="landscape"/>
          <w:pgMar w:top="567" w:right="1417" w:bottom="1417" w:left="1417" w:header="397" w:footer="397" w:gutter="0"/>
          <w:cols w:space="708"/>
          <w:titlePg/>
          <w:docGrid w:linePitch="360"/>
        </w:sectPr>
      </w:pPr>
    </w:p>
    <w:p w14:paraId="054480A3" w14:textId="2DADA6CD" w:rsidR="00C51B61" w:rsidRPr="001E62D6" w:rsidRDefault="00554067" w:rsidP="004914D8">
      <w:pPr>
        <w:pStyle w:val="Nagwek1"/>
        <w:numPr>
          <w:ilvl w:val="4"/>
          <w:numId w:val="41"/>
        </w:numPr>
        <w:tabs>
          <w:tab w:val="left" w:pos="851"/>
        </w:tabs>
        <w:spacing w:after="120"/>
        <w:ind w:left="426"/>
        <w:jc w:val="both"/>
        <w:rPr>
          <w:bCs w:val="0"/>
          <w:spacing w:val="1"/>
          <w:szCs w:val="24"/>
        </w:rPr>
      </w:pPr>
      <w:bookmarkStart w:id="163" w:name="_Toc423351768"/>
      <w:bookmarkStart w:id="164" w:name="_Toc477779761"/>
      <w:bookmarkStart w:id="165" w:name="_Toc262031853"/>
      <w:r w:rsidRPr="001E62D6">
        <w:rPr>
          <w:bCs w:val="0"/>
          <w:spacing w:val="1"/>
          <w:szCs w:val="24"/>
        </w:rPr>
        <w:lastRenderedPageBreak/>
        <w:t>ZMIANY W KONTEKŚCIE REALIZACJI RPO WSL (W STOSOWNYCH WYPADKACH)</w:t>
      </w:r>
      <w:bookmarkEnd w:id="163"/>
      <w:bookmarkEnd w:id="164"/>
    </w:p>
    <w:p w14:paraId="2D91D99F" w14:textId="724CB34C" w:rsidR="00EC3BF0" w:rsidRDefault="00E1248C" w:rsidP="00F343D6">
      <w:pPr>
        <w:jc w:val="both"/>
        <w:rPr>
          <w:szCs w:val="24"/>
        </w:rPr>
      </w:pPr>
      <w:r>
        <w:rPr>
          <w:szCs w:val="24"/>
        </w:rPr>
        <w:t xml:space="preserve">Podczas wdrażania RPO WSL pojawiły się czynniki zewnętrzne, które wpłynęły na realizację </w:t>
      </w:r>
      <w:r w:rsidRPr="00A15C89">
        <w:rPr>
          <w:i/>
          <w:szCs w:val="24"/>
        </w:rPr>
        <w:t>Programu</w:t>
      </w:r>
      <w:r>
        <w:rPr>
          <w:szCs w:val="24"/>
        </w:rPr>
        <w:t>. Jednym z nich był k</w:t>
      </w:r>
      <w:r w:rsidR="00EC3BF0" w:rsidRPr="00EC3BF0">
        <w:rPr>
          <w:szCs w:val="24"/>
        </w:rPr>
        <w:t>ryzys gospodarczy</w:t>
      </w:r>
      <w:r>
        <w:rPr>
          <w:szCs w:val="24"/>
        </w:rPr>
        <w:t>, który</w:t>
      </w:r>
      <w:r w:rsidR="00EC3BF0" w:rsidRPr="00EC3BF0">
        <w:rPr>
          <w:szCs w:val="24"/>
        </w:rPr>
        <w:t xml:space="preserve"> doprowadził do recesji gospodarek wielu państw na całym świecie. Spowolnienie gospodarcze wpłynęło również na wielu przedsiębiorców w województwie śląskim, którzy zgłaszal</w:t>
      </w:r>
      <w:r>
        <w:rPr>
          <w:szCs w:val="24"/>
        </w:rPr>
        <w:t>i do IZ RPO WSL wnioski o </w:t>
      </w:r>
      <w:r w:rsidR="00EC3BF0" w:rsidRPr="00EC3BF0">
        <w:rPr>
          <w:szCs w:val="24"/>
        </w:rPr>
        <w:t>pozwolenie na przesunięcie terminów zakończenia inwestycji w związku z trudną kondycją ekonomiczną. Ponadto beneficjenci odnotowywali trudności w osiągnięciu założonych na etapie wnioskowania wskaźników produktu czy rezultatu. IZ RPO WSL nie podejmowała żadnych środków zaradczych w celu przeciwdziałania negatywnym skutkom ww. okoliczności, za wyjątkiem bieżących konsultacji z beneficjentami.</w:t>
      </w:r>
    </w:p>
    <w:p w14:paraId="21CBB746" w14:textId="6D772426" w:rsidR="00E1248C" w:rsidRPr="00F343D6" w:rsidRDefault="00E1248C" w:rsidP="00F343D6">
      <w:pPr>
        <w:jc w:val="both"/>
        <w:rPr>
          <w:szCs w:val="24"/>
        </w:rPr>
      </w:pPr>
      <w:r w:rsidRPr="00F343D6">
        <w:rPr>
          <w:szCs w:val="24"/>
        </w:rPr>
        <w:t xml:space="preserve">Poniżej przedstawiono </w:t>
      </w:r>
      <w:r w:rsidR="00005E99" w:rsidRPr="00F343D6">
        <w:rPr>
          <w:color w:val="000000"/>
          <w:szCs w:val="24"/>
        </w:rPr>
        <w:t>sytuacji społ.-gosp. województwa śląskiego wg danych na 2015 rok</w:t>
      </w:r>
      <w:r w:rsidR="00CB0521">
        <w:rPr>
          <w:color w:val="000000"/>
          <w:szCs w:val="24"/>
        </w:rPr>
        <w:t>.</w:t>
      </w:r>
    </w:p>
    <w:p w14:paraId="29470A39" w14:textId="77777777" w:rsidR="00E1248C" w:rsidRPr="00266F42" w:rsidRDefault="00E1248C" w:rsidP="00E1248C">
      <w:pPr>
        <w:spacing w:line="240" w:lineRule="auto"/>
        <w:jc w:val="both"/>
        <w:rPr>
          <w:rFonts w:cstheme="minorHAnsi"/>
          <w:b/>
        </w:rPr>
      </w:pPr>
      <w:r w:rsidRPr="00266F42">
        <w:rPr>
          <w:rFonts w:cstheme="minorHAnsi"/>
          <w:b/>
        </w:rPr>
        <w:t>Demografia</w:t>
      </w:r>
    </w:p>
    <w:p w14:paraId="255FF983" w14:textId="77777777" w:rsidR="00E1248C" w:rsidRPr="00A15C89" w:rsidRDefault="00E1248C" w:rsidP="00F343D6">
      <w:pPr>
        <w:spacing w:after="0"/>
        <w:jc w:val="both"/>
        <w:rPr>
          <w:b/>
          <w:szCs w:val="24"/>
        </w:rPr>
      </w:pPr>
      <w:r w:rsidRPr="00A15C89">
        <w:rPr>
          <w:b/>
          <w:szCs w:val="24"/>
        </w:rPr>
        <w:t xml:space="preserve">Stan i zmiany w liczbie ludności </w:t>
      </w:r>
    </w:p>
    <w:p w14:paraId="6DF3D108" w14:textId="79A2A0A5" w:rsidR="00E1248C" w:rsidRDefault="00E1248C" w:rsidP="00F343D6">
      <w:pPr>
        <w:spacing w:after="0"/>
        <w:jc w:val="both"/>
        <w:rPr>
          <w:szCs w:val="24"/>
          <w:vertAlign w:val="superscript"/>
        </w:rPr>
      </w:pPr>
      <w:r w:rsidRPr="00005E99">
        <w:rPr>
          <w:szCs w:val="24"/>
        </w:rPr>
        <w:t>Liczba mieszkańców województwa śląskiego w 2015 roku wyniosła 4</w:t>
      </w:r>
      <w:r w:rsidR="00CB0521">
        <w:rPr>
          <w:szCs w:val="24"/>
        </w:rPr>
        <w:t> 570 849 osób, co </w:t>
      </w:r>
      <w:r w:rsidRPr="00005E99">
        <w:rPr>
          <w:szCs w:val="24"/>
        </w:rPr>
        <w:t>stanowiło 11,9% ludności Polski. Śląskie jest drugim województwem po mazowieckim pod względem ludności, natomiast pierwszym w zakresie gęstości zaludnienia z wynikiem 371 osoby na km</w:t>
      </w:r>
      <w:r w:rsidRPr="00005E99">
        <w:rPr>
          <w:szCs w:val="24"/>
          <w:vertAlign w:val="superscript"/>
        </w:rPr>
        <w:t xml:space="preserve">2 </w:t>
      </w:r>
      <w:r w:rsidRPr="00005E99">
        <w:rPr>
          <w:szCs w:val="24"/>
        </w:rPr>
        <w:t>przy średniej dla Polski wynoszącej 123 osoby na km</w:t>
      </w:r>
      <w:r w:rsidRPr="00005E99">
        <w:rPr>
          <w:szCs w:val="24"/>
          <w:vertAlign w:val="superscript"/>
        </w:rPr>
        <w:t>2</w:t>
      </w:r>
      <w:r w:rsidRPr="00005E99">
        <w:rPr>
          <w:szCs w:val="24"/>
        </w:rPr>
        <w:t>.</w:t>
      </w:r>
      <w:r w:rsidRPr="00005E99">
        <w:rPr>
          <w:szCs w:val="24"/>
          <w:vertAlign w:val="superscript"/>
        </w:rPr>
        <w:t xml:space="preserve"> </w:t>
      </w:r>
    </w:p>
    <w:p w14:paraId="723795F1" w14:textId="77777777" w:rsidR="00440A0A" w:rsidRPr="00005E99" w:rsidRDefault="00440A0A" w:rsidP="00F343D6">
      <w:pPr>
        <w:spacing w:after="0"/>
        <w:jc w:val="both"/>
        <w:rPr>
          <w:szCs w:val="24"/>
        </w:rPr>
      </w:pPr>
    </w:p>
    <w:p w14:paraId="4DB03921" w14:textId="65038DBE" w:rsidR="00E1248C" w:rsidRPr="002C6E5F" w:rsidRDefault="00440A0A" w:rsidP="00F343D6">
      <w:pPr>
        <w:pStyle w:val="Legenda"/>
        <w:rPr>
          <w:sz w:val="20"/>
          <w:szCs w:val="20"/>
        </w:rPr>
      </w:pPr>
      <w:r w:rsidRPr="00005E99">
        <w:rPr>
          <w:noProof/>
          <w:sz w:val="24"/>
          <w:szCs w:val="24"/>
        </w:rPr>
        <w:drawing>
          <wp:anchor distT="0" distB="0" distL="114300" distR="114300" simplePos="0" relativeHeight="251696128" behindDoc="0" locked="0" layoutInCell="1" allowOverlap="1" wp14:anchorId="67F481D6" wp14:editId="60088DBF">
            <wp:simplePos x="0" y="0"/>
            <wp:positionH relativeFrom="column">
              <wp:posOffset>325755</wp:posOffset>
            </wp:positionH>
            <wp:positionV relativeFrom="paragraph">
              <wp:posOffset>153035</wp:posOffset>
            </wp:positionV>
            <wp:extent cx="5760720" cy="3529330"/>
            <wp:effectExtent l="0" t="0" r="0" b="0"/>
            <wp:wrapSquare wrapText="bothSides"/>
            <wp:docPr id="133" name="Wykres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14:paraId="2A2EB52F" w14:textId="5D3F4BD5" w:rsidR="004914D8" w:rsidRPr="002C6E5F" w:rsidRDefault="00906FD5" w:rsidP="004914D8">
      <w:pPr>
        <w:spacing w:after="0" w:line="360" w:lineRule="auto"/>
        <w:jc w:val="both"/>
        <w:rPr>
          <w:i/>
          <w:sz w:val="20"/>
          <w:szCs w:val="20"/>
        </w:rPr>
      </w:pPr>
      <w:r>
        <w:rPr>
          <w:i/>
          <w:sz w:val="20"/>
          <w:szCs w:val="20"/>
        </w:rPr>
        <w:t xml:space="preserve">      </w:t>
      </w:r>
      <w:r w:rsidR="004914D8" w:rsidRPr="002C6E5F">
        <w:rPr>
          <w:i/>
          <w:sz w:val="20"/>
          <w:szCs w:val="20"/>
        </w:rPr>
        <w:t>Źródło: opracowanie własne na podstawie danych BDL, GUS.</w:t>
      </w:r>
    </w:p>
    <w:p w14:paraId="4AFDF814" w14:textId="717A9C5A" w:rsidR="00440A0A" w:rsidRPr="00440A0A" w:rsidRDefault="007A6688" w:rsidP="007A6688">
      <w:pPr>
        <w:pStyle w:val="Legenda"/>
        <w:rPr>
          <w:i/>
          <w:color w:val="auto"/>
          <w:sz w:val="20"/>
          <w:szCs w:val="20"/>
        </w:rPr>
      </w:pPr>
      <w:bookmarkStart w:id="166" w:name="_Toc476832927"/>
      <w:r w:rsidRPr="007B6B45">
        <w:rPr>
          <w:color w:val="auto"/>
        </w:rPr>
        <w:t xml:space="preserve">Rysunek </w:t>
      </w:r>
      <w:r w:rsidR="00540919" w:rsidRPr="007B6B45">
        <w:rPr>
          <w:color w:val="auto"/>
        </w:rPr>
        <w:fldChar w:fldCharType="begin"/>
      </w:r>
      <w:r w:rsidR="00540919" w:rsidRPr="007B6B45">
        <w:rPr>
          <w:color w:val="auto"/>
        </w:rPr>
        <w:instrText xml:space="preserve"> SEQ Rysunek \* ARABIC </w:instrText>
      </w:r>
      <w:r w:rsidR="00540919" w:rsidRPr="007B6B45">
        <w:rPr>
          <w:color w:val="auto"/>
        </w:rPr>
        <w:fldChar w:fldCharType="separate"/>
      </w:r>
      <w:r w:rsidR="0050297D">
        <w:rPr>
          <w:noProof/>
          <w:color w:val="auto"/>
        </w:rPr>
        <w:t>9</w:t>
      </w:r>
      <w:r w:rsidR="00540919" w:rsidRPr="007B6B45">
        <w:rPr>
          <w:noProof/>
          <w:color w:val="auto"/>
        </w:rPr>
        <w:fldChar w:fldCharType="end"/>
      </w:r>
      <w:r>
        <w:t xml:space="preserve"> </w:t>
      </w:r>
      <w:r w:rsidR="00440A0A" w:rsidRPr="00440A0A">
        <w:rPr>
          <w:b w:val="0"/>
          <w:i/>
          <w:color w:val="auto"/>
          <w:sz w:val="20"/>
          <w:szCs w:val="20"/>
        </w:rPr>
        <w:t>Procentowy udział ludności wg województwa w 2015 roku</w:t>
      </w:r>
      <w:bookmarkEnd w:id="166"/>
    </w:p>
    <w:p w14:paraId="40D21983" w14:textId="427CA354" w:rsidR="00E1248C" w:rsidRDefault="00E1248C" w:rsidP="004B369D">
      <w:pPr>
        <w:spacing w:after="0"/>
        <w:jc w:val="both"/>
        <w:rPr>
          <w:szCs w:val="24"/>
        </w:rPr>
      </w:pPr>
      <w:r w:rsidRPr="00005E99">
        <w:rPr>
          <w:szCs w:val="24"/>
        </w:rPr>
        <w:lastRenderedPageBreak/>
        <w:t>Analizując przestrzenny rozkład ludności w województwie śląskim wskazać można na duże zróżnicowanie gęstości zaludnienia, w tym obszary o bardzo wysokim stopniu zagęszczenia. Najbardziej zaludnionym obszarem województwa jest Metropolia Górnośląska, gdzie liczba mieszkańców na 1 km</w:t>
      </w:r>
      <w:r w:rsidRPr="00005E99">
        <w:rPr>
          <w:szCs w:val="24"/>
          <w:vertAlign w:val="superscript"/>
        </w:rPr>
        <w:t xml:space="preserve">2 </w:t>
      </w:r>
      <w:r w:rsidRPr="00005E99">
        <w:rPr>
          <w:szCs w:val="24"/>
        </w:rPr>
        <w:t>wynosi</w:t>
      </w:r>
      <w:r w:rsidRPr="00005E99">
        <w:rPr>
          <w:szCs w:val="24"/>
          <w:vertAlign w:val="superscript"/>
        </w:rPr>
        <w:t xml:space="preserve"> </w:t>
      </w:r>
      <w:r w:rsidR="00440A0A">
        <w:rPr>
          <w:szCs w:val="24"/>
        </w:rPr>
        <w:t>ponad 2000 osób.</w:t>
      </w:r>
      <w:r w:rsidRPr="00005E99">
        <w:rPr>
          <w:szCs w:val="24"/>
        </w:rPr>
        <w:t xml:space="preserve"> Na obszarze Metropolii największą gęstością zaludnienia charakteryzuje się miasto </w:t>
      </w:r>
      <w:r w:rsidR="00440A0A" w:rsidRPr="00005E99">
        <w:rPr>
          <w:szCs w:val="24"/>
        </w:rPr>
        <w:t>Świętochłowice, bo</w:t>
      </w:r>
      <w:r w:rsidRPr="00005E99">
        <w:rPr>
          <w:szCs w:val="24"/>
        </w:rPr>
        <w:t xml:space="preserve"> aż 3829 osób na km</w:t>
      </w:r>
      <w:r w:rsidRPr="00005E99">
        <w:rPr>
          <w:szCs w:val="24"/>
          <w:vertAlign w:val="superscript"/>
        </w:rPr>
        <w:t>2</w:t>
      </w:r>
      <w:r w:rsidRPr="00005E99">
        <w:rPr>
          <w:szCs w:val="24"/>
        </w:rPr>
        <w:t xml:space="preserve">. Najmniejszą gęstością zaludnienia charakteryzuje się północna część województwa śląskiego. </w:t>
      </w:r>
      <w:bookmarkStart w:id="167" w:name="_Toc440280048"/>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94"/>
      </w:tblGrid>
      <w:tr w:rsidR="00E1248C" w:rsidRPr="00005E99" w14:paraId="7B26E37B" w14:textId="77777777" w:rsidTr="004914D8">
        <w:tc>
          <w:tcPr>
            <w:tcW w:w="4678" w:type="dxa"/>
          </w:tcPr>
          <w:p w14:paraId="5108A1D3" w14:textId="77777777" w:rsidR="00440A0A" w:rsidRDefault="00440A0A" w:rsidP="00005E99">
            <w:pPr>
              <w:pStyle w:val="Legenda"/>
              <w:spacing w:after="0" w:line="360" w:lineRule="auto"/>
              <w:jc w:val="both"/>
              <w:rPr>
                <w:color w:val="auto"/>
                <w:sz w:val="20"/>
                <w:szCs w:val="20"/>
              </w:rPr>
            </w:pPr>
          </w:p>
          <w:bookmarkEnd w:id="167"/>
          <w:p w14:paraId="57297E72" w14:textId="7AA48825" w:rsidR="00E1248C" w:rsidRPr="00440A0A" w:rsidRDefault="00E1248C" w:rsidP="004914D8">
            <w:pPr>
              <w:pStyle w:val="Legenda"/>
              <w:spacing w:after="0" w:line="360" w:lineRule="auto"/>
              <w:jc w:val="both"/>
              <w:rPr>
                <w:color w:val="auto"/>
                <w:sz w:val="20"/>
                <w:szCs w:val="20"/>
              </w:rPr>
            </w:pPr>
          </w:p>
        </w:tc>
        <w:tc>
          <w:tcPr>
            <w:tcW w:w="4394" w:type="dxa"/>
          </w:tcPr>
          <w:p w14:paraId="53350573" w14:textId="77777777" w:rsidR="00440A0A" w:rsidRDefault="00440A0A" w:rsidP="00005E99">
            <w:pPr>
              <w:spacing w:after="0" w:line="360" w:lineRule="auto"/>
              <w:jc w:val="both"/>
              <w:rPr>
                <w:b/>
                <w:sz w:val="20"/>
                <w:szCs w:val="20"/>
              </w:rPr>
            </w:pPr>
            <w:bookmarkStart w:id="168" w:name="_Toc440280049"/>
          </w:p>
          <w:p w14:paraId="6DE4BCAB" w14:textId="13A95D30" w:rsidR="00E1248C" w:rsidRPr="00440A0A" w:rsidRDefault="00E1248C" w:rsidP="004914D8">
            <w:pPr>
              <w:spacing w:after="0" w:line="360" w:lineRule="auto"/>
              <w:jc w:val="both"/>
              <w:rPr>
                <w:b/>
                <w:i/>
                <w:sz w:val="20"/>
                <w:szCs w:val="20"/>
              </w:rPr>
            </w:pPr>
            <w:r w:rsidRPr="00440A0A">
              <w:rPr>
                <w:b/>
                <w:sz w:val="20"/>
                <w:szCs w:val="20"/>
              </w:rPr>
              <w:t xml:space="preserve"> </w:t>
            </w:r>
            <w:bookmarkEnd w:id="168"/>
          </w:p>
        </w:tc>
      </w:tr>
      <w:tr w:rsidR="00E1248C" w:rsidRPr="00005E99" w14:paraId="3C16030F" w14:textId="77777777" w:rsidTr="004914D8">
        <w:tc>
          <w:tcPr>
            <w:tcW w:w="4678" w:type="dxa"/>
          </w:tcPr>
          <w:p w14:paraId="1111C64D" w14:textId="77777777" w:rsidR="007A6688" w:rsidRDefault="00E1248C" w:rsidP="007A6688">
            <w:pPr>
              <w:keepNext/>
              <w:spacing w:after="0" w:line="360" w:lineRule="auto"/>
              <w:jc w:val="center"/>
            </w:pPr>
            <w:r w:rsidRPr="00005E99">
              <w:rPr>
                <w:i/>
                <w:noProof/>
                <w:szCs w:val="24"/>
              </w:rPr>
              <w:drawing>
                <wp:inline distT="0" distB="0" distL="0" distR="0" wp14:anchorId="09EE06E1" wp14:editId="0B8A8BF5">
                  <wp:extent cx="2548800" cy="3600000"/>
                  <wp:effectExtent l="0" t="0" r="4445" b="63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48800" cy="3600000"/>
                          </a:xfrm>
                          <a:prstGeom prst="rect">
                            <a:avLst/>
                          </a:prstGeom>
                          <a:noFill/>
                        </pic:spPr>
                      </pic:pic>
                    </a:graphicData>
                  </a:graphic>
                </wp:inline>
              </w:drawing>
            </w:r>
          </w:p>
          <w:p w14:paraId="1DF1CD29" w14:textId="57B616B6" w:rsidR="00E1248C" w:rsidRPr="00005E99" w:rsidRDefault="007A6688" w:rsidP="0091239F">
            <w:pPr>
              <w:pStyle w:val="Legenda"/>
              <w:jc w:val="both"/>
              <w:rPr>
                <w:i/>
                <w:szCs w:val="24"/>
              </w:rPr>
            </w:pPr>
            <w:bookmarkStart w:id="169" w:name="_Toc476832928"/>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10</w:t>
            </w:r>
            <w:r w:rsidR="00A44293" w:rsidRPr="00A44293">
              <w:rPr>
                <w:noProof/>
                <w:color w:val="auto"/>
              </w:rPr>
              <w:fldChar w:fldCharType="end"/>
            </w:r>
            <w:r w:rsidR="004D7598" w:rsidRPr="00A44293">
              <w:rPr>
                <w:b w:val="0"/>
                <w:i/>
                <w:color w:val="auto"/>
                <w:sz w:val="20"/>
                <w:szCs w:val="20"/>
              </w:rPr>
              <w:t xml:space="preserve"> </w:t>
            </w:r>
            <w:r w:rsidR="004D7598" w:rsidRPr="004914D8">
              <w:rPr>
                <w:b w:val="0"/>
                <w:i/>
                <w:color w:val="auto"/>
                <w:sz w:val="20"/>
                <w:szCs w:val="20"/>
              </w:rPr>
              <w:t>Gęstość zaludnienia w województwie śląskim w 2015 roku</w:t>
            </w:r>
            <w:bookmarkEnd w:id="169"/>
          </w:p>
        </w:tc>
        <w:tc>
          <w:tcPr>
            <w:tcW w:w="4394" w:type="dxa"/>
          </w:tcPr>
          <w:p w14:paraId="024EA6E3" w14:textId="77777777" w:rsidR="007A6688" w:rsidRDefault="00E1248C" w:rsidP="007A6688">
            <w:pPr>
              <w:keepNext/>
              <w:spacing w:after="0" w:line="360" w:lineRule="auto"/>
              <w:jc w:val="center"/>
            </w:pPr>
            <w:r w:rsidRPr="00005E99">
              <w:rPr>
                <w:i/>
                <w:noProof/>
                <w:szCs w:val="24"/>
              </w:rPr>
              <w:drawing>
                <wp:inline distT="0" distB="0" distL="0" distR="0" wp14:anchorId="5D27DB8B" wp14:editId="5D1E3D69">
                  <wp:extent cx="2545860" cy="3600000"/>
                  <wp:effectExtent l="19050" t="0" r="6840" b="0"/>
                  <wp:docPr id="134" name="Obraz 20" descr="zmiana ludności 00_15 (w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iana ludności 00_15 (wł).png"/>
                          <pic:cNvPicPr/>
                        </pic:nvPicPr>
                        <pic:blipFill>
                          <a:blip r:embed="rId56" cstate="print"/>
                          <a:stretch>
                            <a:fillRect/>
                          </a:stretch>
                        </pic:blipFill>
                        <pic:spPr>
                          <a:xfrm>
                            <a:off x="0" y="0"/>
                            <a:ext cx="2545860" cy="3600000"/>
                          </a:xfrm>
                          <a:prstGeom prst="rect">
                            <a:avLst/>
                          </a:prstGeom>
                        </pic:spPr>
                      </pic:pic>
                    </a:graphicData>
                  </a:graphic>
                </wp:inline>
              </w:drawing>
            </w:r>
          </w:p>
          <w:p w14:paraId="605871E3" w14:textId="1F4CB488" w:rsidR="00E1248C" w:rsidRPr="00005E99" w:rsidRDefault="007A6688" w:rsidP="0091239F">
            <w:pPr>
              <w:pStyle w:val="Legenda"/>
              <w:jc w:val="both"/>
              <w:rPr>
                <w:i/>
                <w:szCs w:val="24"/>
              </w:rPr>
            </w:pPr>
            <w:bookmarkStart w:id="170" w:name="_Toc476832929"/>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11</w:t>
            </w:r>
            <w:r w:rsidR="00A44293" w:rsidRPr="00A44293">
              <w:rPr>
                <w:noProof/>
                <w:color w:val="auto"/>
              </w:rPr>
              <w:fldChar w:fldCharType="end"/>
            </w:r>
            <w:r w:rsidR="0091239F" w:rsidRPr="00A44293">
              <w:rPr>
                <w:color w:val="auto"/>
              </w:rPr>
              <w:t xml:space="preserve"> </w:t>
            </w:r>
            <w:r w:rsidR="0091239F" w:rsidRPr="004914D8">
              <w:rPr>
                <w:b w:val="0"/>
                <w:i/>
                <w:color w:val="auto"/>
                <w:sz w:val="20"/>
                <w:szCs w:val="20"/>
              </w:rPr>
              <w:t>Zmiana liczby ludności w latach 2000-2015 (%)</w:t>
            </w:r>
            <w:bookmarkEnd w:id="170"/>
          </w:p>
        </w:tc>
      </w:tr>
      <w:tr w:rsidR="00E1248C" w:rsidRPr="00005E99" w14:paraId="7A18ED8E" w14:textId="77777777" w:rsidTr="004914D8">
        <w:tc>
          <w:tcPr>
            <w:tcW w:w="4678" w:type="dxa"/>
          </w:tcPr>
          <w:p w14:paraId="54C832B3" w14:textId="77777777" w:rsidR="004914D8" w:rsidRPr="002C6E5F" w:rsidRDefault="004914D8" w:rsidP="004914D8">
            <w:pPr>
              <w:spacing w:after="0" w:line="360" w:lineRule="auto"/>
              <w:jc w:val="both"/>
              <w:rPr>
                <w:i/>
                <w:sz w:val="20"/>
                <w:szCs w:val="20"/>
              </w:rPr>
            </w:pPr>
            <w:r w:rsidRPr="002C6E5F">
              <w:rPr>
                <w:i/>
                <w:sz w:val="20"/>
                <w:szCs w:val="20"/>
              </w:rPr>
              <w:t>Źródło: opracowanie własne na podstawie danych BDL, GUS.</w:t>
            </w:r>
          </w:p>
          <w:p w14:paraId="54260275" w14:textId="3B909AF3" w:rsidR="00E1248C" w:rsidRPr="002C6E5F" w:rsidRDefault="00E1248C" w:rsidP="000B41F7">
            <w:pPr>
              <w:pStyle w:val="Legenda"/>
              <w:rPr>
                <w:sz w:val="20"/>
                <w:szCs w:val="20"/>
              </w:rPr>
            </w:pPr>
          </w:p>
        </w:tc>
        <w:tc>
          <w:tcPr>
            <w:tcW w:w="4394" w:type="dxa"/>
          </w:tcPr>
          <w:p w14:paraId="2FE18B2A" w14:textId="77777777" w:rsidR="004914D8" w:rsidRPr="002C6E5F" w:rsidRDefault="004914D8" w:rsidP="004914D8">
            <w:pPr>
              <w:spacing w:after="0" w:line="360" w:lineRule="auto"/>
              <w:jc w:val="both"/>
              <w:rPr>
                <w:i/>
                <w:sz w:val="20"/>
                <w:szCs w:val="20"/>
              </w:rPr>
            </w:pPr>
            <w:r w:rsidRPr="002C6E5F">
              <w:rPr>
                <w:i/>
                <w:sz w:val="20"/>
                <w:szCs w:val="20"/>
              </w:rPr>
              <w:t>Źródło: opracowanie własne na podstawie danych BDL, GUS.</w:t>
            </w:r>
          </w:p>
          <w:p w14:paraId="15D07B5A" w14:textId="5CB67715" w:rsidR="00E1248C" w:rsidRPr="000B41F7" w:rsidRDefault="00E1248C" w:rsidP="007A6688">
            <w:pPr>
              <w:pStyle w:val="Legenda"/>
              <w:rPr>
                <w:b w:val="0"/>
                <w:color w:val="auto"/>
                <w:sz w:val="20"/>
                <w:szCs w:val="20"/>
              </w:rPr>
            </w:pPr>
          </w:p>
        </w:tc>
      </w:tr>
    </w:tbl>
    <w:p w14:paraId="295E53D4" w14:textId="77777777" w:rsidR="00E1248C" w:rsidRPr="00005E99" w:rsidRDefault="00E1248C" w:rsidP="00440A0A">
      <w:pPr>
        <w:spacing w:after="0"/>
        <w:jc w:val="both"/>
        <w:rPr>
          <w:szCs w:val="24"/>
        </w:rPr>
      </w:pPr>
      <w:r w:rsidRPr="00005E99">
        <w:rPr>
          <w:szCs w:val="24"/>
        </w:rPr>
        <w:t xml:space="preserve">Województwo śląskie jest najbardziej zurbanizowanym województwem w Polsce. Ludność zamieszkująca miasta stanowi 77,13% mieszkańców, przy średniej dla Polski wynoszącej niewiele ponad 60%. Następne w kolejności województwo dolnośląskie w 2015 roku charakteryzowało się wskaźnikiem na poziomie 69,17% ludności miejskiej. </w:t>
      </w:r>
    </w:p>
    <w:p w14:paraId="22C2AD94" w14:textId="77777777" w:rsidR="00E1248C" w:rsidRPr="00005E99" w:rsidRDefault="00E1248C" w:rsidP="00440A0A">
      <w:pPr>
        <w:spacing w:after="0"/>
        <w:jc w:val="both"/>
        <w:rPr>
          <w:szCs w:val="24"/>
        </w:rPr>
      </w:pPr>
      <w:bookmarkStart w:id="171" w:name="_Toc440280071"/>
      <w:r w:rsidRPr="00005E99">
        <w:rPr>
          <w:szCs w:val="24"/>
        </w:rPr>
        <w:t xml:space="preserve">Ogólna liczba ludności w Polsce w okresie od 2000 do 2015 nieznacznie wzrosła (0,48%) lecz można wskazać województwa, w których następował stały spadek liczby ludności, wśród nich jest województwo śląskie ze spadkiem -3,95%. Prognozy demograficzne jednoznacznie wskazują, że sytuacja w całej Polsce ulegnie pogorszeniu natomiast w sposób szczególny dotknie to te województwa, w których </w:t>
      </w:r>
      <w:r w:rsidRPr="00440A0A">
        <w:rPr>
          <w:szCs w:val="24"/>
        </w:rPr>
        <w:t>proces depopulacji</w:t>
      </w:r>
      <w:r w:rsidRPr="00005E99">
        <w:rPr>
          <w:szCs w:val="24"/>
        </w:rPr>
        <w:t xml:space="preserve"> trwa od kilku lat. </w:t>
      </w:r>
    </w:p>
    <w:bookmarkEnd w:id="171"/>
    <w:p w14:paraId="411B9040" w14:textId="77777777" w:rsidR="00E1248C" w:rsidRPr="00005E99" w:rsidRDefault="00E1248C" w:rsidP="00005E99">
      <w:pPr>
        <w:spacing w:after="0" w:line="360" w:lineRule="auto"/>
        <w:jc w:val="both"/>
        <w:rPr>
          <w:szCs w:val="24"/>
        </w:rPr>
      </w:pPr>
      <w:r w:rsidRPr="00005E99">
        <w:rPr>
          <w:noProof/>
          <w:szCs w:val="24"/>
        </w:rPr>
        <w:lastRenderedPageBreak/>
        <w:drawing>
          <wp:inline distT="0" distB="0" distL="0" distR="0" wp14:anchorId="6C26BDC8" wp14:editId="739EF342">
            <wp:extent cx="5760720" cy="3811899"/>
            <wp:effectExtent l="0" t="0" r="0" b="0"/>
            <wp:docPr id="135" name="Wykres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5F32CF7" w14:textId="77777777" w:rsidR="004914D8" w:rsidRPr="002C6E5F" w:rsidRDefault="004914D8" w:rsidP="004914D8">
      <w:pPr>
        <w:spacing w:after="0" w:line="360" w:lineRule="auto"/>
        <w:jc w:val="both"/>
        <w:rPr>
          <w:i/>
          <w:sz w:val="20"/>
          <w:szCs w:val="20"/>
        </w:rPr>
      </w:pPr>
      <w:r w:rsidRPr="002C6E5F">
        <w:rPr>
          <w:i/>
          <w:sz w:val="20"/>
          <w:szCs w:val="20"/>
        </w:rPr>
        <w:t>Źródło: opracowanie własne na podstawie danych BDL, GUS.</w:t>
      </w:r>
    </w:p>
    <w:p w14:paraId="7F8BFD85" w14:textId="5A6F293E" w:rsidR="00440A0A" w:rsidRPr="00440A0A" w:rsidRDefault="007A6688" w:rsidP="007A6688">
      <w:pPr>
        <w:pStyle w:val="Legenda"/>
        <w:rPr>
          <w:i/>
          <w:color w:val="auto"/>
          <w:sz w:val="20"/>
          <w:szCs w:val="20"/>
        </w:rPr>
      </w:pPr>
      <w:bookmarkStart w:id="172" w:name="_Toc476832930"/>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12</w:t>
      </w:r>
      <w:r w:rsidR="00A44293" w:rsidRPr="00A44293">
        <w:rPr>
          <w:noProof/>
          <w:color w:val="auto"/>
        </w:rPr>
        <w:fldChar w:fldCharType="end"/>
      </w:r>
      <w:r w:rsidRPr="00A44293">
        <w:rPr>
          <w:color w:val="auto"/>
        </w:rPr>
        <w:t xml:space="preserve"> </w:t>
      </w:r>
      <w:r w:rsidR="00440A0A" w:rsidRPr="00440A0A">
        <w:rPr>
          <w:b w:val="0"/>
          <w:i/>
          <w:color w:val="auto"/>
          <w:sz w:val="20"/>
          <w:szCs w:val="20"/>
        </w:rPr>
        <w:t>Procentowa zmiana liczby ludności w latach 2000 -2015</w:t>
      </w:r>
      <w:bookmarkEnd w:id="172"/>
    </w:p>
    <w:p w14:paraId="2C425FF0" w14:textId="6B22379B" w:rsidR="00E1248C" w:rsidRDefault="00E1248C" w:rsidP="00440A0A">
      <w:pPr>
        <w:spacing w:after="0"/>
        <w:jc w:val="both"/>
        <w:rPr>
          <w:szCs w:val="24"/>
        </w:rPr>
      </w:pPr>
      <w:r w:rsidRPr="00005E99">
        <w:rPr>
          <w:szCs w:val="24"/>
        </w:rPr>
        <w:t>Proces depopulacji dotyka przede wszystkim obszary miejskie, co w zderzeniu z faktem, że województwo śląskie jest najsilniej zurbanizowanym obszarem</w:t>
      </w:r>
      <w:r w:rsidR="004B369D">
        <w:rPr>
          <w:szCs w:val="24"/>
        </w:rPr>
        <w:t>,</w:t>
      </w:r>
      <w:r w:rsidRPr="00005E99">
        <w:rPr>
          <w:szCs w:val="24"/>
        </w:rPr>
        <w:t xml:space="preserve"> powoduje, że problem ten będzie miał coraz wię</w:t>
      </w:r>
      <w:r w:rsidR="00BD598E">
        <w:rPr>
          <w:szCs w:val="24"/>
        </w:rPr>
        <w:t xml:space="preserve">ksze znaczenie i konsekwencje. </w:t>
      </w:r>
      <w:r w:rsidRPr="00005E99">
        <w:rPr>
          <w:szCs w:val="24"/>
        </w:rPr>
        <w:t xml:space="preserve">W analizowanym okresie (tj. od 2000 roku) w Katowicach ubyło ponad 30 tysięcy mieszkańców. Niewiele lepiej jest w pozostałych miastach Metropolii Górnośląskiej. Z tak dużym nasileniem zjawiska boryka się również stolica Aglomeracji Częstochowskiej, gdzie liczba mieszkańców zmniejszyła się o prawie 25 tys. mieszkańców. Na drugim biegunie wskazać można miejscowości, których liczba mieszkańców w ostatnim czasie wzrosła. Gminy te położone są w przeważającej większości w południowej części województwa lub na obrzeżach Metropolii Górnośląskiej (Wyry, Mikołów, Orzesze). </w:t>
      </w:r>
    </w:p>
    <w:p w14:paraId="6147E5EA" w14:textId="77777777" w:rsidR="000B41F7" w:rsidRPr="00005E99" w:rsidRDefault="000B41F7" w:rsidP="00440A0A">
      <w:pPr>
        <w:spacing w:after="0"/>
        <w:jc w:val="both"/>
        <w:rPr>
          <w:szCs w:val="24"/>
        </w:rPr>
      </w:pPr>
    </w:p>
    <w:p w14:paraId="09674711" w14:textId="77777777" w:rsidR="00E1248C" w:rsidRPr="000B41F7" w:rsidRDefault="00E1248C" w:rsidP="00440A0A">
      <w:pPr>
        <w:spacing w:after="0"/>
        <w:jc w:val="both"/>
        <w:rPr>
          <w:b/>
          <w:szCs w:val="24"/>
        </w:rPr>
      </w:pPr>
      <w:r w:rsidRPr="000B41F7">
        <w:rPr>
          <w:b/>
          <w:szCs w:val="24"/>
        </w:rPr>
        <w:t>Struktura wiekowa ludności</w:t>
      </w:r>
    </w:p>
    <w:p w14:paraId="5A1E1896" w14:textId="77777777" w:rsidR="00E1248C" w:rsidRPr="00005E99" w:rsidRDefault="00E1248C" w:rsidP="00440A0A">
      <w:pPr>
        <w:spacing w:after="0"/>
        <w:jc w:val="both"/>
        <w:rPr>
          <w:szCs w:val="24"/>
        </w:rPr>
      </w:pPr>
      <w:r w:rsidRPr="00005E99">
        <w:rPr>
          <w:szCs w:val="24"/>
        </w:rPr>
        <w:t>Najliczniejszą grupę wiekową stanowi ludność w wieku produkcyjnym tj. w wieku zdolności do pracy</w:t>
      </w:r>
      <w:r w:rsidRPr="00005E99">
        <w:rPr>
          <w:rStyle w:val="Odwoanieprzypisudolnego"/>
          <w:szCs w:val="24"/>
        </w:rPr>
        <w:footnoteReference w:id="5"/>
      </w:r>
      <w:r w:rsidRPr="00005E99">
        <w:rPr>
          <w:szCs w:val="24"/>
        </w:rPr>
        <w:t>. Szczegółowy rozkład ludności wg grup wiekowych przedstawia poniższa piramida ludności.</w:t>
      </w:r>
    </w:p>
    <w:p w14:paraId="4FA22249" w14:textId="030C0AE4" w:rsidR="00E1248C" w:rsidRPr="002C6E5F" w:rsidRDefault="00005E99" w:rsidP="00005E99">
      <w:pPr>
        <w:pStyle w:val="Legenda"/>
        <w:spacing w:after="0" w:line="360" w:lineRule="auto"/>
        <w:jc w:val="both"/>
        <w:rPr>
          <w:sz w:val="20"/>
          <w:szCs w:val="20"/>
        </w:rPr>
      </w:pPr>
      <w:bookmarkStart w:id="173" w:name="_Toc440280073"/>
      <w:r w:rsidRPr="00005E99">
        <w:rPr>
          <w:noProof/>
          <w:sz w:val="24"/>
          <w:szCs w:val="24"/>
        </w:rPr>
        <w:lastRenderedPageBreak/>
        <w:drawing>
          <wp:anchor distT="0" distB="0" distL="114300" distR="114300" simplePos="0" relativeHeight="251697152" behindDoc="0" locked="0" layoutInCell="1" allowOverlap="1" wp14:anchorId="60DDEEA1" wp14:editId="57D3CDDE">
            <wp:simplePos x="0" y="0"/>
            <wp:positionH relativeFrom="column">
              <wp:posOffset>5080</wp:posOffset>
            </wp:positionH>
            <wp:positionV relativeFrom="paragraph">
              <wp:posOffset>378460</wp:posOffset>
            </wp:positionV>
            <wp:extent cx="5757545" cy="3747770"/>
            <wp:effectExtent l="0" t="0" r="0" b="5080"/>
            <wp:wrapTopAndBottom/>
            <wp:docPr id="136" name="Wykres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bookmarkEnd w:id="173"/>
    </w:p>
    <w:p w14:paraId="5CEB96F2" w14:textId="77777777" w:rsidR="002C6E5F" w:rsidRDefault="002C6E5F" w:rsidP="007A6688">
      <w:pPr>
        <w:pStyle w:val="Legenda"/>
        <w:rPr>
          <w:color w:val="auto"/>
        </w:rPr>
      </w:pPr>
    </w:p>
    <w:p w14:paraId="20B9F53F" w14:textId="77777777" w:rsidR="002C6E5F" w:rsidRPr="00440A0A" w:rsidRDefault="002C6E5F" w:rsidP="002C6E5F">
      <w:pPr>
        <w:spacing w:after="0" w:line="360" w:lineRule="auto"/>
        <w:jc w:val="both"/>
        <w:rPr>
          <w:i/>
          <w:sz w:val="16"/>
          <w:szCs w:val="16"/>
        </w:rPr>
      </w:pPr>
      <w:r w:rsidRPr="002C6E5F">
        <w:rPr>
          <w:i/>
          <w:sz w:val="20"/>
          <w:szCs w:val="20"/>
        </w:rPr>
        <w:t>Źródło: opracowanie własne na podstawie danych BDL, GUS</w:t>
      </w:r>
      <w:r w:rsidRPr="00440A0A">
        <w:rPr>
          <w:i/>
          <w:sz w:val="16"/>
          <w:szCs w:val="16"/>
        </w:rPr>
        <w:t>.</w:t>
      </w:r>
    </w:p>
    <w:p w14:paraId="1A0A24A9" w14:textId="61AE7B16" w:rsidR="00E1248C" w:rsidRPr="00440A0A" w:rsidRDefault="007A6688" w:rsidP="007A6688">
      <w:pPr>
        <w:pStyle w:val="Legenda"/>
        <w:rPr>
          <w:i/>
          <w:color w:val="auto"/>
          <w:sz w:val="20"/>
          <w:szCs w:val="20"/>
        </w:rPr>
      </w:pPr>
      <w:bookmarkStart w:id="174" w:name="_Toc476832931"/>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13</w:t>
      </w:r>
      <w:r w:rsidR="00A44293" w:rsidRPr="00A44293">
        <w:rPr>
          <w:noProof/>
          <w:color w:val="auto"/>
        </w:rPr>
        <w:fldChar w:fldCharType="end"/>
      </w:r>
      <w:r w:rsidRPr="00A44293">
        <w:rPr>
          <w:color w:val="auto"/>
        </w:rPr>
        <w:t xml:space="preserve"> </w:t>
      </w:r>
      <w:r w:rsidR="00440A0A" w:rsidRPr="00440A0A">
        <w:rPr>
          <w:b w:val="0"/>
          <w:i/>
          <w:color w:val="auto"/>
          <w:sz w:val="20"/>
          <w:szCs w:val="20"/>
        </w:rPr>
        <w:t>Piramida wieku ludności województwa śląskiego w 2015 roku</w:t>
      </w:r>
      <w:bookmarkEnd w:id="174"/>
    </w:p>
    <w:p w14:paraId="6A60ACAB" w14:textId="77777777" w:rsidR="00E1248C" w:rsidRPr="00005E99" w:rsidRDefault="00E1248C" w:rsidP="00440A0A">
      <w:pPr>
        <w:spacing w:after="0"/>
        <w:jc w:val="both"/>
        <w:rPr>
          <w:szCs w:val="24"/>
        </w:rPr>
      </w:pPr>
      <w:r w:rsidRPr="00005E99">
        <w:rPr>
          <w:szCs w:val="24"/>
        </w:rPr>
        <w:t>Analizując układ piramidy wieku wskazać można dwie grupy wiekowe, które dominują pod względem udziału liczby osób, jest to grupa kobiet i mężczyzn w wieku 30-34 oraz 55-59 lat, urodzonych w czasie tzw. wyżu demograficznego. Analizując kształt piramidy wieku zauważyć można brak wyraźnie zarysowanego kolejnego wyżu demograficznego.</w:t>
      </w:r>
    </w:p>
    <w:p w14:paraId="19CD1236" w14:textId="77777777" w:rsidR="00E1248C" w:rsidRPr="00005E99" w:rsidRDefault="00E1248C" w:rsidP="00440A0A">
      <w:pPr>
        <w:spacing w:after="0"/>
        <w:jc w:val="both"/>
        <w:rPr>
          <w:szCs w:val="24"/>
        </w:rPr>
      </w:pPr>
      <w:r w:rsidRPr="00005E99">
        <w:rPr>
          <w:szCs w:val="24"/>
        </w:rPr>
        <w:t xml:space="preserve">Proporcje między ludnością w wieku produkcyjnym, poprodukcyjnym, przedprodukcyjnym wykazują tendencję do negatywnego układu. Na przestrzeni ostatnich lat w sposób zdecydowany rośnie udział ludności w wieku poprodukcyjnym przy jednoczesnym spadku liczby ludności w wieku przedprodukcyjnym co jednoznacznie wskazuje na postępujący </w:t>
      </w:r>
      <w:r w:rsidRPr="00005E99">
        <w:rPr>
          <w:b/>
          <w:szCs w:val="24"/>
        </w:rPr>
        <w:t>proces starzenia się społeczeństwa</w:t>
      </w:r>
      <w:r w:rsidRPr="00005E99">
        <w:rPr>
          <w:szCs w:val="24"/>
        </w:rPr>
        <w:t xml:space="preserve">. W województwie śląskim szybciej przyrasta liczba osób w wieku poprodukcyjnym niż średnio w kraju. </w:t>
      </w:r>
    </w:p>
    <w:p w14:paraId="6B405F48" w14:textId="77777777" w:rsidR="00E1248C" w:rsidRPr="00005E99" w:rsidRDefault="00E1248C" w:rsidP="00440A0A">
      <w:pPr>
        <w:spacing w:after="0"/>
        <w:jc w:val="both"/>
        <w:rPr>
          <w:szCs w:val="24"/>
        </w:rPr>
      </w:pPr>
      <w:r w:rsidRPr="00005E99">
        <w:rPr>
          <w:szCs w:val="24"/>
        </w:rPr>
        <w:t>Niekorzystnym odzwierciedleniem powyższych tendencji są wskaźniki obciążenia demograficznego. Wartość wskaźnika ludności w wieku poprodukcyjnym na 100 osób w wieku produkcyjnym jeszcze w 2002 roku wynosiła w województwie śląskim 23,1 i była niższa niż średnia krajowa (24,2) by wzrosnąć</w:t>
      </w:r>
      <w:r w:rsidRPr="00005E99">
        <w:rPr>
          <w:color w:val="FF0000"/>
          <w:szCs w:val="24"/>
        </w:rPr>
        <w:t xml:space="preserve"> </w:t>
      </w:r>
      <w:r w:rsidRPr="00005E99">
        <w:rPr>
          <w:szCs w:val="24"/>
        </w:rPr>
        <w:t>w 2015 roku do wartości 33 (średnia krajowa 31,4).</w:t>
      </w:r>
      <w:r w:rsidRPr="00005E99">
        <w:rPr>
          <w:color w:val="FF0000"/>
          <w:szCs w:val="24"/>
        </w:rPr>
        <w:t xml:space="preserve"> </w:t>
      </w:r>
      <w:r w:rsidRPr="00005E99">
        <w:rPr>
          <w:szCs w:val="24"/>
        </w:rPr>
        <w:t xml:space="preserve">Zjawisko to w przestrzeni rozkłada się stosunkowo równomiernie, przy czym można wskazać obszary o większym natężeniu tj. północno- wschodnia część województwa śląskiego oraz wschodnia część Metropolii Górnośląskiej. </w:t>
      </w:r>
    </w:p>
    <w:p w14:paraId="1F9439CE" w14:textId="77777777" w:rsidR="00E1248C" w:rsidRPr="00005E99" w:rsidRDefault="00E1248C" w:rsidP="00440A0A">
      <w:pPr>
        <w:spacing w:after="0"/>
        <w:jc w:val="both"/>
        <w:rPr>
          <w:szCs w:val="24"/>
        </w:rPr>
      </w:pPr>
      <w:r w:rsidRPr="00005E99">
        <w:rPr>
          <w:szCs w:val="24"/>
        </w:rPr>
        <w:t>Analizując powyższe zjawisko w przestrzeni można zauważyć koncentrację miejsc gdzie wskaźnik obciążenia demograficznego osiąga wysoką wartość. Jest to w szczególności środkowa i północno-wschodnia część województwa śląskiego, podczas gdy najkorzystniej pod tym względem wygląda południowa część regionu.</w:t>
      </w:r>
    </w:p>
    <w:p w14:paraId="34420063" w14:textId="77777777" w:rsidR="00E1248C" w:rsidRPr="00005E99" w:rsidRDefault="00E1248C" w:rsidP="004914D8">
      <w:pPr>
        <w:spacing w:after="0" w:line="360" w:lineRule="auto"/>
        <w:jc w:val="center"/>
        <w:rPr>
          <w:i/>
          <w:szCs w:val="24"/>
        </w:rPr>
      </w:pPr>
      <w:r w:rsidRPr="00005E99">
        <w:rPr>
          <w:i/>
          <w:noProof/>
          <w:color w:val="FF0000"/>
          <w:szCs w:val="24"/>
        </w:rPr>
        <w:lastRenderedPageBreak/>
        <w:drawing>
          <wp:inline distT="0" distB="0" distL="0" distR="0" wp14:anchorId="72CCFC4F" wp14:editId="3CF84634">
            <wp:extent cx="4075200" cy="5760000"/>
            <wp:effectExtent l="0" t="0" r="1905" b="0"/>
            <wp:docPr id="33" name="Obraz 33" descr="Z:\_STRATEGIE I PROGRAMY\depopulacja -dysk\diagnoza - uaktualnione\demografia  2015\gotowe mapy\wskaźnik obciążenia demograficznego 1 popr do 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_STRATEGIE I PROGRAMY\depopulacja -dysk\diagnoza - uaktualnione\demografia  2015\gotowe mapy\wskaźnik obciążenia demograficznego 1 popr do pr.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75200" cy="5760000"/>
                    </a:xfrm>
                    <a:prstGeom prst="rect">
                      <a:avLst/>
                    </a:prstGeom>
                    <a:noFill/>
                    <a:ln>
                      <a:noFill/>
                    </a:ln>
                  </pic:spPr>
                </pic:pic>
              </a:graphicData>
            </a:graphic>
          </wp:inline>
        </w:drawing>
      </w:r>
    </w:p>
    <w:p w14:paraId="4D60D828" w14:textId="77777777" w:rsidR="004914D8" w:rsidRPr="002C6E5F" w:rsidRDefault="004914D8" w:rsidP="004914D8">
      <w:pPr>
        <w:spacing w:after="0" w:line="360" w:lineRule="auto"/>
        <w:jc w:val="both"/>
        <w:rPr>
          <w:i/>
          <w:sz w:val="20"/>
          <w:szCs w:val="20"/>
        </w:rPr>
      </w:pPr>
      <w:r w:rsidRPr="002C6E5F">
        <w:rPr>
          <w:i/>
          <w:sz w:val="20"/>
          <w:szCs w:val="20"/>
        </w:rPr>
        <w:t>Źródło: opracowanie własne na podstawie danych BDL, GUS.</w:t>
      </w:r>
    </w:p>
    <w:p w14:paraId="56C63C58" w14:textId="6435D2C2" w:rsidR="004914D8" w:rsidRPr="004914D8" w:rsidRDefault="007A6688" w:rsidP="007A6688">
      <w:pPr>
        <w:pStyle w:val="Legenda"/>
        <w:rPr>
          <w:color w:val="auto"/>
          <w:sz w:val="20"/>
          <w:szCs w:val="20"/>
        </w:rPr>
      </w:pPr>
      <w:bookmarkStart w:id="175" w:name="_Toc476832932"/>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14</w:t>
      </w:r>
      <w:r w:rsidR="00A44293" w:rsidRPr="00A44293">
        <w:rPr>
          <w:noProof/>
          <w:color w:val="auto"/>
        </w:rPr>
        <w:fldChar w:fldCharType="end"/>
      </w:r>
      <w:r>
        <w:t xml:space="preserve"> </w:t>
      </w:r>
      <w:r w:rsidR="004914D8" w:rsidRPr="004914D8">
        <w:rPr>
          <w:b w:val="0"/>
          <w:i/>
          <w:color w:val="auto"/>
          <w:sz w:val="20"/>
          <w:szCs w:val="20"/>
        </w:rPr>
        <w:t>Wskaźnik obciążenia demograficznego w województwie śląskim w 2015 roku (liczba ludności w wieku poprodukcyjnym na</w:t>
      </w:r>
      <w:r w:rsidR="004914D8">
        <w:rPr>
          <w:b w:val="0"/>
          <w:i/>
          <w:color w:val="auto"/>
          <w:sz w:val="20"/>
          <w:szCs w:val="20"/>
        </w:rPr>
        <w:t xml:space="preserve"> 100 osób w wieku produkcyjnym)</w:t>
      </w:r>
      <w:bookmarkEnd w:id="175"/>
    </w:p>
    <w:p w14:paraId="51A487E7" w14:textId="3AB82A2D" w:rsidR="00E1248C" w:rsidRPr="004914D8" w:rsidRDefault="00E1248C" w:rsidP="004914D8">
      <w:pPr>
        <w:spacing w:after="0"/>
        <w:jc w:val="both"/>
        <w:rPr>
          <w:i/>
          <w:szCs w:val="24"/>
        </w:rPr>
      </w:pPr>
      <w:r w:rsidRPr="00005E99">
        <w:rPr>
          <w:szCs w:val="24"/>
        </w:rPr>
        <w:t>Niekorzystne tendencje demograficzne w województwie śląskim są potęgowane przez złe wyniki w zakresie ruchu naturalnego ludności. W latach 2000-2015 liczba zgonów notowanych w województwie śląskim była przeciętnie o ok. 4,3 tys. wyższa od liczby urodzeń żywych. Jedynie w 2010 roku liczba urodzeń była wyższa od liczby zgonów, natomiast w 2015 roku deficyt urodzeń wyniósł aż 8,8 tys.</w:t>
      </w:r>
    </w:p>
    <w:p w14:paraId="2FFE9B56" w14:textId="77777777" w:rsidR="00E1248C" w:rsidRPr="00005E99" w:rsidRDefault="00E1248C" w:rsidP="004914D8">
      <w:pPr>
        <w:spacing w:after="0"/>
        <w:jc w:val="both"/>
        <w:rPr>
          <w:szCs w:val="24"/>
        </w:rPr>
      </w:pPr>
      <w:r w:rsidRPr="00005E99">
        <w:rPr>
          <w:szCs w:val="24"/>
        </w:rPr>
        <w:t>Województwo śląskie jest jednym z 7 województw, w których utrzymuje się ujemny przyrost naturalny (średnio rocznie w okresie 2000-2015 to ok. -4300 osób). W liczbach bezwzględnych gorsza sytuacja występuje jedynie w województwie łódzkim (od 2000 roku przyrost naturalny wynosi średnio -7800 osób rocznie).</w:t>
      </w:r>
    </w:p>
    <w:p w14:paraId="5599F3BB" w14:textId="051FE6E3" w:rsidR="00E1248C" w:rsidRPr="00005E99" w:rsidRDefault="00E1248C" w:rsidP="004914D8">
      <w:pPr>
        <w:spacing w:after="0"/>
        <w:jc w:val="both"/>
        <w:rPr>
          <w:szCs w:val="24"/>
        </w:rPr>
      </w:pPr>
      <w:r w:rsidRPr="00005E99">
        <w:rPr>
          <w:szCs w:val="24"/>
        </w:rPr>
        <w:t xml:space="preserve">Skalę problemu lepiej oddaje przeliczenie wartości przyrostu naturalnego na 1000 mieszkańców. W zdecydowanie najkorzystniejszej (zgodnie z </w:t>
      </w:r>
      <w:r w:rsidR="00906FD5">
        <w:rPr>
          <w:szCs w:val="24"/>
        </w:rPr>
        <w:t>danymi za 2015 rok) sytuacji są </w:t>
      </w:r>
      <w:r w:rsidRPr="00005E99">
        <w:rPr>
          <w:szCs w:val="24"/>
        </w:rPr>
        <w:t xml:space="preserve">kolejno województwa pomorskie (1,5), wielkopolskie (1,0) i małopolskie (1,0). Na drugim </w:t>
      </w:r>
      <w:r w:rsidRPr="00005E99">
        <w:rPr>
          <w:szCs w:val="24"/>
        </w:rPr>
        <w:lastRenderedPageBreak/>
        <w:t>biegunie, jako województwa najsilniej dotknięte zjawiskiem ujemnego przyrostu naturalnego są województwa łódzkie (-3,6) oraz świętokrzyskie (-3,0). W województwie śląskim problem ujemnego przyrostu (-1,9) przyjmuje podobne rozmiary jak w województwach opolskim (-2,2) i dolnośląskim (-1,8).</w:t>
      </w:r>
    </w:p>
    <w:p w14:paraId="0E281D56" w14:textId="77777777" w:rsidR="00E1248C" w:rsidRPr="00005E99" w:rsidRDefault="00E1248C" w:rsidP="004914D8">
      <w:pPr>
        <w:spacing w:after="0"/>
        <w:jc w:val="both"/>
        <w:rPr>
          <w:szCs w:val="24"/>
        </w:rPr>
      </w:pPr>
      <w:r w:rsidRPr="00005E99">
        <w:rPr>
          <w:szCs w:val="24"/>
        </w:rPr>
        <w:t>W województwie śląskim występują znaczne różnice w poziomie przyrostu naturalnego pomiędzy poszczególnymi gminami. Spoglądając na mapę województwa można wyraźnie wskazać na zróżnicowania pomiędzy częścią północną oraz południową. Miasta Metropolii Górnośląskiej (za wyjątkiem południowych obrzeży) i tereny znajdujące się na północ od niej charakteryzują się ujemnym przyrostem naturalnym. Najniższe wartości przyrostu naturalnego charakteryzują gminy znajdujące się na przeciwległych krańcach województwa: Dąbrowa Zielona na północy (-9,1) oraz Ujsoły na południu (-8,5). Ponadto przyrost na 1000 mieszkańców na poziomie -7,0 lub niższym w 2015 roku osiągnęły także gminy: Wojkowice, Ogrodzieniec, Bobrowniki, Blachownia oraz Koniecpol. Generalnie, aż 116 spośród 167 gmin regionu wykazało w 2015 roku ujemną wartość przyrostu naturalnego. W największym stopniu z problemem ujemnego przyrostu boryka się północno-wschodnia część województwa, natomiast zachodnia część regionu to umiarkowanie ujemny przyrost naturalny.</w:t>
      </w:r>
    </w:p>
    <w:p w14:paraId="33FA1BE6" w14:textId="77777777" w:rsidR="00E1248C" w:rsidRPr="00005E99" w:rsidRDefault="00E1248C" w:rsidP="004914D8">
      <w:pPr>
        <w:spacing w:after="0"/>
        <w:jc w:val="both"/>
        <w:rPr>
          <w:szCs w:val="24"/>
        </w:rPr>
      </w:pPr>
      <w:r w:rsidRPr="00005E99">
        <w:rPr>
          <w:szCs w:val="24"/>
        </w:rPr>
        <w:t xml:space="preserve">Najlepsze wskaźniki przyrostu naturalnego notują natomiast gminy: Suszec (6,3), Miedźna (6,2), Świerklany (6,1), Mszana (5,1) oraz Jasienica (5,2). Z kolei wśród gmin będących jednocześnie miastami na prawach powiatu najlepiej wypadają Żory (1,6). Jest to jedno z trzech miast na prawach powiatu w województwie śląskim, które w 2015 roku legitymowały się dodatnim przyrostem naturalnym (pozostałe dwa to Tychy oraz Rybnik). </w:t>
      </w:r>
    </w:p>
    <w:p w14:paraId="1D0D0E1D" w14:textId="06C41FE5" w:rsidR="00E1248C" w:rsidRPr="00005E99" w:rsidRDefault="00E1248C" w:rsidP="004914D8">
      <w:pPr>
        <w:spacing w:after="0"/>
        <w:jc w:val="both"/>
        <w:rPr>
          <w:rFonts w:eastAsia="Calibri"/>
          <w:szCs w:val="24"/>
        </w:rPr>
      </w:pPr>
      <w:r w:rsidRPr="00005E99">
        <w:rPr>
          <w:rFonts w:eastAsia="Calibri"/>
          <w:szCs w:val="24"/>
        </w:rPr>
        <w:t>Problemem województwa śląskiego w odniesieniu do sytuacji demograficznej jest także odpływ migracyjny ludności. Skumulowane za okres 2005-2014</w:t>
      </w:r>
      <w:r w:rsidRPr="00005E99">
        <w:rPr>
          <w:rStyle w:val="Odwoanieprzypisudolnego"/>
          <w:rFonts w:eastAsia="Calibri"/>
          <w:szCs w:val="24"/>
        </w:rPr>
        <w:footnoteReference w:id="6"/>
      </w:r>
      <w:r w:rsidRPr="00005E99">
        <w:rPr>
          <w:rFonts w:eastAsia="Calibri"/>
          <w:szCs w:val="24"/>
        </w:rPr>
        <w:t xml:space="preserve"> saldo osób w wieku produkcyjnym (osoby z tej grupy wiekowej stanowią zdecydowaną większość migrantów), które zdecydowały się na migrację zagraniczną na pobyt stały wyniosło w województwie śląskim -36 tys. osób. Był to zdecydowanie największy odpływ ludności spośród wszystkich województw. Drugi po województwie śląskim region to województwo opolskie, które straciło ponad 18 tysięcy mieszkańców w wyniku migracji zagranicznych w analizowanym okresie. Dodatnie saldo migracji zagranicznych zanotowało natom</w:t>
      </w:r>
      <w:r w:rsidR="002C6E5F">
        <w:rPr>
          <w:rFonts w:eastAsia="Calibri"/>
          <w:szCs w:val="24"/>
        </w:rPr>
        <w:t>iast tylko jedno województwo, a </w:t>
      </w:r>
      <w:r w:rsidRPr="00005E99">
        <w:rPr>
          <w:rFonts w:eastAsia="Calibri"/>
          <w:szCs w:val="24"/>
        </w:rPr>
        <w:t>mianowicie mazowieckie (1200 osób przybyło w wyniku migracji zagranicznych).</w:t>
      </w:r>
    </w:p>
    <w:p w14:paraId="18E333EC" w14:textId="77777777" w:rsidR="00E1248C" w:rsidRPr="00005E99" w:rsidRDefault="00E1248C" w:rsidP="004914D8">
      <w:pPr>
        <w:spacing w:after="0"/>
        <w:jc w:val="both"/>
        <w:rPr>
          <w:rFonts w:eastAsia="Calibri"/>
          <w:szCs w:val="24"/>
        </w:rPr>
      </w:pPr>
      <w:r w:rsidRPr="00005E99">
        <w:rPr>
          <w:rFonts w:eastAsia="Calibri"/>
          <w:szCs w:val="24"/>
        </w:rPr>
        <w:t>Województwo śląskie cechuje jeden z największych strumieni odpływu ludności z miast na obszary wiejskie. W ciągu 11 lat (od 2005 do 2015 roku) w granicach województwa śląskiego ponad 51 tys. osób zmieniło miejsce zamieszkania z miasta na wieś. Jedynie w województwach wielkopolskim (ponad 67 tys. osób) oraz mazowieckim (52,5 tys. osób) strumień takich przepływów ludności był większy. Najmniejszy odpływ ludności z miast na wieś nastąpił w województwach warmińsko-mazurskim (0,7 tys. osób) oraz podlaskim (niespełna 1,5 tys. osób). Wartości salda migracji wewnątrzwojewódzkich wskazują na tendencję polegającą na przenoszeniu się ludności miejskiej na tereny mniej zurbanizowane.</w:t>
      </w:r>
    </w:p>
    <w:p w14:paraId="5F4B9FDA" w14:textId="77777777" w:rsidR="00E1248C" w:rsidRPr="00005E99" w:rsidRDefault="00E1248C" w:rsidP="004914D8">
      <w:pPr>
        <w:spacing w:after="0"/>
        <w:jc w:val="both"/>
        <w:rPr>
          <w:rFonts w:eastAsia="Calibri"/>
          <w:szCs w:val="24"/>
        </w:rPr>
      </w:pPr>
      <w:r w:rsidRPr="00005E99">
        <w:rPr>
          <w:rFonts w:eastAsia="Calibri"/>
          <w:szCs w:val="24"/>
        </w:rPr>
        <w:t xml:space="preserve">Analizując ruchy migracyjne wewnątrz kraju można stwierdzić, że województwo śląskie nie jest zbyt atrakcyjnym kierunkiem osiedlania się przez mieszkańców pochodzących z innych województw. Saldo migracji międzywojewódzkich wynosiło dla województwa śląskiego -3449 </w:t>
      </w:r>
      <w:r w:rsidRPr="00005E99">
        <w:rPr>
          <w:rFonts w:eastAsia="Calibri"/>
          <w:szCs w:val="24"/>
        </w:rPr>
        <w:lastRenderedPageBreak/>
        <w:t>osób w 2015 roku, natomiast skumulowane saldo za okres 2000-2015 to -49,6 tys. osób. Największy odpływ migracyjny z województwa śląskiego następuje w kierunku województw mazowieckiego i małopolskiego (w każdym z tych kierunków ponad -15,5 tys. osób). Trzykrotnie mniejsze jest saldo migracji z województwem dolnośląskim, a pozostałe kierunki mają już mniejsze znaczenie. Należy zaznaczyć, że z jedynie trzema województwami województwo śląskie ma dodatnie saldo migracji międzywojewódzkich i są to województwa świętokrzyskie, lubelskie oraz podkarpackie.</w:t>
      </w:r>
    </w:p>
    <w:p w14:paraId="73405418" w14:textId="77777777" w:rsidR="00E1248C" w:rsidRPr="00005E99" w:rsidRDefault="00E1248C" w:rsidP="004914D8">
      <w:pPr>
        <w:spacing w:after="0"/>
        <w:jc w:val="both"/>
        <w:rPr>
          <w:rFonts w:eastAsia="Calibri"/>
          <w:szCs w:val="24"/>
        </w:rPr>
      </w:pPr>
      <w:r w:rsidRPr="00005E99">
        <w:rPr>
          <w:rFonts w:eastAsia="Calibri"/>
          <w:szCs w:val="24"/>
        </w:rPr>
        <w:t>Województwo śląskie jest regionem, który w wyniku ruchów migracyjnych utracił największą liczbę mieszkańców w okresie ostatnich 15 lat. Skumulowane saldo migracji na pobyt stały za okres 2000-2014 wyniosło dla województwa śląskiego prawie -126 tys. osób, podczas gdy drugie pod tym względem województwo lubelskie utraciło o ponad 50 tys. osób mniej. Na drugim biegunie jest województwo mazowieckie, które zyskało w analizowanym okresie prawie 200 tys. mieszkańców. Oprócz mazowieckiego, jedynie województwa małopolskie, wielkopolskie i pomorskie mogą się pochwalić dodatnim wynikiem salda migracji na pobyt stały.</w:t>
      </w:r>
    </w:p>
    <w:p w14:paraId="05E71E20" w14:textId="77777777" w:rsidR="00E1248C" w:rsidRPr="00005E99" w:rsidRDefault="00E1248C" w:rsidP="004914D8">
      <w:pPr>
        <w:spacing w:after="0"/>
        <w:jc w:val="both"/>
        <w:rPr>
          <w:rFonts w:eastAsia="Calibri"/>
          <w:szCs w:val="24"/>
        </w:rPr>
      </w:pPr>
      <w:r w:rsidRPr="00005E99">
        <w:rPr>
          <w:rFonts w:eastAsia="Calibri"/>
          <w:szCs w:val="24"/>
        </w:rPr>
        <w:t xml:space="preserve">Mapa pokazująca wartość salda migracji na 1000 mieszkańców w gminach województwa śląskiego w 2014 roku ukazuje tendencję polegającą na wyludnianiu się miast. Praktycznie wszystkie miasta na prawach powiatu w województwie tracą mieszkańców, podczas gdy zyskują otaczające je gminy, stanowiące ich otoczenie funkcjonalne. Są to obszary o typowo podmiejskim charakterze, co świadczy o poszukiwaniu przez ludzi nieco spokojniejszych niż duże miasta miejsc do życia. </w:t>
      </w:r>
    </w:p>
    <w:p w14:paraId="0E7B596A" w14:textId="6F2288F8" w:rsidR="00E1248C" w:rsidRPr="00005E99" w:rsidRDefault="00E1248C" w:rsidP="00005E99">
      <w:pPr>
        <w:spacing w:after="0" w:line="360" w:lineRule="auto"/>
        <w:jc w:val="both"/>
        <w:rPr>
          <w:rFonts w:eastAsia="Calibri"/>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E1248C" w:rsidRPr="00005E99" w14:paraId="2EFC115D" w14:textId="77777777" w:rsidTr="0081420D">
        <w:trPr>
          <w:cantSplit/>
        </w:trPr>
        <w:tc>
          <w:tcPr>
            <w:tcW w:w="4606" w:type="dxa"/>
          </w:tcPr>
          <w:p w14:paraId="2D21FC4B" w14:textId="2D9E3DAC" w:rsidR="00E1248C" w:rsidRPr="00005E99" w:rsidRDefault="00E1248C" w:rsidP="004914D8">
            <w:pPr>
              <w:spacing w:after="0" w:line="360" w:lineRule="auto"/>
              <w:jc w:val="both"/>
              <w:rPr>
                <w:szCs w:val="24"/>
              </w:rPr>
            </w:pPr>
          </w:p>
        </w:tc>
        <w:tc>
          <w:tcPr>
            <w:tcW w:w="4606" w:type="dxa"/>
          </w:tcPr>
          <w:p w14:paraId="0F7FA57B" w14:textId="77777777" w:rsidR="00E1248C" w:rsidRPr="00005E99" w:rsidRDefault="00E1248C" w:rsidP="00005E99">
            <w:pPr>
              <w:spacing w:after="0" w:line="360" w:lineRule="auto"/>
              <w:jc w:val="both"/>
              <w:rPr>
                <w:szCs w:val="24"/>
              </w:rPr>
            </w:pPr>
          </w:p>
        </w:tc>
      </w:tr>
      <w:tr w:rsidR="00E1248C" w:rsidRPr="00005E99" w14:paraId="17B51E8A" w14:textId="77777777" w:rsidTr="0081420D">
        <w:trPr>
          <w:cantSplit/>
        </w:trPr>
        <w:tc>
          <w:tcPr>
            <w:tcW w:w="4606" w:type="dxa"/>
          </w:tcPr>
          <w:p w14:paraId="72746AC7" w14:textId="77777777" w:rsidR="004E7260" w:rsidRDefault="00E1248C" w:rsidP="004E7260">
            <w:pPr>
              <w:keepNext/>
              <w:spacing w:after="0" w:line="360" w:lineRule="auto"/>
              <w:jc w:val="both"/>
            </w:pPr>
            <w:r w:rsidRPr="00005E99">
              <w:rPr>
                <w:noProof/>
                <w:szCs w:val="24"/>
              </w:rPr>
              <w:lastRenderedPageBreak/>
              <w:drawing>
                <wp:inline distT="0" distB="0" distL="0" distR="0" wp14:anchorId="1BAA1B20" wp14:editId="67DF531E">
                  <wp:extent cx="2545200" cy="3600000"/>
                  <wp:effectExtent l="0" t="0" r="7620" b="635"/>
                  <wp:docPr id="41" name="Obraz 15" descr="przyr_nat_gminy_1000_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zyr_nat_gminy_1000_2015.png"/>
                          <pic:cNvPicPr/>
                        </pic:nvPicPr>
                        <pic:blipFill>
                          <a:blip r:embed="rId60" cstate="print"/>
                          <a:stretch>
                            <a:fillRect/>
                          </a:stretch>
                        </pic:blipFill>
                        <pic:spPr>
                          <a:xfrm>
                            <a:off x="0" y="0"/>
                            <a:ext cx="2545200" cy="3600000"/>
                          </a:xfrm>
                          <a:prstGeom prst="rect">
                            <a:avLst/>
                          </a:prstGeom>
                        </pic:spPr>
                      </pic:pic>
                    </a:graphicData>
                  </a:graphic>
                </wp:inline>
              </w:drawing>
            </w:r>
          </w:p>
          <w:p w14:paraId="1732E0AC" w14:textId="5A1BBC59" w:rsidR="00E1248C" w:rsidRPr="00005E99" w:rsidRDefault="004E7260" w:rsidP="0091239F">
            <w:pPr>
              <w:pStyle w:val="Legenda"/>
              <w:jc w:val="both"/>
              <w:rPr>
                <w:szCs w:val="24"/>
              </w:rPr>
            </w:pPr>
            <w:bookmarkStart w:id="176" w:name="_Toc476832933"/>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15</w:t>
            </w:r>
            <w:r w:rsidR="00A44293" w:rsidRPr="00A44293">
              <w:rPr>
                <w:noProof/>
                <w:color w:val="auto"/>
              </w:rPr>
              <w:fldChar w:fldCharType="end"/>
            </w:r>
            <w:r w:rsidR="0091239F" w:rsidRPr="00A44293">
              <w:rPr>
                <w:color w:val="auto"/>
              </w:rPr>
              <w:t xml:space="preserve"> </w:t>
            </w:r>
            <w:r w:rsidR="0091239F" w:rsidRPr="004914D8">
              <w:rPr>
                <w:b w:val="0"/>
                <w:i/>
                <w:color w:val="auto"/>
                <w:sz w:val="20"/>
                <w:szCs w:val="20"/>
              </w:rPr>
              <w:t>Przyrost naturalny na 1000 mieszkańców w gminach województwa śląskiego w 2015 roku</w:t>
            </w:r>
            <w:bookmarkEnd w:id="176"/>
          </w:p>
        </w:tc>
        <w:tc>
          <w:tcPr>
            <w:tcW w:w="4606" w:type="dxa"/>
          </w:tcPr>
          <w:p w14:paraId="0B78879F" w14:textId="77777777" w:rsidR="004E7260" w:rsidRDefault="00E1248C" w:rsidP="004E7260">
            <w:pPr>
              <w:keepNext/>
              <w:spacing w:after="0" w:line="360" w:lineRule="auto"/>
              <w:jc w:val="both"/>
            </w:pPr>
            <w:r w:rsidRPr="00005E99">
              <w:rPr>
                <w:noProof/>
                <w:szCs w:val="24"/>
              </w:rPr>
              <w:drawing>
                <wp:inline distT="0" distB="0" distL="0" distR="0" wp14:anchorId="7D84A473" wp14:editId="64A5C7F6">
                  <wp:extent cx="2545200" cy="3600000"/>
                  <wp:effectExtent l="0" t="0" r="7620" b="635"/>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45200" cy="3600000"/>
                          </a:xfrm>
                          <a:prstGeom prst="rect">
                            <a:avLst/>
                          </a:prstGeom>
                          <a:noFill/>
                        </pic:spPr>
                      </pic:pic>
                    </a:graphicData>
                  </a:graphic>
                </wp:inline>
              </w:drawing>
            </w:r>
          </w:p>
          <w:p w14:paraId="15E1EFB1" w14:textId="4EAACF48" w:rsidR="00E1248C" w:rsidRPr="00005E99" w:rsidRDefault="004E7260" w:rsidP="0091239F">
            <w:pPr>
              <w:pStyle w:val="Legenda"/>
              <w:jc w:val="both"/>
              <w:rPr>
                <w:szCs w:val="24"/>
              </w:rPr>
            </w:pPr>
            <w:bookmarkStart w:id="177" w:name="_Toc476832934"/>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16</w:t>
            </w:r>
            <w:r w:rsidR="00A44293" w:rsidRPr="00A44293">
              <w:rPr>
                <w:noProof/>
                <w:color w:val="auto"/>
              </w:rPr>
              <w:fldChar w:fldCharType="end"/>
            </w:r>
            <w:r w:rsidR="0091239F">
              <w:t xml:space="preserve"> </w:t>
            </w:r>
            <w:r w:rsidR="0091239F" w:rsidRPr="004914D8">
              <w:rPr>
                <w:rFonts w:eastAsia="Calibri"/>
                <w:b w:val="0"/>
                <w:i/>
                <w:color w:val="auto"/>
                <w:sz w:val="20"/>
                <w:szCs w:val="20"/>
              </w:rPr>
              <w:t>Saldo migracji na 1000 mieszkańców w 2014 roku.</w:t>
            </w:r>
            <w:bookmarkEnd w:id="177"/>
          </w:p>
        </w:tc>
      </w:tr>
      <w:tr w:rsidR="00E1248C" w:rsidRPr="00005E99" w14:paraId="0248DE11" w14:textId="77777777" w:rsidTr="0081420D">
        <w:trPr>
          <w:cantSplit/>
        </w:trPr>
        <w:tc>
          <w:tcPr>
            <w:tcW w:w="4606" w:type="dxa"/>
          </w:tcPr>
          <w:p w14:paraId="646CD0E7" w14:textId="08ED30B5" w:rsidR="004914D8" w:rsidRPr="002C6E5F" w:rsidRDefault="004914D8" w:rsidP="004914D8">
            <w:pPr>
              <w:spacing w:after="0" w:line="360" w:lineRule="auto"/>
              <w:jc w:val="both"/>
              <w:rPr>
                <w:i/>
                <w:sz w:val="20"/>
                <w:szCs w:val="20"/>
              </w:rPr>
            </w:pPr>
            <w:r w:rsidRPr="002C6E5F">
              <w:rPr>
                <w:i/>
                <w:sz w:val="20"/>
                <w:szCs w:val="20"/>
              </w:rPr>
              <w:t>Źródło: opracowanie własne na podstawie danych BDL, GUS.</w:t>
            </w:r>
          </w:p>
          <w:p w14:paraId="20138836" w14:textId="77777777" w:rsidR="00E1248C" w:rsidRPr="002C6E5F" w:rsidRDefault="00E1248C" w:rsidP="0091239F">
            <w:pPr>
              <w:pStyle w:val="Legenda"/>
              <w:rPr>
                <w:sz w:val="20"/>
                <w:szCs w:val="20"/>
              </w:rPr>
            </w:pPr>
          </w:p>
        </w:tc>
        <w:tc>
          <w:tcPr>
            <w:tcW w:w="4606" w:type="dxa"/>
          </w:tcPr>
          <w:p w14:paraId="2BDE4441" w14:textId="77777777" w:rsidR="004914D8" w:rsidRPr="002C6E5F" w:rsidRDefault="004914D8" w:rsidP="004914D8">
            <w:pPr>
              <w:spacing w:after="0" w:line="360" w:lineRule="auto"/>
              <w:jc w:val="both"/>
              <w:rPr>
                <w:sz w:val="20"/>
                <w:szCs w:val="20"/>
              </w:rPr>
            </w:pPr>
            <w:r w:rsidRPr="002C6E5F">
              <w:rPr>
                <w:sz w:val="20"/>
                <w:szCs w:val="20"/>
              </w:rPr>
              <w:t>Źródło: opracowanie własne na podstawie danych BDL, GUS.</w:t>
            </w:r>
          </w:p>
          <w:p w14:paraId="1A8F309E" w14:textId="77777777" w:rsidR="00E1248C" w:rsidRPr="002C6E5F" w:rsidRDefault="00E1248C" w:rsidP="0091239F">
            <w:pPr>
              <w:pStyle w:val="Legenda"/>
              <w:rPr>
                <w:sz w:val="20"/>
                <w:szCs w:val="20"/>
              </w:rPr>
            </w:pPr>
          </w:p>
        </w:tc>
      </w:tr>
    </w:tbl>
    <w:p w14:paraId="6ABEB981" w14:textId="77777777" w:rsidR="00E1248C" w:rsidRPr="001500F2" w:rsidRDefault="00E1248C" w:rsidP="004914D8">
      <w:pPr>
        <w:spacing w:after="0"/>
        <w:jc w:val="both"/>
        <w:rPr>
          <w:b/>
          <w:szCs w:val="24"/>
        </w:rPr>
      </w:pPr>
      <w:r w:rsidRPr="001500F2">
        <w:rPr>
          <w:b/>
          <w:szCs w:val="24"/>
        </w:rPr>
        <w:t>Prognozy demograficzne</w:t>
      </w:r>
    </w:p>
    <w:p w14:paraId="31DF8AAB" w14:textId="77777777" w:rsidR="00E1248C" w:rsidRDefault="00E1248C" w:rsidP="004914D8">
      <w:pPr>
        <w:spacing w:after="0"/>
        <w:jc w:val="both"/>
        <w:rPr>
          <w:szCs w:val="24"/>
        </w:rPr>
      </w:pPr>
      <w:r w:rsidRPr="00005E99">
        <w:rPr>
          <w:szCs w:val="24"/>
        </w:rPr>
        <w:t>Zgodnie z prognozami Głównego Urzędu Statystycznego do 2050 roku liczba ludności w województwie śląskim zmniejszy się o 19,5%, czyli o ponad 890 tys. osób. Prognozowany ubytek ludności jest wyższy tylko w województwach: opolskim, świętokrzyskim, lubelskim i łódzkim.</w:t>
      </w:r>
    </w:p>
    <w:p w14:paraId="01B28C33" w14:textId="77777777" w:rsidR="004914D8" w:rsidRPr="00005E99" w:rsidRDefault="004914D8" w:rsidP="004914D8">
      <w:pPr>
        <w:spacing w:after="0"/>
        <w:jc w:val="both"/>
        <w:rPr>
          <w:szCs w:val="24"/>
        </w:rPr>
      </w:pPr>
    </w:p>
    <w:p w14:paraId="5128D059" w14:textId="77777777" w:rsidR="00E1248C" w:rsidRPr="00005E99" w:rsidRDefault="00E1248C" w:rsidP="00005E99">
      <w:pPr>
        <w:pStyle w:val="Legenda"/>
        <w:spacing w:after="0" w:line="360" w:lineRule="auto"/>
        <w:jc w:val="both"/>
        <w:rPr>
          <w:sz w:val="24"/>
          <w:szCs w:val="24"/>
        </w:rPr>
      </w:pPr>
      <w:r w:rsidRPr="00005E99">
        <w:rPr>
          <w:noProof/>
          <w:sz w:val="24"/>
          <w:szCs w:val="24"/>
        </w:rPr>
        <w:lastRenderedPageBreak/>
        <w:drawing>
          <wp:inline distT="0" distB="0" distL="0" distR="0" wp14:anchorId="46F50FB1" wp14:editId="35B82B85">
            <wp:extent cx="5760720" cy="3663073"/>
            <wp:effectExtent l="0" t="0" r="0" b="0"/>
            <wp:docPr id="51"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B9C8A07" w14:textId="77777777" w:rsidR="004914D8" w:rsidRPr="002C6E5F" w:rsidRDefault="004914D8" w:rsidP="004914D8">
      <w:pPr>
        <w:spacing w:after="0" w:line="360" w:lineRule="auto"/>
        <w:jc w:val="both"/>
        <w:rPr>
          <w:i/>
          <w:sz w:val="20"/>
          <w:szCs w:val="20"/>
        </w:rPr>
      </w:pPr>
      <w:r w:rsidRPr="002C6E5F">
        <w:rPr>
          <w:i/>
          <w:sz w:val="20"/>
          <w:szCs w:val="20"/>
        </w:rPr>
        <w:t>Źródło: opracowanie własne na podstawie danych BDL, GUS.</w:t>
      </w:r>
    </w:p>
    <w:p w14:paraId="390832C3" w14:textId="061562C8" w:rsidR="004914D8" w:rsidRPr="004914D8" w:rsidRDefault="004E7260" w:rsidP="004E7260">
      <w:pPr>
        <w:pStyle w:val="Legenda"/>
        <w:rPr>
          <w:color w:val="auto"/>
          <w:sz w:val="20"/>
          <w:szCs w:val="20"/>
        </w:rPr>
      </w:pPr>
      <w:bookmarkStart w:id="178" w:name="_Toc476832935"/>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17</w:t>
      </w:r>
      <w:r w:rsidR="00A44293" w:rsidRPr="00A44293">
        <w:rPr>
          <w:noProof/>
          <w:color w:val="auto"/>
        </w:rPr>
        <w:fldChar w:fldCharType="end"/>
      </w:r>
      <w:r>
        <w:t xml:space="preserve"> </w:t>
      </w:r>
      <w:r w:rsidR="004914D8" w:rsidRPr="004914D8">
        <w:rPr>
          <w:b w:val="0"/>
          <w:i/>
          <w:color w:val="auto"/>
          <w:sz w:val="20"/>
          <w:szCs w:val="20"/>
        </w:rPr>
        <w:t>Zmiana liczby ludności w Polsce i poszczególnych województwach do 2050 roku.</w:t>
      </w:r>
      <w:bookmarkEnd w:id="178"/>
    </w:p>
    <w:p w14:paraId="4039BA72" w14:textId="77777777" w:rsidR="004914D8" w:rsidRDefault="004914D8" w:rsidP="00005E99">
      <w:pPr>
        <w:spacing w:after="0" w:line="360" w:lineRule="auto"/>
        <w:jc w:val="both"/>
        <w:rPr>
          <w:szCs w:val="24"/>
        </w:rPr>
      </w:pPr>
    </w:p>
    <w:p w14:paraId="60079887" w14:textId="77777777" w:rsidR="00E1248C" w:rsidRPr="00005E99" w:rsidRDefault="00E1248C" w:rsidP="004914D8">
      <w:pPr>
        <w:spacing w:after="0"/>
        <w:jc w:val="both"/>
        <w:rPr>
          <w:szCs w:val="24"/>
        </w:rPr>
      </w:pPr>
      <w:r w:rsidRPr="00005E99">
        <w:rPr>
          <w:szCs w:val="24"/>
        </w:rPr>
        <w:t>Depopulacja dotknie głównie obszary miejskie. Szacuje się, że do 2050 roku liczba ludności miejskiej spadnie o prawie 25% czyli ponad 855 tys., tymczasem ludność obszarów wiejskich zmniejszy się o ponad 3% tj. o ok. 35 tys. W wyniku zmian w liczbie ludności zmieni się wskaźnik urbanizacji województwa: z 77,1% w roku 2015 spadnie do 72,5% w roku 2050.</w:t>
      </w:r>
    </w:p>
    <w:p w14:paraId="1E7359FF" w14:textId="77777777" w:rsidR="00E1248C" w:rsidRPr="00005E99" w:rsidRDefault="00E1248C" w:rsidP="004914D8">
      <w:pPr>
        <w:spacing w:after="0"/>
        <w:jc w:val="both"/>
        <w:rPr>
          <w:szCs w:val="24"/>
        </w:rPr>
      </w:pPr>
      <w:r w:rsidRPr="00005E99">
        <w:rPr>
          <w:szCs w:val="24"/>
        </w:rPr>
        <w:t>Spadek liczby ludności będzie się także wiązał z niekorzystnymi zmianami w strukturze wiekowej mieszkańców. Znacząco wzrośnie udział osób w wieku poprodukcyjnym z 21% w 2015 r. do 31% w 2050 r. (o ponad 178 tys. os.). Tymczasem spadnie liczba osób w wieku przedprodukcyjnym – o 242,1 tys. oraz osób w wieku produkcyjnym – o 826,6 tys.</w:t>
      </w:r>
    </w:p>
    <w:p w14:paraId="4A505524" w14:textId="77777777" w:rsidR="00E1248C" w:rsidRPr="00005E99" w:rsidRDefault="00E1248C" w:rsidP="004914D8">
      <w:pPr>
        <w:spacing w:after="0"/>
        <w:jc w:val="both"/>
        <w:rPr>
          <w:szCs w:val="24"/>
        </w:rPr>
      </w:pPr>
      <w:r w:rsidRPr="00005E99">
        <w:rPr>
          <w:szCs w:val="24"/>
        </w:rPr>
        <w:t xml:space="preserve">W strukturze wiekowej mieszkańców w 2050 r. zauważa się wyraźnie wyż demograficzny, który obejmował będzie osoby w wieku 60-74 lata (obecni 30-latkowie), nie widać natomiast kolejnego wyżu będącego następstwem zjawiska opisanego wyżej. Zauważa się wprawdzie niewielki wzrost liczby ludności w wieku 35-44, jednak są to bardzo małe wzrosty. Struktura piramidy staje się coraz bardziej typowa dla społeczeństw starzejących się. </w:t>
      </w:r>
    </w:p>
    <w:p w14:paraId="06DF2730" w14:textId="77777777" w:rsidR="00E1248C" w:rsidRPr="00005E99" w:rsidRDefault="00E1248C" w:rsidP="004914D8">
      <w:pPr>
        <w:spacing w:after="0"/>
        <w:jc w:val="both"/>
        <w:rPr>
          <w:szCs w:val="24"/>
        </w:rPr>
      </w:pPr>
      <w:r w:rsidRPr="00005E99">
        <w:rPr>
          <w:szCs w:val="24"/>
        </w:rPr>
        <w:t xml:space="preserve">Analizując zróżnicowanie wewnętrzne województwa największy prognozowany spadek dotyczy Sosnowca (o 36,4%), a największy wzrost – powiatu bielskiego (8,1%). Przy czym należy podkreślić, iż w wartościach bezwzględnych największy spadek liczby ludności dotyczyć będzie Katowic (ponad 91 tys. mieszkańców). Depopulacja dotyczyć będzie w szczególności powiatów grodzkich. Średni spadek liczby ludności wśród miast wyniesie 27,2%, w tym tylko dwa powiaty charakteryzują się prognozowanym spadkiem niższym niż 20% - Chorzów i Mysłowice. Poza pięcioma powiatami grodzkimi są to spadki o ponad 20 tys. mieszkańców. Spadek liczby ludności powyżej 30% dotyczył będzie oprócz wspomnianego </w:t>
      </w:r>
      <w:r w:rsidRPr="00005E99">
        <w:rPr>
          <w:szCs w:val="24"/>
        </w:rPr>
        <w:lastRenderedPageBreak/>
        <w:t xml:space="preserve">wcześniej Sosnowca również: Bytomia, Częstochowy, Dąbrowy Górniczej, Jastrzębia-Zdroju, Katowic, Siemianowic Śląskich, Świętochłowic oraz Zabrza. W przypadku powiatów ziemskich średni spadek liczby ludności wyniesie 8,7%.  Największy spadek zarówno w wartościach względnych jak i bezwzględnych odnotuje powiat zawierciański (spadek o 22,4%, tj. prawie 27 tys. mieszkańców). Pojawiają się jednak powiaty, które będą charakteryzować się prognozowanym wzrostem liczby ludności. Należą do nich oprócz wspomnianego wcześniej powiatu bielskiego również powiaty: bieruńsko-lędziński i mikołowski. </w:t>
      </w:r>
    </w:p>
    <w:p w14:paraId="39EF1F80" w14:textId="4CD8D35E" w:rsidR="00E1248C" w:rsidRPr="00005E99" w:rsidRDefault="00E1248C" w:rsidP="00005E99">
      <w:pPr>
        <w:pStyle w:val="Legenda"/>
        <w:spacing w:after="0" w:line="360" w:lineRule="auto"/>
        <w:jc w:val="both"/>
        <w:rPr>
          <w:sz w:val="24"/>
          <w:szCs w:val="24"/>
        </w:rPr>
      </w:pPr>
      <w:bookmarkStart w:id="179" w:name="_Toc440280054"/>
      <w:r w:rsidRPr="00005E99">
        <w:rPr>
          <w:sz w:val="24"/>
          <w:szCs w:val="24"/>
        </w:rPr>
        <w:t xml:space="preserve"> </w:t>
      </w:r>
      <w:bookmarkEnd w:id="179"/>
    </w:p>
    <w:p w14:paraId="25983AC8" w14:textId="77777777" w:rsidR="00E1248C" w:rsidRPr="00005E99" w:rsidRDefault="00E1248C" w:rsidP="004914D8">
      <w:pPr>
        <w:spacing w:after="0" w:line="360" w:lineRule="auto"/>
        <w:jc w:val="center"/>
        <w:rPr>
          <w:noProof/>
          <w:szCs w:val="24"/>
        </w:rPr>
      </w:pPr>
      <w:r w:rsidRPr="00005E99">
        <w:rPr>
          <w:noProof/>
          <w:szCs w:val="24"/>
        </w:rPr>
        <w:drawing>
          <wp:inline distT="0" distB="0" distL="0" distR="0" wp14:anchorId="26E1DDCF" wp14:editId="42071322">
            <wp:extent cx="4075200" cy="5760000"/>
            <wp:effectExtent l="0" t="0" r="1905" b="0"/>
            <wp:docPr id="55" name="Obraz 55" descr="Z:\_STRATEGIE I PROGRAMY\depopulacja -dysk\diagnoza - uaktualnione\demografia  2015\gotowe mapy\prognoza_15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_STRATEGIE I PROGRAMY\depopulacja -dysk\diagnoza - uaktualnione\demografia  2015\gotowe mapy\prognoza_15_50.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75200" cy="5760000"/>
                    </a:xfrm>
                    <a:prstGeom prst="rect">
                      <a:avLst/>
                    </a:prstGeom>
                    <a:noFill/>
                    <a:ln>
                      <a:noFill/>
                    </a:ln>
                  </pic:spPr>
                </pic:pic>
              </a:graphicData>
            </a:graphic>
          </wp:inline>
        </w:drawing>
      </w:r>
    </w:p>
    <w:p w14:paraId="5C13D6DB" w14:textId="77777777" w:rsidR="00E1248C" w:rsidRPr="004914D8" w:rsidRDefault="00E1248C" w:rsidP="00005E99">
      <w:pPr>
        <w:spacing w:after="0" w:line="360" w:lineRule="auto"/>
        <w:jc w:val="both"/>
        <w:rPr>
          <w:sz w:val="20"/>
          <w:szCs w:val="20"/>
        </w:rPr>
      </w:pPr>
      <w:r w:rsidRPr="004914D8">
        <w:rPr>
          <w:i/>
          <w:sz w:val="20"/>
          <w:szCs w:val="20"/>
        </w:rPr>
        <w:t>Źródło: opracowanie własne na podstawie danych BDL, GUS.</w:t>
      </w:r>
    </w:p>
    <w:p w14:paraId="0026855A" w14:textId="46B6766B" w:rsidR="00E1248C" w:rsidRPr="00005E99" w:rsidRDefault="004E7260" w:rsidP="004914D8">
      <w:pPr>
        <w:pStyle w:val="Legenda"/>
        <w:rPr>
          <w:b w:val="0"/>
          <w:sz w:val="24"/>
          <w:szCs w:val="24"/>
        </w:rPr>
      </w:pPr>
      <w:bookmarkStart w:id="180" w:name="_Toc476832936"/>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18</w:t>
      </w:r>
      <w:r w:rsidR="00A44293" w:rsidRPr="00A44293">
        <w:rPr>
          <w:noProof/>
          <w:color w:val="auto"/>
        </w:rPr>
        <w:fldChar w:fldCharType="end"/>
      </w:r>
      <w:r>
        <w:t xml:space="preserve"> </w:t>
      </w:r>
      <w:r w:rsidR="004914D8" w:rsidRPr="004914D8">
        <w:rPr>
          <w:b w:val="0"/>
          <w:i/>
          <w:color w:val="auto"/>
          <w:sz w:val="20"/>
          <w:szCs w:val="20"/>
        </w:rPr>
        <w:t>Zmiany liczby ludności w poszczególnych powiatach województwa śląskiego do 2050 roku.</w:t>
      </w:r>
      <w:bookmarkEnd w:id="180"/>
      <w:r w:rsidR="00E1248C" w:rsidRPr="00005E99">
        <w:rPr>
          <w:sz w:val="24"/>
          <w:szCs w:val="24"/>
        </w:rPr>
        <w:br w:type="page"/>
      </w:r>
    </w:p>
    <w:p w14:paraId="60D66F7C" w14:textId="77777777" w:rsidR="00E1248C" w:rsidRPr="00005E99" w:rsidRDefault="00E1248C" w:rsidP="00005E99">
      <w:pPr>
        <w:spacing w:after="0" w:line="360" w:lineRule="auto"/>
        <w:jc w:val="both"/>
        <w:rPr>
          <w:b/>
          <w:szCs w:val="24"/>
        </w:rPr>
      </w:pPr>
      <w:r w:rsidRPr="00005E99">
        <w:rPr>
          <w:b/>
          <w:szCs w:val="24"/>
        </w:rPr>
        <w:lastRenderedPageBreak/>
        <w:t>Rynek pracy</w:t>
      </w:r>
    </w:p>
    <w:p w14:paraId="1D7FE52E" w14:textId="77777777" w:rsidR="00E1248C" w:rsidRPr="001500F2" w:rsidRDefault="00E1248C" w:rsidP="00005E99">
      <w:pPr>
        <w:spacing w:after="0" w:line="360" w:lineRule="auto"/>
        <w:jc w:val="both"/>
        <w:rPr>
          <w:b/>
          <w:szCs w:val="24"/>
        </w:rPr>
      </w:pPr>
      <w:r w:rsidRPr="001500F2">
        <w:rPr>
          <w:b/>
          <w:szCs w:val="24"/>
        </w:rPr>
        <w:t>Aktywność ekonomiczna</w:t>
      </w:r>
    </w:p>
    <w:p w14:paraId="4E87E49C" w14:textId="77777777" w:rsidR="00E1248C" w:rsidRPr="00005E99" w:rsidRDefault="00E1248C" w:rsidP="00612565">
      <w:pPr>
        <w:spacing w:after="0"/>
        <w:jc w:val="both"/>
        <w:rPr>
          <w:szCs w:val="24"/>
        </w:rPr>
      </w:pPr>
      <w:r w:rsidRPr="00005E99">
        <w:rPr>
          <w:szCs w:val="24"/>
        </w:rPr>
        <w:t>Liczba pracujących w województwie śląskim wyniosła w 2015 roku 1,67 mln osób, co stanowi 11,5% ogółu pracujących w kraju. Najwięcej osób pracowało w przemyśle i budownictwie (35%) głównie z uwagi na działający w województwie przemysł wydobywczy, hutnictwo i branżę motoryzacyjną, w pozostałych usługach ponad 29%, następnie w handlu i usługach rozumianych jako naprawa pojazdów samochodowych; transport i gospodarka magazynowa; zakwaterowanie i gastronomia; informacja i komunikacja prawie 26 %. Struktura udziału poszczególnych sekcji pracujących jest inna niż średnia dla Polski z uwagi na niski odsetek udziału pracujących w rolnictwie w województwie śląskim zaledwie 6,1% gdzie w Polsce wynosił on w 2015 roku ponad 16%.</w:t>
      </w:r>
    </w:p>
    <w:p w14:paraId="7175578B" w14:textId="77777777" w:rsidR="00E1248C" w:rsidRPr="00005E99" w:rsidRDefault="00E1248C" w:rsidP="00005E99">
      <w:pPr>
        <w:spacing w:after="0" w:line="360" w:lineRule="auto"/>
        <w:jc w:val="both"/>
        <w:rPr>
          <w:noProof/>
          <w:color w:val="FF0000"/>
          <w:szCs w:val="24"/>
        </w:rPr>
      </w:pPr>
    </w:p>
    <w:p w14:paraId="3DAC53C0" w14:textId="77777777" w:rsidR="00E1248C" w:rsidRPr="00005E99" w:rsidRDefault="00E1248C" w:rsidP="00B10E71">
      <w:pPr>
        <w:spacing w:after="0" w:line="360" w:lineRule="auto"/>
        <w:jc w:val="center"/>
        <w:rPr>
          <w:noProof/>
          <w:color w:val="FF0000"/>
          <w:szCs w:val="24"/>
        </w:rPr>
      </w:pPr>
      <w:r w:rsidRPr="00005E99">
        <w:rPr>
          <w:noProof/>
          <w:szCs w:val="24"/>
        </w:rPr>
        <w:drawing>
          <wp:inline distT="0" distB="0" distL="0" distR="0" wp14:anchorId="2475DD63" wp14:editId="3729D4AB">
            <wp:extent cx="5152030" cy="3193576"/>
            <wp:effectExtent l="0" t="0" r="0" b="6985"/>
            <wp:docPr id="137" name="Wykres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715C817" w14:textId="77777777" w:rsidR="00E1248C" w:rsidRPr="00B10E71" w:rsidRDefault="00E1248C" w:rsidP="00005E99">
      <w:pPr>
        <w:spacing w:after="0" w:line="360" w:lineRule="auto"/>
        <w:jc w:val="both"/>
        <w:rPr>
          <w:i/>
          <w:sz w:val="20"/>
          <w:szCs w:val="20"/>
        </w:rPr>
      </w:pPr>
      <w:r w:rsidRPr="00B10E71">
        <w:rPr>
          <w:i/>
          <w:sz w:val="20"/>
          <w:szCs w:val="20"/>
        </w:rPr>
        <w:t>Źródło: opracowanie własne na podstawie danych BDL, GUS.</w:t>
      </w:r>
    </w:p>
    <w:p w14:paraId="06A2A88F" w14:textId="0F11A5CC" w:rsidR="00B10E71" w:rsidRPr="00B10E71" w:rsidRDefault="004E7260" w:rsidP="004E7260">
      <w:pPr>
        <w:pStyle w:val="Legenda"/>
        <w:rPr>
          <w:b w:val="0"/>
          <w:i/>
          <w:color w:val="auto"/>
          <w:sz w:val="20"/>
          <w:szCs w:val="20"/>
        </w:rPr>
      </w:pPr>
      <w:bookmarkStart w:id="181" w:name="_Toc476832937"/>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19</w:t>
      </w:r>
      <w:r w:rsidR="00A44293" w:rsidRPr="00A44293">
        <w:rPr>
          <w:noProof/>
          <w:color w:val="auto"/>
        </w:rPr>
        <w:fldChar w:fldCharType="end"/>
      </w:r>
      <w:r w:rsidRPr="00A44293">
        <w:rPr>
          <w:color w:val="auto"/>
        </w:rPr>
        <w:t xml:space="preserve"> </w:t>
      </w:r>
      <w:r w:rsidR="00B10E71" w:rsidRPr="00B10E71">
        <w:rPr>
          <w:b w:val="0"/>
          <w:i/>
          <w:color w:val="auto"/>
          <w:sz w:val="20"/>
          <w:szCs w:val="20"/>
        </w:rPr>
        <w:t>Struktura pracujących według sekcji w województwie śląskim i Polsce w 2015 roku.</w:t>
      </w:r>
      <w:bookmarkEnd w:id="181"/>
    </w:p>
    <w:p w14:paraId="44B43A3F" w14:textId="77777777" w:rsidR="00E1248C" w:rsidRPr="00005E99" w:rsidRDefault="00E1248C" w:rsidP="00B10E71">
      <w:pPr>
        <w:spacing w:after="0"/>
        <w:jc w:val="both"/>
        <w:rPr>
          <w:szCs w:val="24"/>
        </w:rPr>
      </w:pPr>
      <w:r w:rsidRPr="00005E99">
        <w:rPr>
          <w:szCs w:val="24"/>
        </w:rPr>
        <w:t>Województwo śląskie charakteryzuje się stosunkowo niską aktywnością zawodową ludności. W 2015 roku bierni zawodowo (niepracujący ani nieposzukający pracy) stanowili ponad 42,7% mieszkańców regionu w wieku 15+ (na poziomie kraju odsetek ten wyniósł 41,5%).  Warto jednak zauważyć, że w ostatnich latach w regionie zauważa się tendencję spadkową udziału biernych zawodowo w ogóle ludności w wieku 15 lat i więcej. Ponad połowę grupy biernych zawodowo w 2015 roku stanowiły kobiety, których liczba wyniosła ok. 1 mln, co stanowiło 61% ogółu grupy. Zdecydowana większość biernych zawodowo, bo aż 69,1%, stanowiły osoby w wieku 50 lat i więcej. Ponadto bierne zawodowo były najczęściej osoby z wykształceniem gimnazjalnym, podstawowym i niższym (29,8%) oraz zasadniczym zawodowym (28,6%).</w:t>
      </w:r>
    </w:p>
    <w:p w14:paraId="512B589B" w14:textId="77777777" w:rsidR="00E1248C" w:rsidRPr="00005E99" w:rsidRDefault="00E1248C" w:rsidP="00B10E71">
      <w:pPr>
        <w:spacing w:after="0"/>
        <w:jc w:val="both"/>
        <w:rPr>
          <w:szCs w:val="24"/>
        </w:rPr>
      </w:pPr>
      <w:r w:rsidRPr="00005E99">
        <w:rPr>
          <w:szCs w:val="24"/>
        </w:rPr>
        <w:t xml:space="preserve">W 2015 roku w regionie odnotowano blisko 1,9 mln osób aktywnych zawodowo (10,9% ludności aktywnej zawodowo w kraju), z których 54,5% stanowili mężczyźni a ponad 92% grupy pracowało. Liczba aktywnych zawodowo w województwie śląskim w ostatnich latach </w:t>
      </w:r>
      <w:r w:rsidRPr="00005E99">
        <w:rPr>
          <w:szCs w:val="24"/>
        </w:rPr>
        <w:lastRenderedPageBreak/>
        <w:t>wykazywała stale tendencję wzrostową, dopiero w okresie ostatniego roku odnotowano spadek liczebności grupy o 132 tys. osób (7%). Charakterystyczna dla zbiorowości aktywnych zawodowo była przewaga osób z wykształceniem wyższym (31,2%) oraz policealnym i średnim zawodowym (30,5%). Zaledwie 4,1% grupy stanowiły osoby z wykształceniem najniższym. Jednocześnie w podziale na grupy wiekowe największy odsetek aktywnych zawodowo odnotowano wśród osób w wieku 30-39 lat (29,2%), 50+ (26,4%) oraz 40-49 lat (24,4%). Najmniej liczną była grupa aktywnych zawodowo w wieku 15-29 lat (20,1%).</w:t>
      </w:r>
    </w:p>
    <w:p w14:paraId="06F3045C" w14:textId="77777777" w:rsidR="00E1248C" w:rsidRPr="00005E99" w:rsidRDefault="00E1248C" w:rsidP="00B10E71">
      <w:pPr>
        <w:spacing w:after="0"/>
        <w:jc w:val="both"/>
        <w:rPr>
          <w:szCs w:val="24"/>
        </w:rPr>
      </w:pPr>
      <w:r w:rsidRPr="00005E99">
        <w:rPr>
          <w:szCs w:val="24"/>
        </w:rPr>
        <w:t xml:space="preserve">Współczynnik aktywności zawodowej w województwie śląskim (rozumiany jako procentowy udział aktywnych zawodowo w ogólnej liczbie ludności) w 2015 roku wyniósł 53,1% (o 3,1 pp. mniej niż dla Polski) i był jednym z niższych w kraju – niższe wartości odnotowano jedynie w województwie warmińsko-mazurskim (52,1%) oraz zachodniopomorskim (51,9%). Podobnie jak w pozostałych regionach wartość współczynnika w województwie śląskim była zdecydowanie wyższa w grupie mężczyzn (61,2%). </w:t>
      </w:r>
    </w:p>
    <w:p w14:paraId="33FAECED" w14:textId="471A27B1" w:rsidR="00E1248C" w:rsidRDefault="00E1248C" w:rsidP="00B10E71">
      <w:pPr>
        <w:spacing w:after="0"/>
        <w:jc w:val="both"/>
        <w:rPr>
          <w:szCs w:val="24"/>
        </w:rPr>
      </w:pPr>
      <w:r w:rsidRPr="00005E99">
        <w:rPr>
          <w:szCs w:val="24"/>
        </w:rPr>
        <w:t xml:space="preserve">Wskaźnik zatrudnienia dla województwa śląskiego, </w:t>
      </w:r>
      <w:r w:rsidR="00A15C89" w:rsidRPr="00005E99">
        <w:rPr>
          <w:szCs w:val="24"/>
        </w:rPr>
        <w:t>liczony, jako</w:t>
      </w:r>
      <w:r w:rsidRPr="00005E99">
        <w:rPr>
          <w:szCs w:val="24"/>
        </w:rPr>
        <w:t xml:space="preserve"> procentowy udział pracujących w ogóle ludności aktywnej ekonomicznie w wieku 15 i więcej lat, osiągnął w 2015 roku wartość 49,3%. Taka wartość wskaźnika plasowała śląskie o 2,6 pp. poniżej wartości dla kraju i jednocześnie wśród regionów o najniższej wartości wskaźnika zatrudnienia. Największy udział pracujących w ogóle ludności w województwie śląskim odnotowano dla osób w wieku 30-39 lat (81,6%) oraz 40-49 lat (79,6%), z kolei najniższe wartości wskaźnika charakterystyczne była dla osób w wieku 55-64 lata (37,1%). Jednocześnie we wszystkich grupach wiekowych wskaźnik zatrudnienia przyjmował wyższe wartości w przypadku mężczyzn. Warto zauważyć także duże zróżnicowanie wskaźnika zatrudnienia ze względu na poziom wykształcenia ludności. W tym przypadku najwyższy wskaźnik zatrudnienia wystąpił w grupie osób z wykształceniem wyższym (77,9%) oraz policealnym i średnim zawodowym (56,9%), natomiast najniższe wartość odnotowano dla osób z wykształceniem gimnazjalnym, podstawowym i niższym (10,2%).</w:t>
      </w:r>
    </w:p>
    <w:p w14:paraId="2D23D561" w14:textId="77777777" w:rsidR="00B10E71" w:rsidRPr="00B10E71" w:rsidRDefault="00B10E71" w:rsidP="00B10E71">
      <w:pPr>
        <w:spacing w:after="0"/>
        <w:jc w:val="both"/>
        <w:rPr>
          <w:b/>
          <w:szCs w:val="24"/>
        </w:rPr>
      </w:pPr>
    </w:p>
    <w:p w14:paraId="3C602015" w14:textId="77777777" w:rsidR="00E1248C" w:rsidRPr="00B10E71" w:rsidRDefault="00E1248C" w:rsidP="00B10E71">
      <w:pPr>
        <w:spacing w:after="0"/>
        <w:jc w:val="both"/>
        <w:rPr>
          <w:b/>
          <w:szCs w:val="24"/>
        </w:rPr>
      </w:pPr>
      <w:r w:rsidRPr="00B10E71">
        <w:rPr>
          <w:b/>
          <w:szCs w:val="24"/>
        </w:rPr>
        <w:t>Bezrobocie</w:t>
      </w:r>
    </w:p>
    <w:p w14:paraId="4EBB9341" w14:textId="77777777" w:rsidR="00E1248C" w:rsidRPr="00005E99" w:rsidRDefault="00E1248C" w:rsidP="00B10E71">
      <w:pPr>
        <w:spacing w:after="0"/>
        <w:jc w:val="both"/>
        <w:rPr>
          <w:szCs w:val="24"/>
        </w:rPr>
      </w:pPr>
      <w:r w:rsidRPr="00005E99">
        <w:rPr>
          <w:szCs w:val="24"/>
        </w:rPr>
        <w:t>Liczba bezrobotnych zarejestrowanych w powiatowych urzędach pracy województwa śląskiego w końcu grudnia 2015 roku wyniosła 148 508 osób. Mimo generalnej tendencji spadkowej w liczbie bezrobotnych, należy zauważyć, że w latach 2009-2013 w regionie utrzymywała się tendencja wzrostu liczby osób pozostających w rejestrach powiatowych urzędów pracy, natomiast dopiero rok 2014 okazał się rokiem przełomowym, kiedy zanotowano pierwszy od lat spadek liczby bezrobotnych. Na poziomie powiatów widoczne było znaczne zróżnicowanie stanu bezrobocia. Najwięcej osób zarejestrowanych jako bezrobotne odnotowano w Bytomiu i Częstochowie (po 9,1 tys. osób) oraz w Katowicach i Sosnowcu (po 8,1 tys. osób). Łączna liczba zarejestrowanych w tych miastach stanowiła ponad 23% ogółu grupy w województwie. Na przeciwległym biegunie ulokowały się powiaty charakteryzujące się małą liczbą mieszkańców: bieruńsko - lędziński (967 osób) oraz Świętochłowice i Żory (po 1,5 tys. osób).</w:t>
      </w:r>
    </w:p>
    <w:p w14:paraId="0D0D0559" w14:textId="77777777" w:rsidR="00E1248C" w:rsidRPr="00005E99" w:rsidRDefault="00E1248C" w:rsidP="00B10E71">
      <w:pPr>
        <w:spacing w:after="0"/>
        <w:jc w:val="both"/>
        <w:rPr>
          <w:szCs w:val="24"/>
        </w:rPr>
      </w:pPr>
      <w:r w:rsidRPr="00005E99">
        <w:rPr>
          <w:szCs w:val="24"/>
        </w:rPr>
        <w:t xml:space="preserve">Stopa bezrobocia rejestrowanego w regionie w 2015 roku ukształtowała się na poziomie 8,2% i była niższa o 1,6 pp. niż wartość wskaźnika dla kraju. Tym samym śląskie znalazło się na drugim miejscu wśród województw o najniższej wartości stopy bezrobocia, tuż za województwem wielkopolskim (6,2%). Warto podkreślić, że natężenie zjawiska bezrobocia </w:t>
      </w:r>
      <w:r w:rsidRPr="00005E99">
        <w:rPr>
          <w:szCs w:val="24"/>
        </w:rPr>
        <w:lastRenderedPageBreak/>
        <w:t xml:space="preserve">rejestrowanego w regionie w okresie ostatnich 9 lat należało do najniższych w kraju, bez względu na rok sprawozdawczy. </w:t>
      </w:r>
    </w:p>
    <w:p w14:paraId="4792EDEA" w14:textId="49F7FF8A" w:rsidR="00E1248C" w:rsidRPr="00005E99" w:rsidRDefault="00E1248C" w:rsidP="00B10E71">
      <w:pPr>
        <w:spacing w:after="0"/>
        <w:jc w:val="both"/>
        <w:rPr>
          <w:szCs w:val="24"/>
        </w:rPr>
      </w:pPr>
      <w:r w:rsidRPr="00005E99">
        <w:rPr>
          <w:szCs w:val="24"/>
        </w:rPr>
        <w:t>Województwo śląskie charakteryzuje się dużymi dysproporcjami wewnętrznymi pod względem omawianego wskaźnika. Największe natężenie problemu bezrobocia wystąpiło w Bytomiu (17,8%) oraz powiatach położonych w północno-wschodniej części województwa: częstochowskim (14,7%), myszkowskim (13,9%) oraz zawierciańskim (13,5%). Najniższą stopę bezrobocia odnotowano natomiast w powiatach leżących w centralnej części województwa: Tychy (3,9%), Katowice (3,8%) oraz powiat bieruńsko-lędziński (3,8%).</w:t>
      </w:r>
    </w:p>
    <w:p w14:paraId="1741A686" w14:textId="77777777" w:rsidR="00E1248C" w:rsidRPr="00005E99" w:rsidRDefault="00E1248C" w:rsidP="00B10E71">
      <w:pPr>
        <w:spacing w:after="0" w:line="360" w:lineRule="auto"/>
        <w:jc w:val="center"/>
        <w:rPr>
          <w:szCs w:val="24"/>
        </w:rPr>
      </w:pPr>
      <w:r w:rsidRPr="00005E99">
        <w:rPr>
          <w:noProof/>
          <w:szCs w:val="24"/>
        </w:rPr>
        <w:drawing>
          <wp:inline distT="0" distB="0" distL="0" distR="0" wp14:anchorId="17AB6B3A" wp14:editId="4FF8C005">
            <wp:extent cx="4069715" cy="5153025"/>
            <wp:effectExtent l="0" t="0" r="6985" b="9525"/>
            <wp:docPr id="138" name="Obraz 21" descr="stopa bezrobocia 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a bezrobocia 2015.png"/>
                    <pic:cNvPicPr/>
                  </pic:nvPicPr>
                  <pic:blipFill>
                    <a:blip r:embed="rId65" cstate="print"/>
                    <a:stretch>
                      <a:fillRect/>
                    </a:stretch>
                  </pic:blipFill>
                  <pic:spPr>
                    <a:xfrm>
                      <a:off x="0" y="0"/>
                      <a:ext cx="4069993" cy="5153377"/>
                    </a:xfrm>
                    <a:prstGeom prst="rect">
                      <a:avLst/>
                    </a:prstGeom>
                  </pic:spPr>
                </pic:pic>
              </a:graphicData>
            </a:graphic>
          </wp:inline>
        </w:drawing>
      </w:r>
    </w:p>
    <w:p w14:paraId="4C9E1D59" w14:textId="77777777" w:rsidR="00E1248C" w:rsidRDefault="00E1248C" w:rsidP="00005E99">
      <w:pPr>
        <w:spacing w:after="0" w:line="360" w:lineRule="auto"/>
        <w:jc w:val="both"/>
        <w:rPr>
          <w:i/>
          <w:szCs w:val="24"/>
        </w:rPr>
      </w:pPr>
      <w:r w:rsidRPr="00B10E71">
        <w:rPr>
          <w:i/>
          <w:sz w:val="20"/>
          <w:szCs w:val="20"/>
        </w:rPr>
        <w:t>Źródło: opracowanie własne na podstawie danych BDL, GUS</w:t>
      </w:r>
      <w:r w:rsidRPr="00005E99">
        <w:rPr>
          <w:i/>
          <w:szCs w:val="24"/>
        </w:rPr>
        <w:t>.</w:t>
      </w:r>
    </w:p>
    <w:p w14:paraId="19D8D99D" w14:textId="05791766" w:rsidR="00B10E71" w:rsidRPr="004E7260" w:rsidRDefault="004E7260" w:rsidP="004E7260">
      <w:pPr>
        <w:pStyle w:val="Legenda"/>
        <w:rPr>
          <w:b w:val="0"/>
          <w:bCs w:val="0"/>
          <w:i/>
          <w:color w:val="auto"/>
          <w:sz w:val="20"/>
          <w:szCs w:val="20"/>
        </w:rPr>
      </w:pPr>
      <w:bookmarkStart w:id="182" w:name="_Toc476832938"/>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20</w:t>
      </w:r>
      <w:r w:rsidR="00A44293" w:rsidRPr="00A44293">
        <w:rPr>
          <w:noProof/>
          <w:color w:val="auto"/>
        </w:rPr>
        <w:fldChar w:fldCharType="end"/>
      </w:r>
      <w:r w:rsidRPr="004E7260">
        <w:rPr>
          <w:b w:val="0"/>
          <w:bCs w:val="0"/>
          <w:i/>
          <w:color w:val="auto"/>
          <w:sz w:val="20"/>
          <w:szCs w:val="20"/>
        </w:rPr>
        <w:t xml:space="preserve"> </w:t>
      </w:r>
      <w:r w:rsidR="00B10E71" w:rsidRPr="004E7260">
        <w:rPr>
          <w:b w:val="0"/>
          <w:bCs w:val="0"/>
          <w:i/>
          <w:color w:val="auto"/>
          <w:sz w:val="20"/>
          <w:szCs w:val="20"/>
        </w:rPr>
        <w:t>Stopa bezrobocia rejestrowanego w podziale na powiaty w województwie śląskim w 2015 roku</w:t>
      </w:r>
      <w:r w:rsidR="00B10E71" w:rsidRPr="00B10E71">
        <w:rPr>
          <w:bCs w:val="0"/>
          <w:i/>
          <w:sz w:val="20"/>
          <w:szCs w:val="20"/>
        </w:rPr>
        <w:t>.</w:t>
      </w:r>
      <w:bookmarkEnd w:id="182"/>
    </w:p>
    <w:p w14:paraId="68D8C1C9" w14:textId="77777777" w:rsidR="00E1248C" w:rsidRPr="00005E99" w:rsidRDefault="00E1248C" w:rsidP="00B10E71">
      <w:pPr>
        <w:spacing w:after="0"/>
        <w:jc w:val="both"/>
        <w:rPr>
          <w:szCs w:val="24"/>
        </w:rPr>
      </w:pPr>
      <w:r w:rsidRPr="00005E99">
        <w:rPr>
          <w:szCs w:val="24"/>
        </w:rPr>
        <w:t xml:space="preserve">Strukturę zarejestrowanych bezrobotnych charakteryzowała zdecydowana przewaga kobiet. Ich liczba w 2015 roku wyniosła 80,6 tys., co stanowiło 54,3% ogółu osób pozostających w rejestrach powiatowych urzędów pracy. Taki udział kobiet w ogóle bezrobotnych sytuowało region wśród województw o najwyższej wartości wskaźnika, powyżej średniej dla kraju (52,2%). W porównaniu do 2007 roku sytuacja kobiet na rynku pracy w regionie uległa jednak poprawie – ich odsetek spadł o 6,9 pp. </w:t>
      </w:r>
    </w:p>
    <w:p w14:paraId="5E8F2FC8" w14:textId="77777777" w:rsidR="00E1248C" w:rsidRPr="00005E99" w:rsidRDefault="00E1248C" w:rsidP="00B10E71">
      <w:pPr>
        <w:spacing w:after="0"/>
        <w:jc w:val="both"/>
        <w:rPr>
          <w:szCs w:val="24"/>
        </w:rPr>
      </w:pPr>
      <w:r w:rsidRPr="00005E99">
        <w:rPr>
          <w:szCs w:val="24"/>
        </w:rPr>
        <w:lastRenderedPageBreak/>
        <w:t>Jednocześnie zauważalne jest duże wewnętrzne zróżnicowanie województwa śląskiego pod względem omawianego wskaźnika, który największe wartości osiągnął w subregionie zachodnim (62,0%) oraz centralnym (54,8%), natomiast najniższe w północnym, gdzie liczba zarejestrowanych kobiet i mężczyzn pozostawała na podobnym poziomie. W podziale na powiaty największy odsetek kobiet odnotowano w powiatach: rybnickim (63,5%) i wodzisławskim (62,4%) oraz Rudzie Śląskiej (62,9%) i Jastrzębiu-Zdroju (62,3%). Najniższe wartości wskaźnika wystąpiły natomiast w powiatach ziemskich zlokalizowanych w północnej i południowej części województwa: żywieckim (48,7%), kłobuckim (49,0%), myszkowskim (49,2%) oraz częstochowskim (49,5%) i cieszyńskim (49,9%).</w:t>
      </w:r>
    </w:p>
    <w:p w14:paraId="3628FDD9" w14:textId="77777777" w:rsidR="00E1248C" w:rsidRPr="00005E99" w:rsidRDefault="00E1248C" w:rsidP="00B10E71">
      <w:pPr>
        <w:spacing w:after="0"/>
        <w:jc w:val="both"/>
        <w:rPr>
          <w:szCs w:val="24"/>
        </w:rPr>
      </w:pPr>
      <w:r w:rsidRPr="00005E99">
        <w:rPr>
          <w:szCs w:val="24"/>
        </w:rPr>
        <w:t>W końcu 2015 roku bezrobotni długotrwale</w:t>
      </w:r>
      <w:r w:rsidRPr="00005E99">
        <w:rPr>
          <w:szCs w:val="24"/>
          <w:vertAlign w:val="superscript"/>
        </w:rPr>
        <w:footnoteReference w:id="7"/>
      </w:r>
      <w:r w:rsidRPr="00005E99">
        <w:rPr>
          <w:szCs w:val="24"/>
        </w:rPr>
        <w:t xml:space="preserve"> stanowili 37,6% ogółu zarejestrowanych bezrobotnych w województwie śląskim. Odsetek ten był o 2,1 pp. niższy niż wartość wskaźnika dla Polski i sytuował region wśród województw o średnim natężeniu zjawiska bezrobocia długotrwałego. W latach 2007-2015 odsetek długotrwale bezrobotnych w regionie ulegał licznym wahaniom, osiągając najniższą wartość w roku 2009 (20%), natomiast najwyższą w 2014 (39,1%). W porównaniu do roku bazowego odnotowano jednak spadek odsetka bezrobotnych pozostających bez pracy dłużej niż 1 rok w ogóle bezrobotnych o 6,7 pp. </w:t>
      </w:r>
    </w:p>
    <w:p w14:paraId="5D9F40C7" w14:textId="77777777" w:rsidR="00E1248C" w:rsidRPr="00005E99" w:rsidRDefault="00E1248C" w:rsidP="00B10E71">
      <w:pPr>
        <w:spacing w:after="0"/>
        <w:jc w:val="both"/>
        <w:rPr>
          <w:szCs w:val="24"/>
        </w:rPr>
      </w:pPr>
      <w:r w:rsidRPr="00005E99">
        <w:rPr>
          <w:szCs w:val="24"/>
        </w:rPr>
        <w:t>W ujęciu terytorialnym najmniejszy odsetek długotrwale bezrobotnych odnotowano w subregionach zachodnim (32,6%) i centralnym (37,4%) a najwyższy w subregionie południowym (40,6%). Na poziomie powiatów najmniejszy odsetek bezrobotnych pozostających bez pracy dłużej niż 1 rok w ogóle bezrobotnych charakteryzował miasta:  Ruda Śląska (23,2%), Żory (27,6%), Jaworzno (27,8%) oraz Siemianowice Śląskie (29,3%). Największy problem bezrobocia długotrwałego odnotowano natomiast w miastach: Bielsko-Biała (46,0%), Częstochowa (42,9%) oraz powiecie bielskim (43,0%). Warto jednak zwrócić uwagę, że wysoki odsetek długotrwale bezrobotnych odnotowano także w miastach subregionu centralnego: Katowicach (42,7%),  Bytomiu (42,0%) oraz powiecie gliwickim (41,7%).</w:t>
      </w:r>
    </w:p>
    <w:p w14:paraId="4184EF0E" w14:textId="77777777" w:rsidR="00E1248C" w:rsidRPr="00005E99" w:rsidRDefault="00E1248C" w:rsidP="00B10E71">
      <w:pPr>
        <w:spacing w:after="0"/>
        <w:jc w:val="both"/>
        <w:rPr>
          <w:szCs w:val="24"/>
        </w:rPr>
      </w:pPr>
      <w:r w:rsidRPr="00005E99">
        <w:rPr>
          <w:szCs w:val="24"/>
        </w:rPr>
        <w:t xml:space="preserve">W 2015 roku najliczniejszą grupę bezrobotnych stanowiły osoby w wieku 25-34 lata (26,6%) oraz 35-44 lata (22,2%), natomiast najmniej liczną osoby do 24 roku życia (12,5%) oraz osoby powyżej 55 roku życia (18,9%). W porównaniu do 2007 roku struktura wiekowa osób pozostających bez pracy w województwie śląskim uległa dość znacznym zmianom. Zwiększył się odsetek osób najstarszych (o 9,4 pp.) a także w wieku 35-44 lata (o 2,8 pp.). Spadek odsetka bezrobotnych w ogóle zarejestrowanych odnotowano w grupach wiekowych 45-54 lata (o 7,9 pp.), 18-24 lata (o 3,9 pp.) oraz 25-34 lata (o 0,3 pp.). </w:t>
      </w:r>
    </w:p>
    <w:p w14:paraId="23D3C0FB" w14:textId="77777777" w:rsidR="00E1248C" w:rsidRPr="00005E99" w:rsidRDefault="00E1248C" w:rsidP="00A15C89">
      <w:pPr>
        <w:spacing w:after="120"/>
        <w:jc w:val="both"/>
        <w:rPr>
          <w:szCs w:val="24"/>
        </w:rPr>
      </w:pPr>
      <w:r w:rsidRPr="00005E99">
        <w:rPr>
          <w:szCs w:val="24"/>
        </w:rPr>
        <w:t>Większość bezrobotnych pozostająca w 2015 roku w rejestrach powiatowych urzędów pracy województwa śląskiego posiadała wykształcenie gimnazjalne i niższe (28,4%). Bezrobotni w tej grupie najczęściej borykali się także ze zjawiskiem bezrobocia długotrwałego - aż 42,2% pozostawało bez pracy nieprzerwanie ponad 12 miesięcy. Najniższe bezrobocie w województwie śląskim występowało wśród osób z wykształceniem średnim ogólnokształcącym (9,2%) a także wyższym (13,1%). W ostatniej grupie odsetek długotrwale bezrobotnych był znacznie niższy niż w grupach z niższym poziomem wykształcenia i wyniósł ok. 28%. W porównaniu do 2007 roku struktura bezrobotnych województwa śląskiego według poziomu wykształcenia nie uległa znaczącym zmianom.</w:t>
      </w:r>
    </w:p>
    <w:p w14:paraId="0D9F2F4F" w14:textId="77777777" w:rsidR="00E1248C" w:rsidRPr="00005E99" w:rsidRDefault="00E1248C" w:rsidP="00B10E71">
      <w:pPr>
        <w:spacing w:after="0"/>
        <w:jc w:val="both"/>
        <w:rPr>
          <w:b/>
          <w:szCs w:val="24"/>
        </w:rPr>
      </w:pPr>
      <w:r w:rsidRPr="00005E99">
        <w:rPr>
          <w:b/>
          <w:szCs w:val="24"/>
        </w:rPr>
        <w:lastRenderedPageBreak/>
        <w:t>Produkt krajowy brutto</w:t>
      </w:r>
    </w:p>
    <w:p w14:paraId="2EE6A02C" w14:textId="77777777" w:rsidR="00E1248C" w:rsidRPr="00005E99" w:rsidRDefault="00E1248C" w:rsidP="00B10E71">
      <w:pPr>
        <w:spacing w:after="0"/>
        <w:jc w:val="both"/>
        <w:rPr>
          <w:szCs w:val="24"/>
        </w:rPr>
      </w:pPr>
      <w:r w:rsidRPr="00005E99">
        <w:rPr>
          <w:szCs w:val="24"/>
        </w:rPr>
        <w:t>Produkt krajowy brutto wytworzony w 2014 roku w województwie śląskim wyniósł 213,59 mld zł. Największa część PKB województwa śląskiego wytwarzana jest w podregionie katowickim (45,78 mld zł) oraz bielskim (30,25 mld zł), natomiast najmniejsza w podregionach bytomskim (14,67 mld zł) i częstochowskim (19,86 mld zł). W latach 2010-2014 największy przyrost PKB nastąpił w podregionie bielskim (22,5%), z kolei najmniej wzrósł PKB podregionu tyskiego (zaledwie o 2,9%).</w:t>
      </w:r>
    </w:p>
    <w:p w14:paraId="609B93D8" w14:textId="77777777" w:rsidR="00E1248C" w:rsidRPr="00005E99" w:rsidRDefault="00E1248C" w:rsidP="00B10E71">
      <w:pPr>
        <w:spacing w:after="0"/>
        <w:jc w:val="both"/>
        <w:rPr>
          <w:szCs w:val="24"/>
        </w:rPr>
      </w:pPr>
      <w:r w:rsidRPr="00005E99">
        <w:rPr>
          <w:szCs w:val="24"/>
        </w:rPr>
        <w:t>Wartość Produktu Krajowego Brutto (PKB) w przeliczeniu na mieszkańca utrzymuje tendencję rosnącą od 2000 roku zarówno w kraju jak i w województwie śląskim (przy czym należy zwrócić uwagę na fakt, że wartość PKB województwa śląskiego w roku 2013 zanotowała nieznaczny spadek). PKB per capita dla Polski w latach 2000-2015 wzrósł o 139,5%, podczas gdy w województwie śląskim przyrost był na nieco niższym poziomie i wyniósł 134,8%.</w:t>
      </w:r>
    </w:p>
    <w:p w14:paraId="177CFD98" w14:textId="77777777" w:rsidR="00E1248C" w:rsidRPr="00005E99" w:rsidRDefault="00E1248C" w:rsidP="00005E99">
      <w:pPr>
        <w:spacing w:after="0" w:line="360" w:lineRule="auto"/>
        <w:jc w:val="both"/>
        <w:rPr>
          <w:b/>
          <w:szCs w:val="24"/>
        </w:rPr>
      </w:pPr>
      <w:r w:rsidRPr="00005E99">
        <w:rPr>
          <w:noProof/>
          <w:szCs w:val="24"/>
        </w:rPr>
        <w:drawing>
          <wp:inline distT="0" distB="0" distL="0" distR="0" wp14:anchorId="18BC735E" wp14:editId="29336177">
            <wp:extent cx="5760720" cy="3528334"/>
            <wp:effectExtent l="0" t="0" r="0" b="0"/>
            <wp:docPr id="139" name="Wykres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1196232" w14:textId="77777777" w:rsidR="00E1248C" w:rsidRPr="00B10E71" w:rsidRDefault="00E1248C" w:rsidP="004914D8">
      <w:pPr>
        <w:pStyle w:val="Wykazrde"/>
        <w:numPr>
          <w:ilvl w:val="0"/>
          <w:numId w:val="69"/>
        </w:numPr>
        <w:spacing w:before="0" w:after="0" w:line="360" w:lineRule="auto"/>
        <w:rPr>
          <w:rFonts w:ascii="Times New Roman" w:hAnsi="Times New Roman"/>
          <w:sz w:val="20"/>
        </w:rPr>
      </w:pPr>
      <w:r w:rsidRPr="00B10E71">
        <w:rPr>
          <w:rFonts w:ascii="Times New Roman" w:hAnsi="Times New Roman"/>
          <w:sz w:val="20"/>
        </w:rPr>
        <w:t>Dane za 2015 rok stanowią szacunek wstępny Głównego Urzędu Statystycznego.</w:t>
      </w:r>
    </w:p>
    <w:p w14:paraId="35D8F7EC" w14:textId="77777777" w:rsidR="00E1248C" w:rsidRPr="00B10E71" w:rsidRDefault="00E1248C" w:rsidP="00005E99">
      <w:pPr>
        <w:spacing w:after="0" w:line="360" w:lineRule="auto"/>
        <w:jc w:val="both"/>
        <w:rPr>
          <w:i/>
          <w:sz w:val="20"/>
          <w:szCs w:val="20"/>
        </w:rPr>
      </w:pPr>
      <w:r w:rsidRPr="00B10E71">
        <w:rPr>
          <w:i/>
          <w:sz w:val="20"/>
          <w:szCs w:val="20"/>
        </w:rPr>
        <w:t>Źródło: opracowanie własne na podstawie danych BDL, GUS.</w:t>
      </w:r>
    </w:p>
    <w:p w14:paraId="28638856" w14:textId="422A3E1D" w:rsidR="00B10E71" w:rsidRPr="00B10E71" w:rsidRDefault="00B66319" w:rsidP="00B66319">
      <w:pPr>
        <w:pStyle w:val="Legenda"/>
        <w:rPr>
          <w:b w:val="0"/>
          <w:i/>
          <w:color w:val="auto"/>
          <w:sz w:val="20"/>
          <w:szCs w:val="20"/>
        </w:rPr>
      </w:pPr>
      <w:bookmarkStart w:id="183" w:name="_Toc476832939"/>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21</w:t>
      </w:r>
      <w:r w:rsidR="00A44293" w:rsidRPr="00A44293">
        <w:rPr>
          <w:noProof/>
          <w:color w:val="auto"/>
        </w:rPr>
        <w:fldChar w:fldCharType="end"/>
      </w:r>
      <w:r>
        <w:t xml:space="preserve"> </w:t>
      </w:r>
      <w:r w:rsidR="00B10E71" w:rsidRPr="00B10E71">
        <w:rPr>
          <w:b w:val="0"/>
          <w:i/>
          <w:color w:val="auto"/>
          <w:sz w:val="20"/>
          <w:szCs w:val="20"/>
        </w:rPr>
        <w:t>Produkt Krajowy Brutto w przeliczeniu na 1 mieszkańca w latach 2000-2015* (w zł).</w:t>
      </w:r>
      <w:bookmarkEnd w:id="183"/>
    </w:p>
    <w:p w14:paraId="626D9CAD" w14:textId="1961A2C6" w:rsidR="00B10E71" w:rsidRPr="00005E99" w:rsidRDefault="00B10E71" w:rsidP="00B10E71">
      <w:pPr>
        <w:pStyle w:val="Legenda"/>
        <w:rPr>
          <w:i/>
          <w:sz w:val="24"/>
          <w:szCs w:val="24"/>
        </w:rPr>
      </w:pPr>
    </w:p>
    <w:p w14:paraId="5FABF7D1" w14:textId="77777777" w:rsidR="00E1248C" w:rsidRPr="00005E99" w:rsidRDefault="00E1248C" w:rsidP="00367271">
      <w:pPr>
        <w:spacing w:after="0"/>
        <w:jc w:val="both"/>
        <w:rPr>
          <w:szCs w:val="24"/>
        </w:rPr>
      </w:pPr>
      <w:r w:rsidRPr="00005E99">
        <w:rPr>
          <w:szCs w:val="24"/>
        </w:rPr>
        <w:t>Pod względem tempa przyrostu PKB per capita województwo śląskie jest na 6 miejscu wśród województw (wyprzedzone przez województwa: dolnośląskie, łódzkie, mazowieckie, wielkopolskie i małopolskie).</w:t>
      </w:r>
    </w:p>
    <w:p w14:paraId="4412BEAA" w14:textId="77777777" w:rsidR="00E1248C" w:rsidRPr="00005E99" w:rsidRDefault="00E1248C" w:rsidP="00005E99">
      <w:pPr>
        <w:spacing w:after="0" w:line="360" w:lineRule="auto"/>
        <w:jc w:val="both"/>
        <w:rPr>
          <w:b/>
          <w:szCs w:val="24"/>
        </w:rPr>
      </w:pPr>
      <w:r w:rsidRPr="00005E99">
        <w:rPr>
          <w:noProof/>
          <w:szCs w:val="24"/>
        </w:rPr>
        <w:lastRenderedPageBreak/>
        <w:drawing>
          <wp:inline distT="0" distB="0" distL="0" distR="0" wp14:anchorId="4ACC16AE" wp14:editId="603BE2D7">
            <wp:extent cx="5867400" cy="2962275"/>
            <wp:effectExtent l="0" t="0" r="0" b="0"/>
            <wp:docPr id="140" name="Wykres 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1E29618B" w14:textId="77777777" w:rsidR="00E1248C" w:rsidRPr="00B10E71" w:rsidRDefault="00E1248C" w:rsidP="00005E99">
      <w:pPr>
        <w:spacing w:after="0" w:line="360" w:lineRule="auto"/>
        <w:jc w:val="both"/>
        <w:rPr>
          <w:i/>
          <w:sz w:val="20"/>
          <w:szCs w:val="20"/>
        </w:rPr>
      </w:pPr>
      <w:r w:rsidRPr="00B10E71">
        <w:rPr>
          <w:i/>
          <w:sz w:val="20"/>
          <w:szCs w:val="20"/>
        </w:rPr>
        <w:t>Źródło: opracowanie własne na podstawie danych BDL, GUS.</w:t>
      </w:r>
    </w:p>
    <w:p w14:paraId="50CF5895" w14:textId="739E1806" w:rsidR="00B10E71" w:rsidRPr="00B10E71" w:rsidRDefault="00B66319" w:rsidP="00B66319">
      <w:pPr>
        <w:pStyle w:val="Legenda"/>
        <w:rPr>
          <w:b w:val="0"/>
          <w:i/>
          <w:color w:val="auto"/>
          <w:sz w:val="20"/>
          <w:szCs w:val="20"/>
        </w:rPr>
      </w:pPr>
      <w:bookmarkStart w:id="184" w:name="_Toc476832940"/>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22</w:t>
      </w:r>
      <w:r w:rsidR="00A44293" w:rsidRPr="00A44293">
        <w:rPr>
          <w:noProof/>
          <w:color w:val="auto"/>
        </w:rPr>
        <w:fldChar w:fldCharType="end"/>
      </w:r>
      <w:r>
        <w:t xml:space="preserve"> </w:t>
      </w:r>
      <w:r w:rsidR="00B10E71" w:rsidRPr="00B10E71">
        <w:rPr>
          <w:b w:val="0"/>
          <w:i/>
          <w:color w:val="auto"/>
          <w:sz w:val="20"/>
          <w:szCs w:val="20"/>
        </w:rPr>
        <w:t>Produkt Krajowy Brutto w przeliczeniu na 1 mieszkańca wytworzony w województwie śląskim (Polska=100%).</w:t>
      </w:r>
      <w:bookmarkEnd w:id="184"/>
    </w:p>
    <w:p w14:paraId="332EE69A" w14:textId="0A1984EA" w:rsidR="00B10E71" w:rsidRDefault="00B10E71" w:rsidP="00B10E71">
      <w:pPr>
        <w:pStyle w:val="Legenda"/>
        <w:rPr>
          <w:szCs w:val="24"/>
        </w:rPr>
      </w:pPr>
    </w:p>
    <w:p w14:paraId="348FC68C" w14:textId="77777777" w:rsidR="00E1248C" w:rsidRPr="00005E99" w:rsidRDefault="00E1248C" w:rsidP="00B10E71">
      <w:pPr>
        <w:spacing w:after="0"/>
        <w:jc w:val="both"/>
        <w:rPr>
          <w:szCs w:val="24"/>
        </w:rPr>
      </w:pPr>
      <w:r w:rsidRPr="00005E99">
        <w:rPr>
          <w:szCs w:val="24"/>
        </w:rPr>
        <w:t>Niższe tempo wzrostu PKB per capita w województwie śląskim skutkuje tym, że obniżyła się jego wartość w odniesieniu do wartości PKB per capita dla kraju. W szczytowym okresie, którym był 2004 rok PKB na 1 mieszkańca w województwie śląskim był o prawie 12% wyższy niż w kraju ogółem. Niestety od tego momentu wartość ta wykazuje tendencję spadkową i w roku 2014 PKB per capita dla województwa śląskiego był jedynie o 4,1% wyższy niż wynosiła średnia krajowa i według szacunków za 2015 rok wartość ta miała się utrzymać.</w:t>
      </w:r>
    </w:p>
    <w:p w14:paraId="1DAFB916" w14:textId="77777777" w:rsidR="00E1248C" w:rsidRPr="00005E99" w:rsidRDefault="00E1248C" w:rsidP="00005E99">
      <w:pPr>
        <w:spacing w:after="0" w:line="360" w:lineRule="auto"/>
        <w:jc w:val="both"/>
        <w:rPr>
          <w:b/>
          <w:szCs w:val="24"/>
        </w:rPr>
      </w:pPr>
      <w:r w:rsidRPr="00005E99">
        <w:rPr>
          <w:noProof/>
          <w:szCs w:val="24"/>
        </w:rPr>
        <w:drawing>
          <wp:inline distT="0" distB="0" distL="0" distR="0" wp14:anchorId="10C4F8EC" wp14:editId="6F8E3439">
            <wp:extent cx="5867400" cy="3019425"/>
            <wp:effectExtent l="0" t="0" r="0" b="0"/>
            <wp:docPr id="141" name="Wykres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795C30B8" w14:textId="77777777" w:rsidR="00E1248C" w:rsidRDefault="00E1248C" w:rsidP="00005E99">
      <w:pPr>
        <w:spacing w:after="0" w:line="360" w:lineRule="auto"/>
        <w:jc w:val="both"/>
        <w:rPr>
          <w:i/>
          <w:sz w:val="20"/>
          <w:szCs w:val="20"/>
        </w:rPr>
      </w:pPr>
      <w:r w:rsidRPr="00B10E71">
        <w:rPr>
          <w:i/>
          <w:sz w:val="20"/>
          <w:szCs w:val="20"/>
        </w:rPr>
        <w:t>Źródło: opracowanie własne na podstawie danych BDL, GUS.</w:t>
      </w:r>
    </w:p>
    <w:p w14:paraId="34D14263" w14:textId="20619BAC" w:rsidR="00B10E71" w:rsidRPr="00B10E71" w:rsidRDefault="00B66319" w:rsidP="00B66319">
      <w:pPr>
        <w:pStyle w:val="Legenda"/>
        <w:rPr>
          <w:b w:val="0"/>
          <w:i/>
          <w:color w:val="auto"/>
          <w:sz w:val="20"/>
          <w:szCs w:val="20"/>
        </w:rPr>
      </w:pPr>
      <w:bookmarkStart w:id="185" w:name="_Toc476832941"/>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23</w:t>
      </w:r>
      <w:r w:rsidR="00A44293" w:rsidRPr="00A44293">
        <w:rPr>
          <w:noProof/>
          <w:color w:val="auto"/>
        </w:rPr>
        <w:fldChar w:fldCharType="end"/>
      </w:r>
      <w:r w:rsidRPr="00A44293">
        <w:rPr>
          <w:color w:val="auto"/>
        </w:rPr>
        <w:t xml:space="preserve"> </w:t>
      </w:r>
      <w:r w:rsidR="00B10E71" w:rsidRPr="00B10E71">
        <w:rPr>
          <w:b w:val="0"/>
          <w:i/>
          <w:color w:val="auto"/>
          <w:sz w:val="20"/>
          <w:szCs w:val="20"/>
        </w:rPr>
        <w:t>Udział województwa śląskiego w krajowym PKB (%) oraz pozycja województwa śląskiego pod względem PKB per capita.</w:t>
      </w:r>
      <w:bookmarkEnd w:id="185"/>
    </w:p>
    <w:p w14:paraId="447B487E" w14:textId="024D8F5F" w:rsidR="00B10E71" w:rsidRPr="00B10E71" w:rsidRDefault="00B10E71" w:rsidP="00B10E71">
      <w:pPr>
        <w:pStyle w:val="Legenda"/>
        <w:rPr>
          <w:i/>
          <w:sz w:val="20"/>
          <w:szCs w:val="20"/>
        </w:rPr>
      </w:pPr>
    </w:p>
    <w:p w14:paraId="60C5F7BB" w14:textId="77777777" w:rsidR="00E1248C" w:rsidRPr="00005E99" w:rsidRDefault="00E1248C" w:rsidP="00B10E71">
      <w:pPr>
        <w:spacing w:after="0"/>
        <w:jc w:val="both"/>
        <w:rPr>
          <w:szCs w:val="24"/>
        </w:rPr>
      </w:pPr>
      <w:r w:rsidRPr="00005E99">
        <w:rPr>
          <w:szCs w:val="24"/>
        </w:rPr>
        <w:t xml:space="preserve">Wartość PKB wyrażona w liczbach bezwzględnych plasuje województwo śląskie niezmiennie na 2. miejscu w Polsce po województwie mazowieckim, jednakże nie najwyższe tempo wzrostu PKB powoduje, że udział województwa śląskiego w krajowym PKB ulega zmniejszeniu – według szacunkowych danych w roku 2015 w porównaniu do roku 2000 zmniejszył się o ok. 0,86 pkt. proc. </w:t>
      </w:r>
    </w:p>
    <w:p w14:paraId="25BDA890" w14:textId="77777777" w:rsidR="00E1248C" w:rsidRPr="00005E99" w:rsidRDefault="00E1248C" w:rsidP="00B10E71">
      <w:pPr>
        <w:spacing w:after="0"/>
        <w:jc w:val="both"/>
        <w:rPr>
          <w:szCs w:val="24"/>
        </w:rPr>
      </w:pPr>
      <w:r w:rsidRPr="00005E99">
        <w:rPr>
          <w:szCs w:val="24"/>
        </w:rPr>
        <w:t xml:space="preserve">Województwo obniża swoją pozycję pod względem Produktu Krajowego Brutto na 1 mieszkańca. W okresie 2001-2004 było gorsze jedynie od województwa mazowieckiego, ale od 2005 roku traci pozycję na rzecz województwa wielkopolskiego. Rok 2006 przyniósł dalszy spadek, skutkiem czego województwo śląskie zostało zdystansowane przez dwa regiony: dolnośląskie i wielkopolskie. </w:t>
      </w:r>
    </w:p>
    <w:p w14:paraId="77F857CD" w14:textId="77777777" w:rsidR="00E1248C" w:rsidRPr="00005E99" w:rsidRDefault="00E1248C" w:rsidP="00B10E71">
      <w:pPr>
        <w:spacing w:after="0"/>
        <w:jc w:val="both"/>
        <w:rPr>
          <w:szCs w:val="24"/>
        </w:rPr>
      </w:pPr>
      <w:r w:rsidRPr="00005E99">
        <w:rPr>
          <w:szCs w:val="24"/>
        </w:rPr>
        <w:t xml:space="preserve">Powyższe dane świadczą o tym, ze województwo śląskie stopniowo traci swą pozycję gospodarczą w kraju. </w:t>
      </w:r>
    </w:p>
    <w:p w14:paraId="0D4D5C38" w14:textId="29DF9FED" w:rsidR="00E1248C" w:rsidRPr="00005E99" w:rsidRDefault="00E1248C" w:rsidP="00B10E71">
      <w:pPr>
        <w:spacing w:after="0"/>
        <w:jc w:val="both"/>
        <w:rPr>
          <w:szCs w:val="24"/>
        </w:rPr>
      </w:pPr>
      <w:r w:rsidRPr="00005E99">
        <w:rPr>
          <w:szCs w:val="24"/>
        </w:rPr>
        <w:t>Występują znaczne różnice wewnętrzne w województwie śląskim w zakresie zmian wartości PKB. W dwóch spośród ośmiu podregionów województwa (gliwicki, rybnicki) przyrost wartości PKB na 1 mieszkańca w latach 2000-2014 był wyższy od średniej krajowej. Wyraźnie niższe było natomiast tempo wzrostu PKB per capita w podregionach: częstochowskim, bytomskim, sosnowieckim i bielskim.</w:t>
      </w:r>
    </w:p>
    <w:p w14:paraId="6BD796D9" w14:textId="77777777" w:rsidR="00E1248C" w:rsidRDefault="00E1248C" w:rsidP="00005E99">
      <w:pPr>
        <w:spacing w:after="0" w:line="360" w:lineRule="auto"/>
        <w:jc w:val="both"/>
        <w:rPr>
          <w:i/>
          <w:sz w:val="20"/>
          <w:szCs w:val="20"/>
        </w:rPr>
      </w:pPr>
      <w:r w:rsidRPr="00005E99">
        <w:rPr>
          <w:noProof/>
          <w:szCs w:val="24"/>
        </w:rPr>
        <w:drawing>
          <wp:inline distT="0" distB="0" distL="0" distR="0" wp14:anchorId="787D2754" wp14:editId="5A60DA89">
            <wp:extent cx="5838825" cy="3028950"/>
            <wp:effectExtent l="0" t="0" r="0" b="0"/>
            <wp:docPr id="142" name="Wykres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B10E71">
        <w:rPr>
          <w:i/>
          <w:sz w:val="20"/>
          <w:szCs w:val="20"/>
        </w:rPr>
        <w:t>Źródło: opracowanie własne na podstawie danych BDL, GUS.</w:t>
      </w:r>
    </w:p>
    <w:p w14:paraId="09DF864F" w14:textId="3F056E40" w:rsidR="00B10E71" w:rsidRPr="00B10E71" w:rsidRDefault="00B66319" w:rsidP="00B66319">
      <w:pPr>
        <w:pStyle w:val="Legenda"/>
        <w:rPr>
          <w:rFonts w:eastAsiaTheme="minorHAnsi"/>
          <w:b w:val="0"/>
          <w:i/>
          <w:noProof/>
          <w:color w:val="auto"/>
          <w:sz w:val="20"/>
          <w:szCs w:val="20"/>
        </w:rPr>
      </w:pPr>
      <w:bookmarkStart w:id="186" w:name="_Toc476832942"/>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24</w:t>
      </w:r>
      <w:r w:rsidR="00A44293" w:rsidRPr="00A44293">
        <w:rPr>
          <w:noProof/>
          <w:color w:val="auto"/>
        </w:rPr>
        <w:fldChar w:fldCharType="end"/>
      </w:r>
      <w:r>
        <w:t xml:space="preserve"> </w:t>
      </w:r>
      <w:r w:rsidR="00B10E71" w:rsidRPr="00B10E71">
        <w:rPr>
          <w:b w:val="0"/>
          <w:i/>
          <w:color w:val="auto"/>
          <w:sz w:val="20"/>
          <w:szCs w:val="20"/>
        </w:rPr>
        <w:t>Przyrost wartości PKB per capita w latach 2000-2014.</w:t>
      </w:r>
      <w:bookmarkEnd w:id="186"/>
    </w:p>
    <w:p w14:paraId="48C3001D" w14:textId="77777777" w:rsidR="00E1248C" w:rsidRPr="00005E99" w:rsidRDefault="00E1248C" w:rsidP="00B10E71">
      <w:pPr>
        <w:spacing w:after="0"/>
        <w:jc w:val="both"/>
        <w:rPr>
          <w:szCs w:val="24"/>
        </w:rPr>
      </w:pPr>
      <w:r w:rsidRPr="00005E99">
        <w:rPr>
          <w:szCs w:val="24"/>
        </w:rPr>
        <w:t>Pokazuje to, wyraźne zróżnicowanie tempa rozwoju pomiędzy poszczególnymi częściami całego województwa śląskiego, ale także wewnątrz obszaru stanowiącego serce regionu – Metropolii Górnośląskiej. Metropolia obejmująca obszary wchodzące w skład pięciu podregionów:</w:t>
      </w:r>
    </w:p>
    <w:p w14:paraId="7BE826FB" w14:textId="77777777" w:rsidR="00E1248C" w:rsidRPr="00005E99" w:rsidRDefault="00E1248C" w:rsidP="00B10E71">
      <w:pPr>
        <w:pStyle w:val="Akapitzlist"/>
        <w:numPr>
          <w:ilvl w:val="0"/>
          <w:numId w:val="70"/>
        </w:numPr>
        <w:spacing w:after="0"/>
        <w:jc w:val="both"/>
        <w:rPr>
          <w:szCs w:val="24"/>
        </w:rPr>
      </w:pPr>
      <w:r w:rsidRPr="00005E99">
        <w:rPr>
          <w:szCs w:val="24"/>
        </w:rPr>
        <w:t>podregiony tyski i katowicki – jądro Metropolii z tempem rozwoju zbliżonym do średniej krajowej:</w:t>
      </w:r>
    </w:p>
    <w:p w14:paraId="142C7235" w14:textId="77777777" w:rsidR="00E1248C" w:rsidRPr="00005E99" w:rsidRDefault="00E1248C" w:rsidP="00B10E71">
      <w:pPr>
        <w:pStyle w:val="Akapitzlist"/>
        <w:numPr>
          <w:ilvl w:val="0"/>
          <w:numId w:val="70"/>
        </w:numPr>
        <w:spacing w:after="0"/>
        <w:jc w:val="both"/>
        <w:rPr>
          <w:szCs w:val="24"/>
        </w:rPr>
      </w:pPr>
      <w:r w:rsidRPr="00005E99">
        <w:rPr>
          <w:szCs w:val="24"/>
        </w:rPr>
        <w:t>podregion gliwicki  – charakteryzujący się wysokim tempem rozwoju;</w:t>
      </w:r>
    </w:p>
    <w:p w14:paraId="08261B06" w14:textId="77777777" w:rsidR="00E1248C" w:rsidRPr="00005E99" w:rsidRDefault="00E1248C" w:rsidP="00B10E71">
      <w:pPr>
        <w:pStyle w:val="Akapitzlist"/>
        <w:numPr>
          <w:ilvl w:val="0"/>
          <w:numId w:val="70"/>
        </w:numPr>
        <w:spacing w:after="0"/>
        <w:jc w:val="both"/>
        <w:rPr>
          <w:szCs w:val="24"/>
        </w:rPr>
      </w:pPr>
      <w:r w:rsidRPr="00005E99">
        <w:rPr>
          <w:szCs w:val="24"/>
        </w:rPr>
        <w:lastRenderedPageBreak/>
        <w:t>podregiony bytomski i sosnowiecki – wyraźnie odstające od pozostałych w zakresie tempa rozwoju.</w:t>
      </w:r>
    </w:p>
    <w:p w14:paraId="38E75866" w14:textId="77777777" w:rsidR="00E1248C" w:rsidRPr="00005E99" w:rsidRDefault="00E1248C" w:rsidP="00B10E71">
      <w:pPr>
        <w:spacing w:after="0"/>
        <w:jc w:val="both"/>
        <w:rPr>
          <w:szCs w:val="24"/>
        </w:rPr>
      </w:pPr>
      <w:r w:rsidRPr="00005E99">
        <w:rPr>
          <w:szCs w:val="24"/>
        </w:rPr>
        <w:t>Może to sygnalizować istnienie dużych różnic rozwojowych wewnątrz tak dużego organizmu miejskiego, jakim jest Metropolia Górnośląska, co może skutkować również licznymi problemami natury społecznej.</w:t>
      </w:r>
    </w:p>
    <w:p w14:paraId="1E3702C5" w14:textId="77777777" w:rsidR="00E1248C" w:rsidRPr="00005E99" w:rsidRDefault="00E1248C" w:rsidP="00B10E71">
      <w:pPr>
        <w:spacing w:after="0"/>
        <w:jc w:val="both"/>
        <w:rPr>
          <w:szCs w:val="24"/>
        </w:rPr>
      </w:pPr>
      <w:r w:rsidRPr="00005E99">
        <w:rPr>
          <w:szCs w:val="24"/>
        </w:rPr>
        <w:t>Wartość PKB per capita w podregionie bytomskim w 2014 roku wynosiła zaledwie 73,7% PKB per capita dla kraju i w porównaniu do roku 2000 obniżyła się o 4,4 pp. Podregion bytomski był pod tym względem na 46 pozycji wśród wszystkich 72 podregionów w Polsce.</w:t>
      </w:r>
    </w:p>
    <w:p w14:paraId="133D8AE2" w14:textId="5B9ED251" w:rsidR="00E1248C" w:rsidRPr="00B10E71" w:rsidRDefault="00E1248C" w:rsidP="00A44293">
      <w:pPr>
        <w:spacing w:after="0" w:line="360" w:lineRule="auto"/>
        <w:rPr>
          <w:i/>
          <w:sz w:val="20"/>
          <w:szCs w:val="20"/>
        </w:rPr>
      </w:pPr>
      <w:r w:rsidRPr="00005E99">
        <w:rPr>
          <w:noProof/>
          <w:szCs w:val="24"/>
        </w:rPr>
        <w:drawing>
          <wp:inline distT="0" distB="0" distL="0" distR="0" wp14:anchorId="58F48B0F" wp14:editId="6FA9D471">
            <wp:extent cx="5905500" cy="3333750"/>
            <wp:effectExtent l="0" t="0" r="0" b="0"/>
            <wp:docPr id="143" name="Wykres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Pr="00B10E71">
        <w:rPr>
          <w:i/>
          <w:sz w:val="20"/>
          <w:szCs w:val="20"/>
        </w:rPr>
        <w:t>Źródło: opracowanie własne na podstawie danych BDL, GUS.</w:t>
      </w:r>
    </w:p>
    <w:p w14:paraId="28D6376F" w14:textId="79C90AF8" w:rsidR="00B10E71" w:rsidRPr="00B10E71" w:rsidRDefault="00B66319" w:rsidP="00B66319">
      <w:pPr>
        <w:pStyle w:val="Legenda"/>
        <w:rPr>
          <w:b w:val="0"/>
          <w:i/>
          <w:color w:val="auto"/>
          <w:sz w:val="20"/>
          <w:szCs w:val="20"/>
        </w:rPr>
      </w:pPr>
      <w:bookmarkStart w:id="187" w:name="_Toc476832943"/>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25</w:t>
      </w:r>
      <w:r w:rsidR="00A44293" w:rsidRPr="00A44293">
        <w:rPr>
          <w:noProof/>
          <w:color w:val="auto"/>
        </w:rPr>
        <w:fldChar w:fldCharType="end"/>
      </w:r>
      <w:r w:rsidRPr="00A44293">
        <w:rPr>
          <w:color w:val="auto"/>
        </w:rPr>
        <w:t xml:space="preserve"> </w:t>
      </w:r>
      <w:r w:rsidR="00B10E71" w:rsidRPr="00B10E71">
        <w:rPr>
          <w:b w:val="0"/>
          <w:i/>
          <w:color w:val="auto"/>
          <w:sz w:val="20"/>
          <w:szCs w:val="20"/>
        </w:rPr>
        <w:t>Wartość PKB per capita w stosunku do średniej krajowej (Polska=100%) w roku 2000 oraz 2014.</w:t>
      </w:r>
      <w:bookmarkEnd w:id="187"/>
    </w:p>
    <w:p w14:paraId="1CC797ED" w14:textId="2E191922" w:rsidR="00554067" w:rsidRPr="001E62D6" w:rsidRDefault="00554067" w:rsidP="0094320D">
      <w:pPr>
        <w:pStyle w:val="Default"/>
        <w:spacing w:line="276" w:lineRule="auto"/>
        <w:jc w:val="both"/>
        <w:rPr>
          <w:color w:val="auto"/>
        </w:rPr>
      </w:pPr>
    </w:p>
    <w:p w14:paraId="301C1B0B" w14:textId="108FC7A4" w:rsidR="001915C3" w:rsidRDefault="00E44009" w:rsidP="0094320D">
      <w:pPr>
        <w:pStyle w:val="Nagwek1"/>
        <w:numPr>
          <w:ilvl w:val="1"/>
          <w:numId w:val="29"/>
        </w:numPr>
        <w:tabs>
          <w:tab w:val="left" w:pos="1560"/>
        </w:tabs>
        <w:spacing w:before="0" w:after="120"/>
        <w:jc w:val="both"/>
        <w:rPr>
          <w:spacing w:val="1"/>
          <w:szCs w:val="24"/>
        </w:rPr>
      </w:pPr>
      <w:bookmarkStart w:id="188" w:name="_Toc292789267"/>
      <w:bookmarkStart w:id="189" w:name="_Toc292793552"/>
      <w:bookmarkStart w:id="190" w:name="_Toc391466352"/>
      <w:bookmarkStart w:id="191" w:name="_Toc423351770"/>
      <w:bookmarkStart w:id="192" w:name="_Toc477779762"/>
      <w:bookmarkEnd w:id="165"/>
      <w:r w:rsidRPr="001E62D6">
        <w:rPr>
          <w:spacing w:val="1"/>
          <w:szCs w:val="24"/>
        </w:rPr>
        <w:t>ZASADNICZE MODYFIKACJE W ROZUMIEN</w:t>
      </w:r>
      <w:r w:rsidR="003D04D5">
        <w:rPr>
          <w:spacing w:val="1"/>
          <w:szCs w:val="24"/>
        </w:rPr>
        <w:t>IU ART. 57 ROZPORZĄDZENIA NR 10</w:t>
      </w:r>
      <w:r w:rsidRPr="001E62D6">
        <w:rPr>
          <w:spacing w:val="1"/>
          <w:szCs w:val="24"/>
        </w:rPr>
        <w:t>83/2006</w:t>
      </w:r>
      <w:bookmarkEnd w:id="188"/>
      <w:bookmarkEnd w:id="189"/>
      <w:bookmarkEnd w:id="190"/>
      <w:bookmarkEnd w:id="191"/>
      <w:bookmarkEnd w:id="192"/>
      <w:r w:rsidRPr="001E62D6">
        <w:rPr>
          <w:spacing w:val="1"/>
          <w:szCs w:val="24"/>
        </w:rPr>
        <w:t xml:space="preserve"> </w:t>
      </w:r>
    </w:p>
    <w:p w14:paraId="2E715C53" w14:textId="6BFF6169" w:rsidR="00976591" w:rsidRPr="00976591" w:rsidRDefault="00976591" w:rsidP="00976591">
      <w:pPr>
        <w:rPr>
          <w:b/>
        </w:rPr>
      </w:pPr>
      <w:r>
        <w:rPr>
          <w:b/>
        </w:rPr>
        <w:t>IZ</w:t>
      </w:r>
      <w:r w:rsidRPr="00976591">
        <w:rPr>
          <w:b/>
        </w:rPr>
        <w:t xml:space="preserve"> RPO WSL</w:t>
      </w:r>
    </w:p>
    <w:p w14:paraId="3689841A" w14:textId="60DA363B" w:rsidR="00A15C89" w:rsidRPr="00C54475" w:rsidRDefault="00C54475" w:rsidP="00A15C89">
      <w:pPr>
        <w:pStyle w:val="Default"/>
        <w:spacing w:before="120" w:after="120" w:line="276" w:lineRule="auto"/>
        <w:jc w:val="both"/>
      </w:pPr>
      <w:r w:rsidRPr="00C54475">
        <w:t>Poniżej przedstawiono projekty</w:t>
      </w:r>
      <w:r>
        <w:t>,</w:t>
      </w:r>
      <w:r w:rsidRPr="00C54475">
        <w:t xml:space="preserve"> w których stwierdzono zasadnicze modyfikacje w rozumieniu </w:t>
      </w:r>
      <w:r w:rsidRPr="00C54475">
        <w:rPr>
          <w:i/>
        </w:rPr>
        <w:t>art. 57 rozporządzenia nr 1083/2006</w:t>
      </w:r>
      <w:r w:rsidRPr="00C54475">
        <w:t xml:space="preserve"> stwierdzone w wyniku monitorowania lub kontroli trwałości dofinansowanych projektów.</w:t>
      </w:r>
    </w:p>
    <w:p w14:paraId="160EFF95" w14:textId="4B8E1DA3" w:rsidR="00C54475" w:rsidRPr="00A15C89" w:rsidRDefault="00A15C89" w:rsidP="00A15C89">
      <w:pPr>
        <w:pStyle w:val="Default"/>
        <w:spacing w:after="120" w:line="276" w:lineRule="auto"/>
        <w:jc w:val="both"/>
        <w:rPr>
          <w:b/>
        </w:rPr>
      </w:pPr>
      <w:r w:rsidRPr="00A15C89">
        <w:rPr>
          <w:b/>
        </w:rPr>
        <w:t>IZ RPO WSL - WFR</w:t>
      </w:r>
    </w:p>
    <w:p w14:paraId="586FB3AB" w14:textId="5978CF8D" w:rsidR="00C54475" w:rsidRPr="00A15C89" w:rsidRDefault="00C54475" w:rsidP="00A15C89">
      <w:pPr>
        <w:pStyle w:val="Default"/>
        <w:numPr>
          <w:ilvl w:val="0"/>
          <w:numId w:val="64"/>
        </w:numPr>
        <w:spacing w:after="120" w:line="276" w:lineRule="auto"/>
        <w:ind w:left="426"/>
        <w:jc w:val="both"/>
        <w:rPr>
          <w:i/>
        </w:rPr>
      </w:pPr>
      <w:r w:rsidRPr="00A15C89">
        <w:rPr>
          <w:i/>
        </w:rPr>
        <w:t>Projekt Podniesienie jakości i dostępności świadczeń w Przychodni Rejonowej nr 3 Eskulap - Zespół Lekarzy Rodzinnych sp. z o.o. w Tychach poprzez dostosowanie budynku i zakup nowoczesnego sprzętu medycznego (ID 129)</w:t>
      </w:r>
    </w:p>
    <w:p w14:paraId="2662FC58" w14:textId="09960362" w:rsidR="00C54475" w:rsidRPr="00C54475" w:rsidRDefault="00C54475" w:rsidP="00C54475">
      <w:pPr>
        <w:pStyle w:val="Default"/>
        <w:spacing w:line="276" w:lineRule="auto"/>
        <w:jc w:val="both"/>
      </w:pPr>
      <w:r w:rsidRPr="00C54475">
        <w:t xml:space="preserve">W projekcie nr RPSL.09.02.00-00-113/08 pn. </w:t>
      </w:r>
      <w:r w:rsidRPr="00C54475">
        <w:rPr>
          <w:i/>
        </w:rPr>
        <w:t xml:space="preserve">Podniesienie jakości i dostępności świadczeń </w:t>
      </w:r>
      <w:r>
        <w:rPr>
          <w:i/>
        </w:rPr>
        <w:t>w </w:t>
      </w:r>
      <w:r w:rsidRPr="00C54475">
        <w:rPr>
          <w:i/>
        </w:rPr>
        <w:t xml:space="preserve">Przychodni Rejonowej nr 3 Eskulap - Zespół Lekarzy Rodzinnych sp. z o.o. w Tychach poprzez dostosowanie budynku i zakup nowoczesnego sprzętu medycznego </w:t>
      </w:r>
      <w:r w:rsidRPr="00C54475">
        <w:t xml:space="preserve">(Beneficjent: </w:t>
      </w:r>
      <w:r w:rsidRPr="00C54475">
        <w:lastRenderedPageBreak/>
        <w:t xml:space="preserve">Przychodnia Rejonowa numer 3 Eskulap - Zespół Lekarzy Rodzinnych Spółka z ograniczoną odpowiedzialnością) stwierdzono, iż projekt został poddany zasadniczej modyfikacji </w:t>
      </w:r>
      <w:r>
        <w:t>w </w:t>
      </w:r>
      <w:r w:rsidRPr="00C54475">
        <w:t xml:space="preserve">rozumieniu </w:t>
      </w:r>
      <w:r w:rsidRPr="00A15C89">
        <w:rPr>
          <w:i/>
        </w:rPr>
        <w:t>art. 57 Rozporządzenia Rady (WE) nr 1083/2006 z dnia 11 lipca 2006 r.</w:t>
      </w:r>
      <w:r w:rsidRPr="00C54475">
        <w:t xml:space="preserve"> tj. modyfikacji wynikającej ze zmiany charakteru własności elementu infrastruktury albo z</w:t>
      </w:r>
      <w:r>
        <w:t> </w:t>
      </w:r>
      <w:r w:rsidRPr="00C54475">
        <w:t xml:space="preserve">zaprzestania działalności produkcyjnej i mającej wpływ na charakter lub warunki realizacji </w:t>
      </w:r>
      <w:r>
        <w:t xml:space="preserve">przedmiotowej inwestycji lub </w:t>
      </w:r>
      <w:r w:rsidRPr="00C54475">
        <w:t>powodującej uzyskanie nieuzasadnionej korzyści przez przedsiębiorstwo lub podmiot publiczny. Z uwagi na sprzedaż udziałów spółki medycznej dużemu sieciowemu podmiotowi, firmie Neuca Med. Sp. z o.o., spółce zależnej Grupy NEUCA doszło do znaczącej modyfikacji projektu poprzez zmianę charakteru własności, która wpłynęła</w:t>
      </w:r>
      <w:r>
        <w:t xml:space="preserve"> </w:t>
      </w:r>
      <w:r w:rsidRPr="00C54475">
        <w:t>na charakter i warunki realizacji operacji oraz stanowi uzyskanie nieuzasadnionej korzyści przez przedsiębiorstwo. Tym samym doszło do naruszenia §18 pkt 19 umowy o dofinansowanie oraz stanowi to zobowiązanie do zwrotu dofinansowania wraz z odsetkami jak dla zaległości podatkowych, zgodnie z §18 pkt 20 umowy. Całkowita kwota nieprawidłowości</w:t>
      </w:r>
      <w:r w:rsidR="00782A3A">
        <w:t>, która została zwrócona</w:t>
      </w:r>
      <w:r w:rsidRPr="00C54475">
        <w:t xml:space="preserve"> wynosi</w:t>
      </w:r>
      <w:r w:rsidR="00782A3A">
        <w:t xml:space="preserve"> 28 248,82 mln EUR</w:t>
      </w:r>
      <w:r w:rsidR="009747FF">
        <w:t xml:space="preserve"> (124 693,12 PLN), </w:t>
      </w:r>
      <w:r w:rsidR="00782A3A">
        <w:t>w tym należność główna</w:t>
      </w:r>
      <w:r w:rsidR="000C68CC">
        <w:t xml:space="preserve"> 18 907,36 EUR</w:t>
      </w:r>
      <w:r w:rsidRPr="00C54475">
        <w:t xml:space="preserve"> </w:t>
      </w:r>
      <w:r w:rsidR="000C68CC">
        <w:t>(</w:t>
      </w:r>
      <w:r w:rsidRPr="00C54475">
        <w:rPr>
          <w:bCs/>
        </w:rPr>
        <w:t xml:space="preserve">83 458,98 </w:t>
      </w:r>
      <w:r w:rsidR="00782A3A">
        <w:t>PLN) i odsetki 9 343,19 mln EUR (41 241,81 PLN)</w:t>
      </w:r>
      <w:r w:rsidRPr="00C54475">
        <w:t>.</w:t>
      </w:r>
    </w:p>
    <w:p w14:paraId="3E77912A" w14:textId="77777777" w:rsidR="00C54475" w:rsidRPr="00C54475" w:rsidRDefault="00C54475" w:rsidP="00C54475">
      <w:pPr>
        <w:pStyle w:val="Default"/>
        <w:spacing w:line="276" w:lineRule="auto"/>
        <w:ind w:left="360"/>
        <w:jc w:val="both"/>
      </w:pPr>
    </w:p>
    <w:p w14:paraId="0C08BFE5" w14:textId="1E005FEC" w:rsidR="00C54475" w:rsidRPr="00A15C89" w:rsidRDefault="00C54475" w:rsidP="00A15C89">
      <w:pPr>
        <w:pStyle w:val="Default"/>
        <w:numPr>
          <w:ilvl w:val="0"/>
          <w:numId w:val="64"/>
        </w:numPr>
        <w:spacing w:after="120" w:line="276" w:lineRule="auto"/>
        <w:ind w:left="426" w:hanging="357"/>
        <w:jc w:val="both"/>
        <w:rPr>
          <w:i/>
          <w:u w:val="single"/>
        </w:rPr>
      </w:pPr>
      <w:r w:rsidRPr="00A15C89">
        <w:rPr>
          <w:i/>
        </w:rPr>
        <w:t>Rozwój Wyższej Szkoły Mechatroniki w Katowicach poprzez poprawę warunków dydaktycznych (ID 322)</w:t>
      </w:r>
    </w:p>
    <w:p w14:paraId="2BA7BCD1" w14:textId="5B0C8CBC" w:rsidR="00C54475" w:rsidRPr="00C54475" w:rsidRDefault="00C54475" w:rsidP="00C54475">
      <w:pPr>
        <w:pStyle w:val="Default"/>
        <w:spacing w:line="276" w:lineRule="auto"/>
        <w:jc w:val="both"/>
        <w:rPr>
          <w:b/>
          <w:u w:val="single"/>
        </w:rPr>
      </w:pPr>
      <w:r w:rsidRPr="00C54475">
        <w:t xml:space="preserve">W projekcie nr RPSL.08.01.00-00-014/09 pn. </w:t>
      </w:r>
      <w:r w:rsidRPr="00C54475">
        <w:rPr>
          <w:i/>
        </w:rPr>
        <w:t>Rozwó</w:t>
      </w:r>
      <w:r>
        <w:rPr>
          <w:i/>
        </w:rPr>
        <w:t>j Wyższej Szkoły Mechatroniki w </w:t>
      </w:r>
      <w:r w:rsidRPr="00C54475">
        <w:rPr>
          <w:i/>
        </w:rPr>
        <w:t xml:space="preserve">Katowicach poprzez poprawę warunków dydaktycznych </w:t>
      </w:r>
      <w:r w:rsidRPr="00C54475">
        <w:t xml:space="preserve">(Beneficjent: Wyższa Szkoła Mechatroniki) stwierdzono, iż projekt został poddany zasadniczej modyfikacji w rozumieniu art. 57 Rozporządzenia Rady (WE) nr 1083/2006 z dnia 11 lipca 2006 </w:t>
      </w:r>
      <w:r>
        <w:t xml:space="preserve">r. tj. modyfikacji wynikającej </w:t>
      </w:r>
      <w:r w:rsidRPr="00C54475">
        <w:t>ze zmiany charakteru własności elementu infrastruktury albo z zaprzestania działalności produkcyjnej i mającej wpływ na charakter lub warunki realizacj</w:t>
      </w:r>
      <w:r>
        <w:t xml:space="preserve">i przedmiotowej inwestycji lub </w:t>
      </w:r>
      <w:r w:rsidRPr="00C54475">
        <w:t>powodującej uzyskanie nieuzasadnionej korzyści przez przedsiębiorstwo lub podmiot publiczny.</w:t>
      </w:r>
      <w:r>
        <w:rPr>
          <w:b/>
          <w:u w:val="single"/>
        </w:rPr>
        <w:t xml:space="preserve"> </w:t>
      </w:r>
      <w:r w:rsidRPr="00C54475">
        <w:t xml:space="preserve">Przedmiotem projektu był remont i przebudowa budynku Wyższej Szkoły Mechatroniki </w:t>
      </w:r>
      <w:r>
        <w:t>w </w:t>
      </w:r>
      <w:r w:rsidRPr="00C54475">
        <w:t>Katowicach, zakup niezbędnego wyposażenia dydaktycznego: urządzeń do sal wykładowych, laboratoriów oraz innych pomieszczeń dydaktycznych (biblioteka, dziekanat). Nieprawidłowość polegała na tym, iż przedmiot projektu wykorzystywany jest jedynie w 28% przez studentów studiujących na kierunku posiadającym akredytację. Kwota środków podlegających odzyskaniu z wykryciem zasadniczych modyfikacji wynosi</w:t>
      </w:r>
      <w:r w:rsidR="000C68CC">
        <w:t xml:space="preserve"> 63 665,54 EUR</w:t>
      </w:r>
      <w:r w:rsidRPr="00C54475">
        <w:t xml:space="preserve"> </w:t>
      </w:r>
      <w:r w:rsidR="000C68CC">
        <w:t>(281 026,08 PLN).</w:t>
      </w:r>
    </w:p>
    <w:p w14:paraId="5D037571" w14:textId="77777777" w:rsidR="00C54475" w:rsidRPr="00C54475" w:rsidRDefault="00C54475" w:rsidP="00C54475">
      <w:pPr>
        <w:pStyle w:val="Default"/>
        <w:spacing w:line="276" w:lineRule="auto"/>
        <w:ind w:left="360"/>
        <w:jc w:val="both"/>
        <w:rPr>
          <w:b/>
          <w:u w:val="single"/>
        </w:rPr>
      </w:pPr>
    </w:p>
    <w:p w14:paraId="68BD4FE2" w14:textId="41AB9D35" w:rsidR="00C54475" w:rsidRPr="00A15C89" w:rsidRDefault="00C54475" w:rsidP="00A15C89">
      <w:pPr>
        <w:pStyle w:val="Default"/>
        <w:numPr>
          <w:ilvl w:val="0"/>
          <w:numId w:val="64"/>
        </w:numPr>
        <w:spacing w:after="120" w:line="276" w:lineRule="auto"/>
        <w:ind w:left="426"/>
        <w:jc w:val="both"/>
        <w:rPr>
          <w:i/>
          <w:u w:val="single"/>
        </w:rPr>
      </w:pPr>
      <w:r w:rsidRPr="00A15C89">
        <w:rPr>
          <w:i/>
        </w:rPr>
        <w:t>Podniesienie jakości i dostępności do świadczeń medycznych w Wojewódzkim Szpitalu Specjalistycznym Nr 1 im. prof. Józefa Gasińskiego w Tychach poprzez zakup sprzętu medycznego i adaptację pomieszczeń (ID 367)</w:t>
      </w:r>
    </w:p>
    <w:p w14:paraId="625EDD46" w14:textId="649AAF5D" w:rsidR="00C54475" w:rsidRPr="00C54475" w:rsidRDefault="00C54475" w:rsidP="00C54475">
      <w:pPr>
        <w:pStyle w:val="Default"/>
        <w:spacing w:line="276" w:lineRule="auto"/>
        <w:jc w:val="both"/>
      </w:pPr>
      <w:r w:rsidRPr="00C54475">
        <w:t xml:space="preserve">W projekcie nr RPSL.09.01.00-00-016/09 pn. </w:t>
      </w:r>
      <w:r w:rsidRPr="00C54475">
        <w:rPr>
          <w:i/>
        </w:rPr>
        <w:t xml:space="preserve">Podniesienie jakości i dostępności do świadczeń medycznych w Wojewódzkim Szpitalu Specjalistycznym Nr </w:t>
      </w:r>
      <w:r>
        <w:rPr>
          <w:i/>
        </w:rPr>
        <w:t>1 im. prof. Józefa Gasińskiego w </w:t>
      </w:r>
      <w:r w:rsidRPr="00C54475">
        <w:rPr>
          <w:i/>
        </w:rPr>
        <w:t xml:space="preserve">Tychach poprzez zakup sprzętu medycznego i adaptację pomieszczeń </w:t>
      </w:r>
      <w:r w:rsidRPr="00C54475">
        <w:t xml:space="preserve">(Beneficjent: Wojewódzki Szpital Specjalistyczny Nr 1 im. prof. Józefa Gasińskiego w Tychach stwierdzono, iż projekt został poddany modyfikacji na mocy </w:t>
      </w:r>
      <w:r w:rsidRPr="00C54475">
        <w:rPr>
          <w:i/>
          <w:iCs/>
        </w:rPr>
        <w:t xml:space="preserve">art. 57 rozporządzenia 1083/2016 </w:t>
      </w:r>
      <w:r w:rsidRPr="00C54475">
        <w:t>tj. modyfikacji wynikającej ze zmiany charakteru własności</w:t>
      </w:r>
      <w:r>
        <w:t xml:space="preserve"> elementu infrastruktury albo z </w:t>
      </w:r>
      <w:r w:rsidRPr="00C54475">
        <w:t xml:space="preserve">zaprzestania działalności produkcyjnej i mającej wpływ na charakter lub warunki realizacji </w:t>
      </w:r>
      <w:r w:rsidRPr="00C54475">
        <w:lastRenderedPageBreak/>
        <w:t>przedmiotowej inwestycji lub powodującej uzyskanie nieuzasadnionej korzyści przez przedsiębiorstwo lub podmiot publiczny. Przedmiotem realizacji ww. projektu był zakup sprzętu medycznego wraz z niezbędną adaptacją pomieszczeń w celu podniesienia, jakości świadczonych usług medycznych oraz zwiększenia ich dostępno</w:t>
      </w:r>
      <w:r>
        <w:t>ści na terenie Tych i okolic. W </w:t>
      </w:r>
      <w:r w:rsidRPr="00C54475">
        <w:t>wyniku przeprowadzonej kontroli przez IZ RPO WSL po zakończeniu realizacji projektu (w</w:t>
      </w:r>
      <w:r>
        <w:t> </w:t>
      </w:r>
      <w:r w:rsidRPr="00C54475">
        <w:t xml:space="preserve">tym sprawdzającej trwałość projektu) stwierdzono, że zakupiony sprzęt medyczny oraz zaadoptowane pomieszczenia (dla tomografu komputerowego) nie znajdowały się na stanie podmiotu, z którym IZ RPO WSL podpisała umowę o dofinansowanie. Na podstawie umowy zastawu rejestrowego z dnia 7 lutego 2012 r. dokonano zastawu na ww. </w:t>
      </w:r>
      <w:r w:rsidRPr="00C54475">
        <w:rPr>
          <w:color w:val="auto"/>
        </w:rPr>
        <w:t xml:space="preserve">sprzęcie, zabezpieczając w ten sposób zobowiązania wynikające z pożyczek udzielonych przez Województwo Śląskie. W momencie braku możliwości uregulowania zobowiązań ww. sprzęt został przekazany na ich spłatę na podstawie raportu z wyceny. Powyższe naruszenie skutkowało rozwiązaniem dnia 31 sierpnia 2013 r. umowy o dofinansowanie z beneficjentem. Beneficjent zwrócił środki w kwocie </w:t>
      </w:r>
      <w:r w:rsidR="000C68CC">
        <w:rPr>
          <w:color w:val="auto"/>
        </w:rPr>
        <w:t>83 278,07 EUR (367 597,76 PLN)</w:t>
      </w:r>
      <w:r w:rsidRPr="00C54475">
        <w:rPr>
          <w:color w:val="auto"/>
        </w:rPr>
        <w:t xml:space="preserve"> (w tym: </w:t>
      </w:r>
      <w:r w:rsidR="000C68CC">
        <w:rPr>
          <w:color w:val="auto"/>
        </w:rPr>
        <w:t>57 871,29 EUR (255 449,69 PLN</w:t>
      </w:r>
      <w:r w:rsidRPr="00C54475">
        <w:rPr>
          <w:color w:val="auto"/>
        </w:rPr>
        <w:t xml:space="preserve"> należność główna</w:t>
      </w:r>
      <w:r w:rsidR="000C68CC">
        <w:rPr>
          <w:color w:val="auto"/>
        </w:rPr>
        <w:t>)</w:t>
      </w:r>
      <w:r w:rsidRPr="00C54475">
        <w:rPr>
          <w:color w:val="auto"/>
        </w:rPr>
        <w:t xml:space="preserve">, </w:t>
      </w:r>
      <w:r w:rsidR="000C68CC">
        <w:rPr>
          <w:color w:val="auto"/>
        </w:rPr>
        <w:t>25 406,78 EUR (</w:t>
      </w:r>
      <w:r w:rsidRPr="00C54475">
        <w:rPr>
          <w:color w:val="auto"/>
        </w:rPr>
        <w:t xml:space="preserve">112 148,07 </w:t>
      </w:r>
      <w:r w:rsidR="000C68CC">
        <w:rPr>
          <w:color w:val="auto"/>
        </w:rPr>
        <w:t>PLN</w:t>
      </w:r>
      <w:r w:rsidRPr="00C54475">
        <w:rPr>
          <w:color w:val="auto"/>
        </w:rPr>
        <w:t xml:space="preserve"> odsetki).</w:t>
      </w:r>
    </w:p>
    <w:p w14:paraId="6C5BAB5B" w14:textId="77777777" w:rsidR="00C54475" w:rsidRPr="00C54475" w:rsidRDefault="00C54475" w:rsidP="00B667A2">
      <w:pPr>
        <w:pStyle w:val="Default"/>
        <w:spacing w:line="276" w:lineRule="auto"/>
        <w:ind w:left="360"/>
        <w:jc w:val="both"/>
      </w:pPr>
    </w:p>
    <w:p w14:paraId="13C9B59A" w14:textId="3021E605" w:rsidR="00C54475" w:rsidRPr="00A15C89" w:rsidRDefault="00B667A2" w:rsidP="00A15C89">
      <w:pPr>
        <w:pStyle w:val="Akapitzlist"/>
        <w:numPr>
          <w:ilvl w:val="0"/>
          <w:numId w:val="64"/>
        </w:numPr>
        <w:ind w:left="426"/>
        <w:jc w:val="both"/>
        <w:rPr>
          <w:i/>
          <w:szCs w:val="24"/>
          <w:u w:val="single"/>
        </w:rPr>
      </w:pPr>
      <w:r w:rsidRPr="00A15C89">
        <w:rPr>
          <w:i/>
          <w:szCs w:val="24"/>
        </w:rPr>
        <w:t>Kompleksowa gospodarka odpadami na terenie Miasta Wodzisławia Śląskiego wraz z likwidacją dzikich wysypisk - etap 2: budowa linii sortowniczej odpadów komunalnych zmieszanych (</w:t>
      </w:r>
      <w:r w:rsidR="00C54475" w:rsidRPr="00A15C89">
        <w:rPr>
          <w:i/>
          <w:szCs w:val="24"/>
        </w:rPr>
        <w:t>ID 618</w:t>
      </w:r>
      <w:r w:rsidRPr="00A15C89">
        <w:rPr>
          <w:i/>
          <w:szCs w:val="24"/>
        </w:rPr>
        <w:t>)</w:t>
      </w:r>
    </w:p>
    <w:p w14:paraId="3C488C05" w14:textId="6ACBE3D7" w:rsidR="00C54475" w:rsidRPr="00B667A2" w:rsidRDefault="00C54475" w:rsidP="00B667A2">
      <w:pPr>
        <w:spacing w:after="0"/>
        <w:jc w:val="both"/>
        <w:rPr>
          <w:szCs w:val="24"/>
        </w:rPr>
      </w:pPr>
      <w:r w:rsidRPr="00B667A2">
        <w:rPr>
          <w:szCs w:val="24"/>
        </w:rPr>
        <w:t xml:space="preserve">W projekcie nr RPSL.05.02.00-00-014/09 pn. </w:t>
      </w:r>
      <w:r w:rsidRPr="00B667A2">
        <w:rPr>
          <w:i/>
          <w:szCs w:val="24"/>
        </w:rPr>
        <w:t xml:space="preserve">Kompleksowa gospodarka odpadami na terenie Miasta Wodzisławia Śląskiego wraz z likwidacją dzikich wysypisk - etap 2: budowa linii sortowniczej odpadów komunalnych zmieszanych </w:t>
      </w:r>
      <w:r w:rsidRPr="00B667A2">
        <w:rPr>
          <w:szCs w:val="24"/>
        </w:rPr>
        <w:t>(Beneficjent: Miasto Wodzisław Śląski) stwierdzono, iż projekt został poddany zasadniczej modyfikacji w rozumieniu art. 57 Rozporządzenia Rady (WE) nr 1083/2006 z dnia 11 lipca 2006 r. tj. modyfikacji wynikającej ze zmiany charakteru własności elementu infrastruktury albo z zaprzestania działalności produkcyjnej i mającej wpływ na charakter lub warunki realizacji przed</w:t>
      </w:r>
      <w:r w:rsidR="00B667A2">
        <w:rPr>
          <w:szCs w:val="24"/>
        </w:rPr>
        <w:t xml:space="preserve">miotowej inwestycji lub </w:t>
      </w:r>
      <w:r w:rsidRPr="00B667A2">
        <w:rPr>
          <w:szCs w:val="24"/>
        </w:rPr>
        <w:t xml:space="preserve">powodującej uzyskanie nieuzasadnionej korzyści przez przedsiębiorstwo lub podmiot publiczny. Podczas oględzin zakresu rzeczowego projektu stwierdzono, </w:t>
      </w:r>
      <w:r w:rsidR="00B667A2">
        <w:rPr>
          <w:szCs w:val="24"/>
        </w:rPr>
        <w:t>że wybudowana linia sortownicza</w:t>
      </w:r>
      <w:r w:rsidRPr="00B667A2">
        <w:rPr>
          <w:szCs w:val="24"/>
        </w:rPr>
        <w:t xml:space="preserve"> nie funkcjonuje (brak możliwości kierowania do niej s</w:t>
      </w:r>
      <w:r w:rsidR="00B667A2">
        <w:rPr>
          <w:szCs w:val="24"/>
        </w:rPr>
        <w:t xml:space="preserve">trumienia odpadów bezpośrednio </w:t>
      </w:r>
      <w:r w:rsidRPr="00B667A2">
        <w:rPr>
          <w:szCs w:val="24"/>
        </w:rPr>
        <w:t>na instalacje należące do Beneficjenta). W</w:t>
      </w:r>
      <w:r w:rsidR="00B667A2">
        <w:rPr>
          <w:szCs w:val="24"/>
        </w:rPr>
        <w:t xml:space="preserve"> zaistniałej sytuacji prawnej i </w:t>
      </w:r>
      <w:r w:rsidRPr="00B667A2">
        <w:rPr>
          <w:szCs w:val="24"/>
        </w:rPr>
        <w:t>faktycznej od początku roku 2014 nie ma możliwości realizacji projektu w dalszym okresie podlegania przez Beneficjenta obowiązkowi zachowania trwałości projektu.</w:t>
      </w:r>
    </w:p>
    <w:p w14:paraId="4947406C" w14:textId="45B0A735" w:rsidR="00C54475" w:rsidRPr="00B667A2" w:rsidRDefault="00C54475" w:rsidP="00B667A2">
      <w:pPr>
        <w:spacing w:after="0"/>
        <w:jc w:val="both"/>
        <w:rPr>
          <w:szCs w:val="24"/>
        </w:rPr>
      </w:pPr>
      <w:r w:rsidRPr="00B667A2">
        <w:rPr>
          <w:szCs w:val="24"/>
        </w:rPr>
        <w:t xml:space="preserve">Z uwagi na fakt, że w wyniku zaprzestania działalności produkcyjnej nastąpiła zmiana charakteru projektu tj. </w:t>
      </w:r>
      <w:r w:rsidR="00B667A2" w:rsidRPr="00B667A2">
        <w:rPr>
          <w:szCs w:val="24"/>
        </w:rPr>
        <w:t>cel, na jaki</w:t>
      </w:r>
      <w:r w:rsidRPr="00B667A2">
        <w:rPr>
          <w:szCs w:val="24"/>
        </w:rPr>
        <w:t xml:space="preserve"> Beneficjent otrzymał dofinansowanie nie został zachowany (w tym wskaźniki rezultatu, które od początku roku 2014 nie zostały utrzymane), a w dalszej perspektywie czasu nie ma możliwości jego dalszej realizacji, stwierdzono, że doszło do naruszenia §18 ust. 19 umowy o dofinansowanie. Kwota środków podlegających odzyskaniu oraz odzyskana w związku z wykryciem zasadniczych modyfikacji wynosi</w:t>
      </w:r>
      <w:r w:rsidR="000C68CC">
        <w:rPr>
          <w:szCs w:val="24"/>
        </w:rPr>
        <w:t xml:space="preserve"> 111 548,74 EUR (492 387,33 PLN)</w:t>
      </w:r>
      <w:r w:rsidRPr="00B667A2">
        <w:rPr>
          <w:szCs w:val="24"/>
        </w:rPr>
        <w:t>. Kwota ta będzie podlegała zwrotowi wraz z odsetkami w wysokości określonej jak dla zaległości podatkowych zgodnie z §18 ust. 20 tej umowy o dofinansowanie.</w:t>
      </w:r>
    </w:p>
    <w:p w14:paraId="51CE3E3F" w14:textId="77777777" w:rsidR="00B667A2" w:rsidRPr="00C54475" w:rsidRDefault="00B667A2" w:rsidP="00B667A2">
      <w:pPr>
        <w:pStyle w:val="Default"/>
        <w:spacing w:line="276" w:lineRule="auto"/>
        <w:jc w:val="both"/>
      </w:pPr>
    </w:p>
    <w:p w14:paraId="28178495" w14:textId="2BF7CC75" w:rsidR="00C54475" w:rsidRPr="00A15C89" w:rsidRDefault="00B667A2" w:rsidP="00A15C89">
      <w:pPr>
        <w:pStyle w:val="Default"/>
        <w:numPr>
          <w:ilvl w:val="0"/>
          <w:numId w:val="64"/>
        </w:numPr>
        <w:spacing w:after="120" w:line="276" w:lineRule="auto"/>
        <w:ind w:left="426" w:hanging="357"/>
        <w:jc w:val="both"/>
        <w:rPr>
          <w:i/>
        </w:rPr>
      </w:pPr>
      <w:r w:rsidRPr="00A15C89">
        <w:rPr>
          <w:i/>
          <w:iCs/>
        </w:rPr>
        <w:t>Adaptacja pomieszczeń piwnicznych Chorzowskiego Centrum Kultury w Chorzowie przy ul. Sienkiewicza na funkcję gastronomiczną</w:t>
      </w:r>
      <w:r w:rsidRPr="00A15C89">
        <w:rPr>
          <w:i/>
        </w:rPr>
        <w:t xml:space="preserve"> (</w:t>
      </w:r>
      <w:r w:rsidR="00C54475" w:rsidRPr="00A15C89">
        <w:rPr>
          <w:i/>
        </w:rPr>
        <w:t>ID 1004</w:t>
      </w:r>
      <w:r w:rsidRPr="00A15C89">
        <w:rPr>
          <w:i/>
        </w:rPr>
        <w:t>)</w:t>
      </w:r>
    </w:p>
    <w:p w14:paraId="01C02236" w14:textId="3EA4A096" w:rsidR="00C54475" w:rsidRPr="00C54475" w:rsidRDefault="00C54475" w:rsidP="00B667A2">
      <w:pPr>
        <w:pStyle w:val="Default"/>
        <w:spacing w:line="276" w:lineRule="auto"/>
        <w:jc w:val="both"/>
      </w:pPr>
      <w:r w:rsidRPr="00C54475">
        <w:lastRenderedPageBreak/>
        <w:t xml:space="preserve">W projekcie nr RPSL.03.01.02-00-021/10, pn. </w:t>
      </w:r>
      <w:r w:rsidRPr="00C54475">
        <w:rPr>
          <w:i/>
          <w:iCs/>
        </w:rPr>
        <w:t xml:space="preserve">Adaptacja pomieszczeń piwnicznych Chorzowskiego Centrum Kultury w Chorzowie przy ul. Sienkiewicza na funkcję gastronomiczną </w:t>
      </w:r>
      <w:r w:rsidRPr="00C54475">
        <w:t>(Beneficjent: Miasto Chorzów) stwierdzono, iż projekt został poddany zasadniczej modyfikacji w rozumieniu art. 57 Rozporządzenia Rady (WE) nr 1083/2006 z dnia 11 lipca 2006 r. tj. modyfikacji wynikającej ze zmiany charakteru własności elementu infrastruktury albo z zaprzestania działalności produkcyjnej i mającej wpływ na charakter lub warunki realizacji przedmiotowej inwestycji lub powodującej uzyskanie nieuzasadnionej korzyści przez przedsiębiorstwo lub podmiot publiczny. Nieprawidłowość polegała na wykorzystywaniu przedmiotu projektu niezgodnie z jego przezn</w:t>
      </w:r>
      <w:r w:rsidR="00B667A2">
        <w:t xml:space="preserve">aczeniem określonym we wniosku </w:t>
      </w:r>
      <w:r w:rsidRPr="00C54475">
        <w:t>o dofinansowanie. Umowa została rozwiązana w dniu 09 lutego 2015r. Całkowita kwota nieprawidłowości: 167 626,17 EUR.</w:t>
      </w:r>
    </w:p>
    <w:p w14:paraId="1DBAC6A6" w14:textId="77777777" w:rsidR="00C54475" w:rsidRPr="00C54475" w:rsidRDefault="00C54475" w:rsidP="00B667A2">
      <w:pPr>
        <w:pStyle w:val="Default"/>
        <w:spacing w:line="276" w:lineRule="auto"/>
        <w:jc w:val="both"/>
      </w:pPr>
    </w:p>
    <w:p w14:paraId="21637F3C" w14:textId="6C15397B" w:rsidR="00C54475" w:rsidRPr="00A15C89" w:rsidRDefault="00B667A2" w:rsidP="00A15C89">
      <w:pPr>
        <w:pStyle w:val="Default"/>
        <w:numPr>
          <w:ilvl w:val="0"/>
          <w:numId w:val="64"/>
        </w:numPr>
        <w:spacing w:after="120" w:line="276" w:lineRule="auto"/>
        <w:ind w:left="284" w:hanging="357"/>
        <w:jc w:val="both"/>
        <w:rPr>
          <w:i/>
        </w:rPr>
      </w:pPr>
      <w:r w:rsidRPr="00A15C89">
        <w:rPr>
          <w:i/>
          <w:iCs/>
        </w:rPr>
        <w:t>Utworzenie interfejsu wymiany danych pomiędzy WPR w Katowicach, Pogotowiem Ratunkowym w Częstochowie, a WCPR w celu wdrożenia systemu alarmowego 112 w Województwie Śląskim (</w:t>
      </w:r>
      <w:r w:rsidR="00C54475" w:rsidRPr="00A15C89">
        <w:rPr>
          <w:i/>
        </w:rPr>
        <w:t>ID 1397</w:t>
      </w:r>
      <w:r w:rsidRPr="00A15C89">
        <w:rPr>
          <w:i/>
        </w:rPr>
        <w:t>)</w:t>
      </w:r>
    </w:p>
    <w:p w14:paraId="22385D9E" w14:textId="23885096" w:rsidR="00C54475" w:rsidRDefault="00C54475" w:rsidP="00B667A2">
      <w:pPr>
        <w:pStyle w:val="Default"/>
        <w:spacing w:line="276" w:lineRule="auto"/>
        <w:jc w:val="both"/>
      </w:pPr>
      <w:r w:rsidRPr="00C54475">
        <w:t xml:space="preserve">W projekcie nr RPSL.02.02.00-00-096/12, pn. </w:t>
      </w:r>
      <w:r w:rsidRPr="00C54475">
        <w:rPr>
          <w:i/>
          <w:iCs/>
        </w:rPr>
        <w:t xml:space="preserve">Utworzenie interfejsu wymiany danych pomiędzy WPR w Katowicach, Pogotowiem Ratunkowym w Częstochowie, a WCPR w celu wdrożenia systemu alarmowego 112 w Województwie Śląskim </w:t>
      </w:r>
      <w:r w:rsidRPr="00C54475">
        <w:t>(Beneficjent: Wojewódzkie Pogotowie Ratunkowe w Katowicach) stwierdzono, iż projekt został p</w:t>
      </w:r>
      <w:r w:rsidR="00B667A2">
        <w:t xml:space="preserve">oddany zasadniczej modyfikacji </w:t>
      </w:r>
      <w:r w:rsidRPr="00C54475">
        <w:t>w rozumieniu art. 57 Rozporządzenia Rady (WE) nr 108</w:t>
      </w:r>
      <w:r w:rsidR="00B667A2">
        <w:t xml:space="preserve">3/2006 z dnia 11 lipca 2006 r. </w:t>
      </w:r>
      <w:r w:rsidRPr="00C54475">
        <w:t>tj. modyfikacji wynikającej ze zmiany charakteru własnośc</w:t>
      </w:r>
      <w:r w:rsidR="00B667A2">
        <w:t xml:space="preserve">i elementu infrastruktury albo </w:t>
      </w:r>
      <w:r w:rsidRPr="00C54475">
        <w:t xml:space="preserve">z zaprzestania działalności produkcyjnej i mającej wpływ na charakter lub warunki realizacji przedmiotowej inwestycji lub powodującej uzyskanie nieuzasadnionej korzyści przez przedsiębiorstwo lub podmiot publiczny. Przedmiotem realizacji projektu </w:t>
      </w:r>
      <w:r w:rsidRPr="00C54475">
        <w:rPr>
          <w:bCs/>
        </w:rPr>
        <w:t xml:space="preserve">było zaspokojenie potrzeb informacyjnych poprzez utworzenie interfejsu wymiany danych pomiędzy WPR w Katowicach, Pogotowiem Ratunkowym w Częstochowie, a WCPR w celu wdrożenia systemu alarmowego 112 w Województwie Śląskim. Realizacja celów miała nastąpić poprzez integrację systemów informatycznych WPR-u w Katowicach oraz SPR w Częstochowie z Wojewódzkim Centrum Powiadamiania Ratunkowego. Wdrożenie przedmiotowego Projektu było niezbędne do poprawnego funkcjonowania oraz sprawnej obsługi przyjmowania zgłoszeń pod numerem 112. </w:t>
      </w:r>
      <w:r w:rsidRPr="00C54475">
        <w:t xml:space="preserve">Nieprawidłowość polegała na tym, iż interfejs </w:t>
      </w:r>
      <w:r w:rsidR="00B667A2" w:rsidRPr="00C54475">
        <w:t>funkcjonował, jako</w:t>
      </w:r>
      <w:r w:rsidRPr="00C54475">
        <w:t xml:space="preserve"> instalacja testowa, </w:t>
      </w:r>
      <w:r w:rsidR="00B667A2">
        <w:rPr>
          <w:bCs/>
        </w:rPr>
        <w:t>a w </w:t>
      </w:r>
      <w:r w:rsidRPr="00C54475">
        <w:rPr>
          <w:bCs/>
        </w:rPr>
        <w:t xml:space="preserve">wyniku wejścia w życie 31 grudnia 2014r. Rozporządzenia w sprawie Systemu Wspomagania Dowodzenia Państwowego Ratownictwa Medycznego (SWD PRM), nie jest możliwe wejście interfejsu w fazę </w:t>
      </w:r>
      <w:r w:rsidR="00B667A2" w:rsidRPr="00C54475">
        <w:rPr>
          <w:bCs/>
        </w:rPr>
        <w:t>produkcyjną, co</w:t>
      </w:r>
      <w:r w:rsidRPr="00C54475">
        <w:rPr>
          <w:bCs/>
        </w:rPr>
        <w:t xml:space="preserve"> najmniej do czasu wdrożenia ogólnopolskiego SWD PRM. </w:t>
      </w:r>
      <w:r w:rsidRPr="00C54475">
        <w:t>Całkowita kwota nieprawidłowości:</w:t>
      </w:r>
      <w:r w:rsidR="000C68CC">
        <w:t xml:space="preserve"> 67 691,69 EUR</w:t>
      </w:r>
      <w:r w:rsidRPr="00C54475">
        <w:t xml:space="preserve"> </w:t>
      </w:r>
      <w:r w:rsidR="000C68CC">
        <w:t>(298 797,92 PLN)</w:t>
      </w:r>
      <w:r w:rsidRPr="00C54475">
        <w:t>.</w:t>
      </w:r>
    </w:p>
    <w:p w14:paraId="47D0C062" w14:textId="77777777" w:rsidR="00976591" w:rsidRDefault="00976591" w:rsidP="00B667A2">
      <w:pPr>
        <w:pStyle w:val="Default"/>
        <w:spacing w:line="276" w:lineRule="auto"/>
        <w:jc w:val="both"/>
      </w:pPr>
    </w:p>
    <w:p w14:paraId="70B69358" w14:textId="5E0A1B80" w:rsidR="00976591" w:rsidRPr="00976591" w:rsidRDefault="00976591" w:rsidP="00976591">
      <w:pPr>
        <w:pStyle w:val="Default"/>
        <w:spacing w:after="120" w:line="276" w:lineRule="auto"/>
        <w:jc w:val="both"/>
        <w:rPr>
          <w:b/>
        </w:rPr>
      </w:pPr>
      <w:r w:rsidRPr="00976591">
        <w:rPr>
          <w:b/>
        </w:rPr>
        <w:t xml:space="preserve">IP2 RPO WSL – Śląskie Centrum Przedsiębiorczości </w:t>
      </w:r>
    </w:p>
    <w:p w14:paraId="000BA8C9" w14:textId="42CAF43B" w:rsidR="00976591" w:rsidRPr="00976591" w:rsidRDefault="00976591" w:rsidP="00976591">
      <w:pPr>
        <w:pStyle w:val="Default"/>
        <w:spacing w:line="276" w:lineRule="auto"/>
        <w:jc w:val="both"/>
      </w:pPr>
      <w:r>
        <w:t xml:space="preserve">IP2 RPO WSL stwierdziło </w:t>
      </w:r>
      <w:r w:rsidRPr="00C54475">
        <w:t xml:space="preserve">w wyniku monitorowania lub kontroli trwałości </w:t>
      </w:r>
      <w:r>
        <w:t>w 48 projektach</w:t>
      </w:r>
      <w:r w:rsidRPr="00976591">
        <w:t xml:space="preserve"> </w:t>
      </w:r>
      <w:r w:rsidRPr="00C54475">
        <w:t xml:space="preserve">zasadnicze modyfikacje w rozumieniu </w:t>
      </w:r>
      <w:r>
        <w:rPr>
          <w:i/>
        </w:rPr>
        <w:t>art. 57 rozporządzenia nr </w:t>
      </w:r>
      <w:r w:rsidRPr="00C54475">
        <w:rPr>
          <w:i/>
        </w:rPr>
        <w:t>1083/2006</w:t>
      </w:r>
      <w:r w:rsidRPr="00C54475">
        <w:t>.</w:t>
      </w:r>
      <w:r>
        <w:t xml:space="preserve"> Kwoty odzyskane od  beneficjentów w związku z niezachowaniem przez nich przepisów dot. trwałości operacji określonej w </w:t>
      </w:r>
      <w:r w:rsidRPr="00976591">
        <w:rPr>
          <w:i/>
        </w:rPr>
        <w:t>art. 57</w:t>
      </w:r>
      <w:r>
        <w:t xml:space="preserve"> </w:t>
      </w:r>
      <w:r w:rsidRPr="00976591">
        <w:rPr>
          <w:i/>
        </w:rPr>
        <w:t>rozporządzenia</w:t>
      </w:r>
      <w:r w:rsidR="00FF397A">
        <w:t xml:space="preserve"> to 353 911,16 EUR (1 562 </w:t>
      </w:r>
      <w:r>
        <w:t>199,26 PLN)</w:t>
      </w:r>
    </w:p>
    <w:p w14:paraId="0D883C49" w14:textId="2CC1DFE3" w:rsidR="00976591" w:rsidRDefault="00976591" w:rsidP="00976591">
      <w:pPr>
        <w:jc w:val="both"/>
      </w:pPr>
      <w:r>
        <w:rPr>
          <w:color w:val="000000"/>
        </w:rPr>
        <w:lastRenderedPageBreak/>
        <w:t>Modyfikacje polegały na: zaprzestaniu przez beneficjentów prowadzenia działalności gospodarczej, zaprzestaniu realizacji projektu w związku ze zmianą formy prawnej prowadzenia działalności (przekształcenie), nieutrzymaniu celów projektu w miejscu jego realizacji, sprzedaży zakupionych środków trwałych w ramach projektu, utracie statusu MŚP, zmianie warunków realizacji projektu, zawieszeniu działalności gospodarczej, uzyskaniu nieuzasadnionej korzyści przez podmiot niebędący beneficjentem dotacji, zbyciu aktywów trwałych i nakładów inwestycyjnych bez zgody i wcześniejszego poinformowania IP2 RPO WSL, używaniu zakupionych środków trwałych i wartości niematerialnych i prawnych niezgodnie z przeznaczeniem, nieposiadaniu systemu archiwizacji dokumentów, niewypełnianiu obowiązków z zakresu informacji i promocji projektu, nieutrzymaniu w okresie trwałości wartości wskaźników realizacji projektu.</w:t>
      </w:r>
    </w:p>
    <w:p w14:paraId="6D0AA385" w14:textId="77777777" w:rsidR="00C71AA2" w:rsidRDefault="00E44009" w:rsidP="0094320D">
      <w:pPr>
        <w:pStyle w:val="Nagwek1"/>
        <w:numPr>
          <w:ilvl w:val="1"/>
          <w:numId w:val="29"/>
        </w:numPr>
        <w:tabs>
          <w:tab w:val="left" w:pos="1560"/>
        </w:tabs>
        <w:spacing w:after="120"/>
        <w:jc w:val="both"/>
        <w:rPr>
          <w:bCs w:val="0"/>
          <w:spacing w:val="-2"/>
          <w:szCs w:val="24"/>
        </w:rPr>
      </w:pPr>
      <w:bookmarkStart w:id="193" w:name="_Toc292789268"/>
      <w:bookmarkStart w:id="194" w:name="_Toc292793553"/>
      <w:bookmarkStart w:id="195" w:name="_Toc391466353"/>
      <w:bookmarkStart w:id="196" w:name="_Toc423351771"/>
      <w:bookmarkStart w:id="197" w:name="_Toc477779763"/>
      <w:r w:rsidRPr="00BA6414">
        <w:rPr>
          <w:bCs w:val="0"/>
          <w:spacing w:val="-2"/>
          <w:szCs w:val="24"/>
        </w:rPr>
        <w:t>KOMPLEMENTARNOŚĆ POMOCY Z INNYMI INSTRUMENTAMI WSPARCIA</w:t>
      </w:r>
      <w:bookmarkEnd w:id="193"/>
      <w:bookmarkEnd w:id="194"/>
      <w:bookmarkEnd w:id="195"/>
      <w:bookmarkEnd w:id="196"/>
      <w:bookmarkEnd w:id="197"/>
      <w:r w:rsidRPr="00BA6414">
        <w:rPr>
          <w:bCs w:val="0"/>
          <w:spacing w:val="-2"/>
          <w:szCs w:val="24"/>
        </w:rPr>
        <w:t xml:space="preserve"> </w:t>
      </w:r>
    </w:p>
    <w:p w14:paraId="2F7A6E3B" w14:textId="55AAE92A" w:rsidR="00BA6414" w:rsidRDefault="00BA6414" w:rsidP="00BA6414">
      <w:pPr>
        <w:pStyle w:val="Akapitzlist"/>
        <w:autoSpaceDE w:val="0"/>
        <w:autoSpaceDN w:val="0"/>
        <w:adjustRightInd w:val="0"/>
        <w:spacing w:after="0"/>
        <w:ind w:left="0"/>
        <w:jc w:val="both"/>
        <w:rPr>
          <w:rFonts w:eastAsia="Calibri"/>
          <w:szCs w:val="24"/>
        </w:rPr>
      </w:pPr>
      <w:bookmarkStart w:id="198" w:name="_Toc292793554"/>
      <w:bookmarkStart w:id="199" w:name="_Toc324853878"/>
      <w:bookmarkStart w:id="200" w:name="_Toc327259228"/>
      <w:r>
        <w:rPr>
          <w:rFonts w:eastAsia="Calibri"/>
          <w:szCs w:val="24"/>
        </w:rPr>
        <w:t xml:space="preserve">Opis mechanizmów koordynacji i komplementarności w </w:t>
      </w:r>
      <w:r w:rsidRPr="00556F8E">
        <w:rPr>
          <w:rFonts w:eastAsia="Calibri"/>
          <w:i/>
          <w:szCs w:val="24"/>
        </w:rPr>
        <w:t>Programie</w:t>
      </w:r>
      <w:r>
        <w:rPr>
          <w:rFonts w:eastAsia="Calibri"/>
          <w:szCs w:val="24"/>
        </w:rPr>
        <w:t xml:space="preserve"> został zawarty w części ogólnej, a następnie przeniesiony na poziom poszczególnych priorytetów. Zapisy RPO WSL wskazują, iż działania podejmowane w ramach </w:t>
      </w:r>
      <w:r w:rsidRPr="00556F8E">
        <w:rPr>
          <w:rFonts w:eastAsia="Calibri"/>
          <w:i/>
          <w:szCs w:val="24"/>
        </w:rPr>
        <w:t>Programu</w:t>
      </w:r>
      <w:r>
        <w:rPr>
          <w:rFonts w:eastAsia="Calibri"/>
          <w:szCs w:val="24"/>
        </w:rPr>
        <w:t xml:space="preserve"> były komplementarne </w:t>
      </w:r>
      <w:r w:rsidRPr="00A628A4">
        <w:rPr>
          <w:rFonts w:eastAsia="Calibri"/>
          <w:szCs w:val="24"/>
        </w:rPr>
        <w:t xml:space="preserve">z innymi programami realizowanymi w ramach Polityki Spójności, Wspólnej Polityki Rolnej oraz Wspólnej Polityki Rybackiej. </w:t>
      </w:r>
    </w:p>
    <w:p w14:paraId="28BE7EBC" w14:textId="77777777" w:rsidR="00A64270" w:rsidRDefault="00A64270" w:rsidP="00BA6414">
      <w:pPr>
        <w:pStyle w:val="Akapitzlist"/>
        <w:autoSpaceDE w:val="0"/>
        <w:autoSpaceDN w:val="0"/>
        <w:adjustRightInd w:val="0"/>
        <w:spacing w:after="0"/>
        <w:ind w:left="0"/>
        <w:jc w:val="both"/>
        <w:rPr>
          <w:rFonts w:eastAsia="Calibri"/>
          <w:szCs w:val="24"/>
        </w:rPr>
      </w:pPr>
    </w:p>
    <w:p w14:paraId="06E3A75A" w14:textId="77777777" w:rsidR="00BA6414" w:rsidRDefault="00BA6414" w:rsidP="00BA6414">
      <w:pPr>
        <w:pStyle w:val="Akapitzlist"/>
        <w:autoSpaceDE w:val="0"/>
        <w:autoSpaceDN w:val="0"/>
        <w:adjustRightInd w:val="0"/>
        <w:spacing w:after="0"/>
        <w:ind w:left="0"/>
        <w:jc w:val="both"/>
        <w:rPr>
          <w:rFonts w:eastAsia="Calibri"/>
          <w:szCs w:val="24"/>
        </w:rPr>
      </w:pPr>
      <w:r>
        <w:rPr>
          <w:rFonts w:eastAsia="Calibri"/>
          <w:szCs w:val="24"/>
        </w:rPr>
        <w:t>Wzajemne przenikanie się obszarów interwencji RPO WSL z innymi programami przedstawia poniższa tabela.</w:t>
      </w:r>
    </w:p>
    <w:p w14:paraId="3F448CA5" w14:textId="77777777" w:rsidR="00A64270" w:rsidRDefault="00A64270" w:rsidP="00BA6414">
      <w:pPr>
        <w:pStyle w:val="Akapitzlist"/>
        <w:autoSpaceDE w:val="0"/>
        <w:autoSpaceDN w:val="0"/>
        <w:adjustRightInd w:val="0"/>
        <w:spacing w:after="0"/>
        <w:ind w:left="0"/>
        <w:jc w:val="both"/>
        <w:rPr>
          <w:rFonts w:eastAsia="Calibri"/>
          <w:szCs w:val="24"/>
        </w:rPr>
      </w:pPr>
    </w:p>
    <w:p w14:paraId="4C31BEB7" w14:textId="1F2A671C" w:rsidR="00A64270" w:rsidRPr="00A64270" w:rsidRDefault="00B66319" w:rsidP="00B66319">
      <w:pPr>
        <w:pStyle w:val="Legenda"/>
        <w:rPr>
          <w:rFonts w:eastAsia="Calibri"/>
          <w:color w:val="auto"/>
          <w:sz w:val="20"/>
          <w:szCs w:val="20"/>
        </w:rPr>
      </w:pPr>
      <w:bookmarkStart w:id="201" w:name="_Toc476131791"/>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8</w:t>
      </w:r>
      <w:r w:rsidR="00A44293" w:rsidRPr="00A44293">
        <w:rPr>
          <w:noProof/>
          <w:color w:val="auto"/>
        </w:rPr>
        <w:fldChar w:fldCharType="end"/>
      </w:r>
      <w:r w:rsidRPr="00A44293">
        <w:rPr>
          <w:color w:val="auto"/>
        </w:rPr>
        <w:t xml:space="preserve"> </w:t>
      </w:r>
      <w:r w:rsidR="00A64270" w:rsidRPr="00A64270">
        <w:rPr>
          <w:b w:val="0"/>
          <w:i/>
          <w:color w:val="auto"/>
          <w:sz w:val="20"/>
          <w:szCs w:val="20"/>
        </w:rPr>
        <w:t>Komplementarność w ramach RPO WSL z innymi programami</w:t>
      </w:r>
      <w:bookmarkEnd w:id="201"/>
    </w:p>
    <w:tbl>
      <w:tblPr>
        <w:tblStyle w:val="Tabelalisty3akcent61"/>
        <w:tblW w:w="10065" w:type="dxa"/>
        <w:jc w:val="center"/>
        <w:tblLayout w:type="fixed"/>
        <w:tblLook w:val="04A0" w:firstRow="1" w:lastRow="0" w:firstColumn="1" w:lastColumn="0" w:noHBand="0" w:noVBand="1"/>
      </w:tblPr>
      <w:tblGrid>
        <w:gridCol w:w="1986"/>
        <w:gridCol w:w="991"/>
        <w:gridCol w:w="1038"/>
        <w:gridCol w:w="897"/>
        <w:gridCol w:w="926"/>
        <w:gridCol w:w="1614"/>
        <w:gridCol w:w="1627"/>
        <w:gridCol w:w="986"/>
      </w:tblGrid>
      <w:tr w:rsidR="00A64270" w:rsidRPr="00A64270" w14:paraId="1A502BDA" w14:textId="77777777" w:rsidTr="00367271">
        <w:trPr>
          <w:cnfStyle w:val="100000000000" w:firstRow="1" w:lastRow="0" w:firstColumn="0" w:lastColumn="0" w:oddVBand="0" w:evenVBand="0" w:oddHBand="0" w:evenHBand="0" w:firstRowFirstColumn="0" w:firstRowLastColumn="0" w:lastRowFirstColumn="0" w:lastRowLastColumn="0"/>
          <w:trHeight w:val="747"/>
          <w:jc w:val="center"/>
        </w:trPr>
        <w:tc>
          <w:tcPr>
            <w:cnfStyle w:val="001000000100" w:firstRow="0" w:lastRow="0" w:firstColumn="1" w:lastColumn="0" w:oddVBand="0" w:evenVBand="0" w:oddHBand="0" w:evenHBand="0" w:firstRowFirstColumn="1" w:firstRowLastColumn="0" w:lastRowFirstColumn="0" w:lastRowLastColumn="0"/>
            <w:tcW w:w="1986" w:type="dxa"/>
            <w:vMerge w:val="restart"/>
            <w:vAlign w:val="center"/>
          </w:tcPr>
          <w:p w14:paraId="2B6E53D0" w14:textId="77777777" w:rsidR="00A64270" w:rsidRPr="00A64270" w:rsidRDefault="00A64270" w:rsidP="00A15C89">
            <w:pPr>
              <w:autoSpaceDE w:val="0"/>
              <w:autoSpaceDN w:val="0"/>
              <w:adjustRightInd w:val="0"/>
              <w:spacing w:after="120"/>
              <w:contextualSpacing/>
              <w:jc w:val="center"/>
              <w:rPr>
                <w:rFonts w:eastAsia="Calibri"/>
                <w:color w:val="auto"/>
                <w:sz w:val="20"/>
                <w:szCs w:val="20"/>
              </w:rPr>
            </w:pPr>
          </w:p>
          <w:p w14:paraId="42922A87" w14:textId="77777777" w:rsidR="00A64270" w:rsidRPr="00A64270" w:rsidRDefault="00A64270" w:rsidP="00A15C89">
            <w:pPr>
              <w:autoSpaceDE w:val="0"/>
              <w:autoSpaceDN w:val="0"/>
              <w:adjustRightInd w:val="0"/>
              <w:spacing w:after="120"/>
              <w:contextualSpacing/>
              <w:jc w:val="center"/>
              <w:rPr>
                <w:rFonts w:eastAsia="Calibri"/>
                <w:color w:val="auto"/>
                <w:sz w:val="20"/>
                <w:szCs w:val="20"/>
              </w:rPr>
            </w:pPr>
          </w:p>
          <w:p w14:paraId="7C766052" w14:textId="77777777" w:rsidR="00A64270" w:rsidRPr="00A64270" w:rsidRDefault="00A64270" w:rsidP="00A15C89">
            <w:pPr>
              <w:autoSpaceDE w:val="0"/>
              <w:autoSpaceDN w:val="0"/>
              <w:adjustRightInd w:val="0"/>
              <w:spacing w:after="120"/>
              <w:contextualSpacing/>
              <w:jc w:val="center"/>
              <w:rPr>
                <w:rFonts w:eastAsia="Calibri"/>
                <w:color w:val="auto"/>
                <w:sz w:val="20"/>
                <w:szCs w:val="20"/>
              </w:rPr>
            </w:pPr>
          </w:p>
          <w:p w14:paraId="645A1D7A" w14:textId="77777777" w:rsidR="00A64270" w:rsidRPr="00A64270" w:rsidRDefault="00A64270" w:rsidP="00A15C89">
            <w:pPr>
              <w:autoSpaceDE w:val="0"/>
              <w:autoSpaceDN w:val="0"/>
              <w:adjustRightInd w:val="0"/>
              <w:spacing w:after="120"/>
              <w:contextualSpacing/>
              <w:jc w:val="center"/>
              <w:rPr>
                <w:rFonts w:eastAsia="Calibri"/>
                <w:color w:val="auto"/>
                <w:sz w:val="20"/>
                <w:szCs w:val="20"/>
              </w:rPr>
            </w:pPr>
            <w:r w:rsidRPr="00A64270">
              <w:rPr>
                <w:rFonts w:eastAsia="Calibri"/>
                <w:color w:val="auto"/>
                <w:sz w:val="20"/>
                <w:szCs w:val="20"/>
              </w:rPr>
              <w:t>PRIORYTET</w:t>
            </w:r>
          </w:p>
          <w:p w14:paraId="7029BC8A" w14:textId="77777777" w:rsidR="00A64270" w:rsidRPr="00A64270" w:rsidRDefault="00A64270" w:rsidP="00A15C89">
            <w:pPr>
              <w:autoSpaceDE w:val="0"/>
              <w:autoSpaceDN w:val="0"/>
              <w:adjustRightInd w:val="0"/>
              <w:spacing w:after="120"/>
              <w:contextualSpacing/>
              <w:jc w:val="center"/>
              <w:rPr>
                <w:rFonts w:eastAsia="Calibri"/>
                <w:color w:val="auto"/>
                <w:sz w:val="20"/>
                <w:szCs w:val="20"/>
              </w:rPr>
            </w:pPr>
            <w:r w:rsidRPr="00A64270">
              <w:rPr>
                <w:rFonts w:eastAsia="Calibri"/>
                <w:color w:val="auto"/>
                <w:sz w:val="20"/>
                <w:szCs w:val="20"/>
              </w:rPr>
              <w:t>RPO WSL</w:t>
            </w:r>
          </w:p>
        </w:tc>
        <w:tc>
          <w:tcPr>
            <w:tcW w:w="8079" w:type="dxa"/>
            <w:gridSpan w:val="7"/>
            <w:vAlign w:val="center"/>
          </w:tcPr>
          <w:p w14:paraId="0C32F791" w14:textId="77777777" w:rsidR="00A64270" w:rsidRPr="00A64270" w:rsidRDefault="00A64270" w:rsidP="00A15C89">
            <w:pPr>
              <w:autoSpaceDE w:val="0"/>
              <w:autoSpaceDN w:val="0"/>
              <w:adjustRightInd w:val="0"/>
              <w:spacing w:after="120"/>
              <w:contextualSpacing/>
              <w:jc w:val="center"/>
              <w:cnfStyle w:val="100000000000" w:firstRow="1" w:lastRow="0" w:firstColumn="0" w:lastColumn="0" w:oddVBand="0" w:evenVBand="0" w:oddHBand="0" w:evenHBand="0" w:firstRowFirstColumn="0" w:firstRowLastColumn="0" w:lastRowFirstColumn="0" w:lastRowLastColumn="0"/>
              <w:rPr>
                <w:rFonts w:eastAsia="Calibri"/>
                <w:color w:val="auto"/>
                <w:sz w:val="20"/>
                <w:szCs w:val="20"/>
              </w:rPr>
            </w:pPr>
            <w:r w:rsidRPr="00A64270">
              <w:rPr>
                <w:rFonts w:eastAsia="Calibri"/>
                <w:color w:val="auto"/>
                <w:sz w:val="20"/>
                <w:szCs w:val="20"/>
              </w:rPr>
              <w:t>PROGRAMY OPERACYJNE</w:t>
            </w:r>
          </w:p>
        </w:tc>
      </w:tr>
      <w:tr w:rsidR="00A64270" w:rsidRPr="00A64270" w14:paraId="7B8755D5" w14:textId="77777777" w:rsidTr="00367271">
        <w:trPr>
          <w:cnfStyle w:val="000000100000" w:firstRow="0" w:lastRow="0" w:firstColumn="0" w:lastColumn="0" w:oddVBand="0" w:evenVBand="0" w:oddHBand="1" w:evenHBand="0" w:firstRowFirstColumn="0" w:firstRowLastColumn="0" w:lastRowFirstColumn="0" w:lastRowLastColumn="0"/>
          <w:trHeight w:val="1409"/>
          <w:jc w:val="center"/>
        </w:trPr>
        <w:tc>
          <w:tcPr>
            <w:cnfStyle w:val="001000000000" w:firstRow="0" w:lastRow="0" w:firstColumn="1" w:lastColumn="0" w:oddVBand="0" w:evenVBand="0" w:oddHBand="0" w:evenHBand="0" w:firstRowFirstColumn="0" w:firstRowLastColumn="0" w:lastRowFirstColumn="0" w:lastRowLastColumn="0"/>
            <w:tcW w:w="1986" w:type="dxa"/>
            <w:vMerge/>
            <w:vAlign w:val="center"/>
          </w:tcPr>
          <w:p w14:paraId="10AF0A30" w14:textId="77777777" w:rsidR="00A64270" w:rsidRPr="00A64270" w:rsidRDefault="00A64270" w:rsidP="00A15C89">
            <w:pPr>
              <w:autoSpaceDE w:val="0"/>
              <w:autoSpaceDN w:val="0"/>
              <w:adjustRightInd w:val="0"/>
              <w:spacing w:after="120"/>
              <w:contextualSpacing/>
              <w:jc w:val="center"/>
              <w:rPr>
                <w:rFonts w:eastAsia="Calibri"/>
                <w:sz w:val="20"/>
                <w:szCs w:val="20"/>
              </w:rPr>
            </w:pPr>
          </w:p>
        </w:tc>
        <w:tc>
          <w:tcPr>
            <w:tcW w:w="991" w:type="dxa"/>
            <w:vAlign w:val="center"/>
          </w:tcPr>
          <w:p w14:paraId="26268B90"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PO IG</w:t>
            </w:r>
          </w:p>
        </w:tc>
        <w:tc>
          <w:tcPr>
            <w:tcW w:w="1038" w:type="dxa"/>
            <w:vAlign w:val="center"/>
          </w:tcPr>
          <w:p w14:paraId="2FC4C8AA"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PO IŚ</w:t>
            </w:r>
          </w:p>
        </w:tc>
        <w:tc>
          <w:tcPr>
            <w:tcW w:w="897" w:type="dxa"/>
            <w:vAlign w:val="center"/>
          </w:tcPr>
          <w:p w14:paraId="2B52E1D3"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PO KL</w:t>
            </w:r>
          </w:p>
        </w:tc>
        <w:tc>
          <w:tcPr>
            <w:tcW w:w="926" w:type="dxa"/>
            <w:vAlign w:val="center"/>
          </w:tcPr>
          <w:p w14:paraId="25AE1ABE"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PROW</w:t>
            </w:r>
          </w:p>
        </w:tc>
        <w:tc>
          <w:tcPr>
            <w:tcW w:w="1614" w:type="dxa"/>
            <w:vAlign w:val="center"/>
          </w:tcPr>
          <w:p w14:paraId="2344C29E"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Zrównoważony rozwój sektora rybołówstwa i przybrzeżnych obszarów rybackich</w:t>
            </w:r>
          </w:p>
        </w:tc>
        <w:tc>
          <w:tcPr>
            <w:tcW w:w="1627" w:type="dxa"/>
            <w:vAlign w:val="center"/>
          </w:tcPr>
          <w:p w14:paraId="1FEAE7D7"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Programy Współpracy Transgranicznej Polska – Czechy, Polska – Słowacja</w:t>
            </w:r>
          </w:p>
        </w:tc>
        <w:tc>
          <w:tcPr>
            <w:tcW w:w="986" w:type="dxa"/>
            <w:vAlign w:val="center"/>
          </w:tcPr>
          <w:p w14:paraId="11CCDEAD"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PO PT</w:t>
            </w:r>
          </w:p>
        </w:tc>
      </w:tr>
      <w:tr w:rsidR="00A64270" w:rsidRPr="00A64270" w14:paraId="51BB87FF" w14:textId="77777777" w:rsidTr="00367271">
        <w:trPr>
          <w:trHeight w:val="1334"/>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11F4B50F"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I Badania i rozwój technologiczny, innowacje i przedsiębiorczości</w:t>
            </w:r>
          </w:p>
        </w:tc>
        <w:tc>
          <w:tcPr>
            <w:tcW w:w="991" w:type="dxa"/>
            <w:vAlign w:val="center"/>
          </w:tcPr>
          <w:p w14:paraId="73D2AA7B"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1038" w:type="dxa"/>
            <w:vAlign w:val="center"/>
          </w:tcPr>
          <w:p w14:paraId="73E32D10"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897" w:type="dxa"/>
            <w:vAlign w:val="center"/>
          </w:tcPr>
          <w:p w14:paraId="6D44ACBB"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926" w:type="dxa"/>
            <w:vAlign w:val="center"/>
          </w:tcPr>
          <w:p w14:paraId="7EA36DC0"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1614" w:type="dxa"/>
            <w:vAlign w:val="center"/>
          </w:tcPr>
          <w:p w14:paraId="5EB66DA3"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1627" w:type="dxa"/>
            <w:vAlign w:val="center"/>
          </w:tcPr>
          <w:p w14:paraId="1798EF0B"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986" w:type="dxa"/>
            <w:vAlign w:val="center"/>
          </w:tcPr>
          <w:p w14:paraId="611730E4"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r>
      <w:tr w:rsidR="00A64270" w:rsidRPr="00A64270" w14:paraId="2ED56CA4" w14:textId="77777777" w:rsidTr="00367271">
        <w:trPr>
          <w:cnfStyle w:val="000000100000" w:firstRow="0" w:lastRow="0" w:firstColumn="0" w:lastColumn="0" w:oddVBand="0" w:evenVBand="0" w:oddHBand="1" w:evenHBand="0" w:firstRowFirstColumn="0" w:firstRowLastColumn="0" w:lastRowFirstColumn="0" w:lastRowLastColumn="0"/>
          <w:trHeight w:val="701"/>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225D346E"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II Społeczeństwo informacyjne</w:t>
            </w:r>
          </w:p>
        </w:tc>
        <w:tc>
          <w:tcPr>
            <w:tcW w:w="991" w:type="dxa"/>
            <w:vAlign w:val="center"/>
          </w:tcPr>
          <w:p w14:paraId="6CB11DED"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1038" w:type="dxa"/>
            <w:vAlign w:val="center"/>
          </w:tcPr>
          <w:p w14:paraId="61D5EF41"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p>
        </w:tc>
        <w:tc>
          <w:tcPr>
            <w:tcW w:w="897" w:type="dxa"/>
            <w:vAlign w:val="center"/>
          </w:tcPr>
          <w:p w14:paraId="674868A7"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926" w:type="dxa"/>
            <w:vAlign w:val="center"/>
          </w:tcPr>
          <w:p w14:paraId="5FE3B8EA"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1614" w:type="dxa"/>
            <w:vAlign w:val="center"/>
          </w:tcPr>
          <w:p w14:paraId="3E39D894"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p>
        </w:tc>
        <w:tc>
          <w:tcPr>
            <w:tcW w:w="1627" w:type="dxa"/>
            <w:vAlign w:val="center"/>
          </w:tcPr>
          <w:p w14:paraId="4C366B00"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986" w:type="dxa"/>
            <w:vAlign w:val="center"/>
          </w:tcPr>
          <w:p w14:paraId="5EB3B28B"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r>
      <w:tr w:rsidR="00A64270" w:rsidRPr="00A64270" w14:paraId="2F9BDEE4" w14:textId="77777777" w:rsidTr="00367271">
        <w:trPr>
          <w:trHeight w:val="541"/>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4CB5A9DE"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III Turystyka</w:t>
            </w:r>
          </w:p>
        </w:tc>
        <w:tc>
          <w:tcPr>
            <w:tcW w:w="991" w:type="dxa"/>
            <w:vAlign w:val="center"/>
          </w:tcPr>
          <w:p w14:paraId="70427EC4"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1038" w:type="dxa"/>
            <w:vAlign w:val="center"/>
          </w:tcPr>
          <w:p w14:paraId="42060C3B"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p>
        </w:tc>
        <w:tc>
          <w:tcPr>
            <w:tcW w:w="897" w:type="dxa"/>
            <w:vAlign w:val="center"/>
          </w:tcPr>
          <w:p w14:paraId="7D1003FA"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926" w:type="dxa"/>
            <w:vAlign w:val="center"/>
          </w:tcPr>
          <w:p w14:paraId="6A759823"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1614" w:type="dxa"/>
            <w:vAlign w:val="center"/>
          </w:tcPr>
          <w:p w14:paraId="3C5A5C8B"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1627" w:type="dxa"/>
            <w:vAlign w:val="center"/>
          </w:tcPr>
          <w:p w14:paraId="719D1490" w14:textId="77777777" w:rsidR="00A64270" w:rsidRPr="00A15C89"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A15C89">
              <w:rPr>
                <w:rFonts w:eastAsia="Calibri"/>
                <w:sz w:val="20"/>
                <w:szCs w:val="20"/>
              </w:rPr>
              <w:t>x</w:t>
            </w:r>
          </w:p>
        </w:tc>
        <w:tc>
          <w:tcPr>
            <w:tcW w:w="986" w:type="dxa"/>
            <w:vAlign w:val="center"/>
          </w:tcPr>
          <w:p w14:paraId="322AD0E0"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r>
      <w:tr w:rsidR="00A64270" w:rsidRPr="00A64270" w14:paraId="0B81BAE8" w14:textId="77777777" w:rsidTr="00367271">
        <w:trPr>
          <w:cnfStyle w:val="000000100000" w:firstRow="0" w:lastRow="0" w:firstColumn="0" w:lastColumn="0" w:oddVBand="0" w:evenVBand="0" w:oddHBand="1" w:evenHBand="0" w:firstRowFirstColumn="0" w:firstRowLastColumn="0" w:lastRowFirstColumn="0" w:lastRowLastColumn="0"/>
          <w:trHeight w:val="535"/>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09C2AF8B"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IV Kultura</w:t>
            </w:r>
          </w:p>
        </w:tc>
        <w:tc>
          <w:tcPr>
            <w:tcW w:w="991" w:type="dxa"/>
            <w:vAlign w:val="center"/>
          </w:tcPr>
          <w:p w14:paraId="0CD50B64"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p>
        </w:tc>
        <w:tc>
          <w:tcPr>
            <w:tcW w:w="1038" w:type="dxa"/>
            <w:vAlign w:val="center"/>
          </w:tcPr>
          <w:p w14:paraId="6422AF07"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897" w:type="dxa"/>
            <w:vAlign w:val="center"/>
          </w:tcPr>
          <w:p w14:paraId="21A1861F"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p>
        </w:tc>
        <w:tc>
          <w:tcPr>
            <w:tcW w:w="926" w:type="dxa"/>
            <w:vAlign w:val="center"/>
          </w:tcPr>
          <w:p w14:paraId="4CA3204A"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1614" w:type="dxa"/>
            <w:vAlign w:val="center"/>
          </w:tcPr>
          <w:p w14:paraId="291A863C"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1627" w:type="dxa"/>
            <w:vAlign w:val="center"/>
          </w:tcPr>
          <w:p w14:paraId="799C6CFB" w14:textId="77777777" w:rsidR="00A64270" w:rsidRPr="00A15C89"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A15C89">
              <w:rPr>
                <w:rFonts w:eastAsia="Calibri"/>
                <w:sz w:val="20"/>
                <w:szCs w:val="20"/>
              </w:rPr>
              <w:t>x</w:t>
            </w:r>
          </w:p>
        </w:tc>
        <w:tc>
          <w:tcPr>
            <w:tcW w:w="986" w:type="dxa"/>
            <w:vAlign w:val="center"/>
          </w:tcPr>
          <w:p w14:paraId="010DDA70"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r>
      <w:tr w:rsidR="00A64270" w:rsidRPr="00A64270" w14:paraId="1175B412" w14:textId="77777777" w:rsidTr="00367271">
        <w:trPr>
          <w:trHeight w:val="557"/>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0AEBFCF3"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V Środowisko</w:t>
            </w:r>
          </w:p>
        </w:tc>
        <w:tc>
          <w:tcPr>
            <w:tcW w:w="991" w:type="dxa"/>
            <w:vAlign w:val="center"/>
          </w:tcPr>
          <w:p w14:paraId="1A53AAC4"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1038" w:type="dxa"/>
            <w:vAlign w:val="center"/>
          </w:tcPr>
          <w:p w14:paraId="16CAF10B"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897" w:type="dxa"/>
            <w:vAlign w:val="center"/>
          </w:tcPr>
          <w:p w14:paraId="028DE7F0"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926" w:type="dxa"/>
            <w:vAlign w:val="center"/>
          </w:tcPr>
          <w:p w14:paraId="19078F1C"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614" w:type="dxa"/>
            <w:vAlign w:val="center"/>
          </w:tcPr>
          <w:p w14:paraId="5209E7BF"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627" w:type="dxa"/>
            <w:vAlign w:val="center"/>
          </w:tcPr>
          <w:p w14:paraId="610C76EB"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86" w:type="dxa"/>
            <w:vAlign w:val="center"/>
          </w:tcPr>
          <w:p w14:paraId="363B0684"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r>
      <w:tr w:rsidR="00A64270" w:rsidRPr="00A64270" w14:paraId="48686AEC" w14:textId="77777777" w:rsidTr="00367271">
        <w:trPr>
          <w:cnfStyle w:val="000000100000" w:firstRow="0" w:lastRow="0" w:firstColumn="0" w:lastColumn="0" w:oddVBand="0" w:evenVBand="0" w:oddHBand="1" w:evenHBand="0" w:firstRowFirstColumn="0" w:firstRowLastColumn="0" w:lastRowFirstColumn="0" w:lastRowLastColumn="0"/>
          <w:trHeight w:val="850"/>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6B89E044"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lastRenderedPageBreak/>
              <w:t>VI Zrównoważony rozwój miast</w:t>
            </w:r>
          </w:p>
        </w:tc>
        <w:tc>
          <w:tcPr>
            <w:tcW w:w="991" w:type="dxa"/>
            <w:vAlign w:val="center"/>
          </w:tcPr>
          <w:p w14:paraId="236D86B8"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038" w:type="dxa"/>
            <w:vAlign w:val="center"/>
          </w:tcPr>
          <w:p w14:paraId="3BD5F79E"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897" w:type="dxa"/>
            <w:vAlign w:val="center"/>
          </w:tcPr>
          <w:p w14:paraId="1A8939C6"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26" w:type="dxa"/>
            <w:vAlign w:val="center"/>
          </w:tcPr>
          <w:p w14:paraId="1D7A1E73"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614" w:type="dxa"/>
            <w:vAlign w:val="center"/>
          </w:tcPr>
          <w:p w14:paraId="70EEDA1F"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1627" w:type="dxa"/>
            <w:vAlign w:val="center"/>
          </w:tcPr>
          <w:p w14:paraId="1632C7E2"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86" w:type="dxa"/>
            <w:vAlign w:val="center"/>
          </w:tcPr>
          <w:p w14:paraId="352ADCE1"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r>
      <w:tr w:rsidR="00A64270" w:rsidRPr="00A64270" w14:paraId="3B45A391" w14:textId="77777777" w:rsidTr="00367271">
        <w:trPr>
          <w:trHeight w:val="536"/>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68DAA8A3"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VII Transport</w:t>
            </w:r>
          </w:p>
        </w:tc>
        <w:tc>
          <w:tcPr>
            <w:tcW w:w="991" w:type="dxa"/>
            <w:vAlign w:val="center"/>
          </w:tcPr>
          <w:p w14:paraId="27846B4E"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1038" w:type="dxa"/>
            <w:vAlign w:val="center"/>
          </w:tcPr>
          <w:p w14:paraId="1E154D01"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897" w:type="dxa"/>
            <w:vAlign w:val="center"/>
          </w:tcPr>
          <w:p w14:paraId="3237E5A6"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926" w:type="dxa"/>
            <w:vAlign w:val="center"/>
          </w:tcPr>
          <w:p w14:paraId="2571D352"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614" w:type="dxa"/>
            <w:vAlign w:val="center"/>
          </w:tcPr>
          <w:p w14:paraId="1AC4A53E"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1627" w:type="dxa"/>
            <w:vAlign w:val="center"/>
          </w:tcPr>
          <w:p w14:paraId="0503F4B3"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86" w:type="dxa"/>
            <w:vAlign w:val="center"/>
          </w:tcPr>
          <w:p w14:paraId="03CF1AD9"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r>
      <w:tr w:rsidR="00A64270" w:rsidRPr="00A64270" w14:paraId="7FB5429D" w14:textId="77777777" w:rsidTr="00367271">
        <w:trPr>
          <w:cnfStyle w:val="000000100000" w:firstRow="0" w:lastRow="0" w:firstColumn="0" w:lastColumn="0" w:oddVBand="0" w:evenVBand="0" w:oddHBand="1" w:evenHBand="0" w:firstRowFirstColumn="0" w:firstRowLastColumn="0" w:lastRowFirstColumn="0" w:lastRowLastColumn="0"/>
          <w:trHeight w:val="850"/>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79A0B602"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VIII Infrastruktura edukacyjna</w:t>
            </w:r>
          </w:p>
        </w:tc>
        <w:tc>
          <w:tcPr>
            <w:tcW w:w="991" w:type="dxa"/>
            <w:vAlign w:val="center"/>
          </w:tcPr>
          <w:p w14:paraId="25735DBE"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1038" w:type="dxa"/>
            <w:vAlign w:val="center"/>
          </w:tcPr>
          <w:p w14:paraId="55E014F8"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897" w:type="dxa"/>
            <w:vAlign w:val="center"/>
          </w:tcPr>
          <w:p w14:paraId="10914ADC"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26" w:type="dxa"/>
            <w:vAlign w:val="center"/>
          </w:tcPr>
          <w:p w14:paraId="30F18874"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614" w:type="dxa"/>
            <w:vAlign w:val="center"/>
          </w:tcPr>
          <w:p w14:paraId="3D0C9C43"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1627" w:type="dxa"/>
            <w:vAlign w:val="center"/>
          </w:tcPr>
          <w:p w14:paraId="27D3932E"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86" w:type="dxa"/>
            <w:vAlign w:val="center"/>
          </w:tcPr>
          <w:p w14:paraId="7AC20135"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r>
      <w:tr w:rsidR="00A64270" w:rsidRPr="00A64270" w14:paraId="35C67B69" w14:textId="77777777" w:rsidTr="00367271">
        <w:trPr>
          <w:trHeight w:val="513"/>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67C984AF"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IX Zdrowie</w:t>
            </w:r>
          </w:p>
        </w:tc>
        <w:tc>
          <w:tcPr>
            <w:tcW w:w="991" w:type="dxa"/>
            <w:vAlign w:val="center"/>
          </w:tcPr>
          <w:p w14:paraId="38F40CF5"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1038" w:type="dxa"/>
            <w:vAlign w:val="center"/>
          </w:tcPr>
          <w:p w14:paraId="05A1F59D"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897" w:type="dxa"/>
            <w:vAlign w:val="center"/>
          </w:tcPr>
          <w:p w14:paraId="31583D03"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926" w:type="dxa"/>
            <w:vAlign w:val="center"/>
          </w:tcPr>
          <w:p w14:paraId="21295FAD"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r w:rsidRPr="00A64270">
              <w:rPr>
                <w:rFonts w:eastAsia="Calibri"/>
                <w:b/>
                <w:sz w:val="20"/>
                <w:szCs w:val="20"/>
              </w:rPr>
              <w:t>x</w:t>
            </w:r>
          </w:p>
        </w:tc>
        <w:tc>
          <w:tcPr>
            <w:tcW w:w="1614" w:type="dxa"/>
            <w:vAlign w:val="center"/>
          </w:tcPr>
          <w:p w14:paraId="4B48438B"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1627" w:type="dxa"/>
            <w:vAlign w:val="center"/>
          </w:tcPr>
          <w:p w14:paraId="2E540137"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c>
          <w:tcPr>
            <w:tcW w:w="986" w:type="dxa"/>
            <w:vAlign w:val="center"/>
          </w:tcPr>
          <w:p w14:paraId="67BF6D06" w14:textId="77777777" w:rsidR="00A64270" w:rsidRPr="00A64270" w:rsidRDefault="00A64270" w:rsidP="00A15C89">
            <w:pPr>
              <w:autoSpaceDE w:val="0"/>
              <w:autoSpaceDN w:val="0"/>
              <w:adjustRightInd w:val="0"/>
              <w:spacing w:after="120"/>
              <w:contextualSpacing/>
              <w:jc w:val="center"/>
              <w:cnfStyle w:val="000000000000" w:firstRow="0" w:lastRow="0" w:firstColumn="0" w:lastColumn="0" w:oddVBand="0" w:evenVBand="0" w:oddHBand="0" w:evenHBand="0" w:firstRowFirstColumn="0" w:firstRowLastColumn="0" w:lastRowFirstColumn="0" w:lastRowLastColumn="0"/>
              <w:rPr>
                <w:rFonts w:eastAsia="Calibri"/>
                <w:b/>
                <w:sz w:val="20"/>
                <w:szCs w:val="20"/>
              </w:rPr>
            </w:pPr>
          </w:p>
        </w:tc>
      </w:tr>
      <w:tr w:rsidR="00A64270" w:rsidRPr="00A64270" w14:paraId="33E44234" w14:textId="77777777" w:rsidTr="00367271">
        <w:trPr>
          <w:cnfStyle w:val="000000100000" w:firstRow="0" w:lastRow="0" w:firstColumn="0" w:lastColumn="0" w:oddVBand="0" w:evenVBand="0" w:oddHBand="1" w:evenHBand="0" w:firstRowFirstColumn="0" w:firstRowLastColumn="0" w:lastRowFirstColumn="0" w:lastRowLastColumn="0"/>
          <w:trHeight w:val="563"/>
          <w:jc w:val="center"/>
        </w:trPr>
        <w:tc>
          <w:tcPr>
            <w:cnfStyle w:val="001000000000" w:firstRow="0" w:lastRow="0" w:firstColumn="1" w:lastColumn="0" w:oddVBand="0" w:evenVBand="0" w:oddHBand="0" w:evenHBand="0" w:firstRowFirstColumn="0" w:firstRowLastColumn="0" w:lastRowFirstColumn="0" w:lastRowLastColumn="0"/>
            <w:tcW w:w="1986" w:type="dxa"/>
            <w:vAlign w:val="center"/>
          </w:tcPr>
          <w:p w14:paraId="1A794B21" w14:textId="77777777" w:rsidR="00A64270" w:rsidRPr="00A15C89" w:rsidRDefault="00A64270" w:rsidP="00A15C89">
            <w:pPr>
              <w:autoSpaceDE w:val="0"/>
              <w:autoSpaceDN w:val="0"/>
              <w:adjustRightInd w:val="0"/>
              <w:spacing w:after="120"/>
              <w:contextualSpacing/>
              <w:rPr>
                <w:rFonts w:eastAsia="Calibri"/>
                <w:b w:val="0"/>
                <w:sz w:val="20"/>
                <w:szCs w:val="20"/>
              </w:rPr>
            </w:pPr>
            <w:r w:rsidRPr="00A15C89">
              <w:rPr>
                <w:rFonts w:eastAsia="Calibri"/>
                <w:b w:val="0"/>
                <w:sz w:val="20"/>
                <w:szCs w:val="20"/>
              </w:rPr>
              <w:t>X Pomoc techniczna</w:t>
            </w:r>
          </w:p>
        </w:tc>
        <w:tc>
          <w:tcPr>
            <w:tcW w:w="991" w:type="dxa"/>
            <w:vAlign w:val="center"/>
          </w:tcPr>
          <w:p w14:paraId="3A43FE9D"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1038" w:type="dxa"/>
            <w:vAlign w:val="center"/>
          </w:tcPr>
          <w:p w14:paraId="5D8BADC4"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897" w:type="dxa"/>
            <w:vAlign w:val="center"/>
          </w:tcPr>
          <w:p w14:paraId="52962526"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926" w:type="dxa"/>
            <w:vAlign w:val="center"/>
          </w:tcPr>
          <w:p w14:paraId="651C00B0"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1614" w:type="dxa"/>
            <w:vAlign w:val="center"/>
          </w:tcPr>
          <w:p w14:paraId="7E5350A0"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1627" w:type="dxa"/>
            <w:vAlign w:val="center"/>
          </w:tcPr>
          <w:p w14:paraId="5D491185"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p>
        </w:tc>
        <w:tc>
          <w:tcPr>
            <w:tcW w:w="986" w:type="dxa"/>
            <w:vAlign w:val="center"/>
          </w:tcPr>
          <w:p w14:paraId="5731FDD9" w14:textId="77777777" w:rsidR="00A64270" w:rsidRPr="00A64270" w:rsidRDefault="00A64270" w:rsidP="00A15C89">
            <w:pPr>
              <w:autoSpaceDE w:val="0"/>
              <w:autoSpaceDN w:val="0"/>
              <w:adjustRightInd w:val="0"/>
              <w:spacing w:after="120"/>
              <w:contextualSpacing/>
              <w:jc w:val="center"/>
              <w:cnfStyle w:val="000000100000" w:firstRow="0" w:lastRow="0" w:firstColumn="0" w:lastColumn="0" w:oddVBand="0" w:evenVBand="0" w:oddHBand="1" w:evenHBand="0" w:firstRowFirstColumn="0" w:firstRowLastColumn="0" w:lastRowFirstColumn="0" w:lastRowLastColumn="0"/>
              <w:rPr>
                <w:rFonts w:eastAsia="Calibri"/>
                <w:b/>
                <w:sz w:val="20"/>
                <w:szCs w:val="20"/>
              </w:rPr>
            </w:pPr>
            <w:r w:rsidRPr="00A64270">
              <w:rPr>
                <w:rFonts w:eastAsia="Calibri"/>
                <w:b/>
                <w:sz w:val="20"/>
                <w:szCs w:val="20"/>
              </w:rPr>
              <w:t>x</w:t>
            </w:r>
          </w:p>
        </w:tc>
      </w:tr>
      <w:bookmarkEnd w:id="198"/>
      <w:bookmarkEnd w:id="199"/>
      <w:bookmarkEnd w:id="200"/>
    </w:tbl>
    <w:p w14:paraId="19E2DE64" w14:textId="77777777" w:rsidR="00BA6414" w:rsidRPr="00BA6414" w:rsidRDefault="00BA6414" w:rsidP="00BA6414"/>
    <w:p w14:paraId="2CB23F4D" w14:textId="77777777" w:rsidR="00C71AA2" w:rsidRPr="00BA6414" w:rsidRDefault="00E74090" w:rsidP="002C6E5F">
      <w:pPr>
        <w:pStyle w:val="Nagwek1"/>
        <w:numPr>
          <w:ilvl w:val="2"/>
          <w:numId w:val="29"/>
        </w:numPr>
        <w:tabs>
          <w:tab w:val="left" w:pos="1560"/>
        </w:tabs>
        <w:spacing w:before="0" w:after="120"/>
        <w:ind w:left="1135" w:hanging="284"/>
        <w:jc w:val="both"/>
        <w:rPr>
          <w:szCs w:val="24"/>
          <w:lang w:eastAsia="ar-SA"/>
        </w:rPr>
      </w:pPr>
      <w:bookmarkStart w:id="202" w:name="_Toc423351772"/>
      <w:bookmarkStart w:id="203" w:name="_Toc473117324"/>
      <w:bookmarkStart w:id="204" w:name="_Toc477779764"/>
      <w:r w:rsidRPr="00BA6414">
        <w:rPr>
          <w:szCs w:val="24"/>
          <w:lang w:eastAsia="ar-SA"/>
        </w:rPr>
        <w:t>Opis osiągniętej komplementarności i uzyskanych efektów synergii</w:t>
      </w:r>
      <w:bookmarkEnd w:id="202"/>
      <w:bookmarkEnd w:id="203"/>
      <w:bookmarkEnd w:id="204"/>
    </w:p>
    <w:p w14:paraId="4D334623" w14:textId="77777777" w:rsidR="00E74090" w:rsidRPr="00271FE6" w:rsidRDefault="00EF2E9E" w:rsidP="00A15C89">
      <w:pPr>
        <w:pStyle w:val="Nagwek1"/>
        <w:numPr>
          <w:ilvl w:val="0"/>
          <w:numId w:val="0"/>
        </w:numPr>
        <w:spacing w:before="0" w:after="120"/>
        <w:ind w:left="431"/>
        <w:rPr>
          <w:szCs w:val="24"/>
          <w:lang w:eastAsia="ar-SA"/>
        </w:rPr>
      </w:pPr>
      <w:bookmarkStart w:id="205" w:name="_Toc419180255"/>
      <w:bookmarkStart w:id="206" w:name="_Toc423351773"/>
      <w:bookmarkStart w:id="207" w:name="_Toc473117325"/>
      <w:bookmarkStart w:id="208" w:name="_Toc477779765"/>
      <w:r w:rsidRPr="00271FE6">
        <w:rPr>
          <w:szCs w:val="24"/>
          <w:lang w:eastAsia="ar-SA"/>
        </w:rPr>
        <w:t xml:space="preserve">2.6.1.1 </w:t>
      </w:r>
      <w:r w:rsidRPr="00271FE6">
        <w:t>Przykład</w:t>
      </w:r>
      <w:r w:rsidR="00662E45" w:rsidRPr="00271FE6">
        <w:t xml:space="preserve"> zastosowanych mechanizmów wraz z opisem projektów komplementarnych</w:t>
      </w:r>
      <w:bookmarkEnd w:id="205"/>
      <w:bookmarkEnd w:id="206"/>
      <w:bookmarkEnd w:id="207"/>
      <w:bookmarkEnd w:id="208"/>
    </w:p>
    <w:p w14:paraId="43168C66" w14:textId="219E89CF" w:rsidR="00C10510" w:rsidRPr="0094320D" w:rsidRDefault="00C10510" w:rsidP="0094320D">
      <w:pPr>
        <w:pStyle w:val="Akapitzlist"/>
        <w:autoSpaceDE w:val="0"/>
        <w:autoSpaceDN w:val="0"/>
        <w:adjustRightInd w:val="0"/>
        <w:spacing w:after="0"/>
        <w:ind w:left="0"/>
        <w:jc w:val="both"/>
        <w:rPr>
          <w:rFonts w:eastAsia="Calibri"/>
          <w:szCs w:val="24"/>
        </w:rPr>
      </w:pPr>
      <w:bookmarkStart w:id="209" w:name="_Toc292793556"/>
      <w:bookmarkStart w:id="210" w:name="_Toc324853880"/>
      <w:bookmarkStart w:id="211" w:name="_Toc327259230"/>
      <w:r w:rsidRPr="0094320D">
        <w:rPr>
          <w:rFonts w:eastAsia="Calibri"/>
          <w:szCs w:val="24"/>
        </w:rPr>
        <w:t xml:space="preserve">Funkcjonowanie mechanizmów koordynacji i komplementarności </w:t>
      </w:r>
      <w:r w:rsidR="00A15C89">
        <w:rPr>
          <w:rFonts w:eastAsia="Calibri"/>
          <w:szCs w:val="24"/>
        </w:rPr>
        <w:t>było</w:t>
      </w:r>
      <w:r w:rsidRPr="0094320D">
        <w:rPr>
          <w:rFonts w:eastAsia="Calibri"/>
          <w:szCs w:val="24"/>
        </w:rPr>
        <w:t xml:space="preserve"> widoczne na kilku po</w:t>
      </w:r>
      <w:r w:rsidR="00DA21DF">
        <w:rPr>
          <w:rFonts w:eastAsia="Calibri"/>
          <w:szCs w:val="24"/>
        </w:rPr>
        <w:t>ziomach wdrażania: na poziomie p</w:t>
      </w:r>
      <w:r w:rsidRPr="0094320D">
        <w:rPr>
          <w:rFonts w:eastAsia="Calibri"/>
          <w:szCs w:val="24"/>
        </w:rPr>
        <w:t>rogramu, priorytetów, działań oraz pojedynczych projektów.</w:t>
      </w:r>
    </w:p>
    <w:p w14:paraId="5314FD2B" w14:textId="77777777" w:rsidR="00A628A4" w:rsidRPr="0094320D" w:rsidRDefault="00A628A4" w:rsidP="0094320D">
      <w:pPr>
        <w:jc w:val="both"/>
        <w:rPr>
          <w:color w:val="000000" w:themeColor="text1"/>
          <w:szCs w:val="24"/>
        </w:rPr>
      </w:pPr>
      <w:r w:rsidRPr="0094320D">
        <w:rPr>
          <w:color w:val="000000" w:themeColor="text1"/>
          <w:szCs w:val="24"/>
        </w:rPr>
        <w:t>IZ RPO WSL nie dysponuje analizami zastosowanych mechanizmów na rzecz komplementarności interwencji w kontekście sytuacji na rynku pracy oraz na temat łącznego wpływu programów na wyzwania, na które starają się odpowiedzieć poszczególne programy.</w:t>
      </w:r>
    </w:p>
    <w:p w14:paraId="67414BD6" w14:textId="224FC0FC" w:rsidR="00511D73" w:rsidRPr="0094320D" w:rsidRDefault="00A628A4" w:rsidP="0094320D">
      <w:pPr>
        <w:jc w:val="both"/>
        <w:rPr>
          <w:color w:val="000000" w:themeColor="text1"/>
          <w:szCs w:val="24"/>
        </w:rPr>
      </w:pPr>
      <w:r w:rsidRPr="0094320D">
        <w:rPr>
          <w:color w:val="000000" w:themeColor="text1"/>
          <w:szCs w:val="24"/>
        </w:rPr>
        <w:t>W poniższej tabeli przedstawiono mechanizmy (</w:t>
      </w:r>
      <w:r w:rsidR="00060C63">
        <w:rPr>
          <w:color w:val="000000" w:themeColor="text1"/>
          <w:szCs w:val="24"/>
        </w:rPr>
        <w:t>narzędzia) rekomendowane przez g</w:t>
      </w:r>
      <w:r w:rsidRPr="0094320D">
        <w:rPr>
          <w:color w:val="000000" w:themeColor="text1"/>
          <w:szCs w:val="24"/>
        </w:rPr>
        <w:t>rupę roboczą ds. koordynacji i komplementarności przy KK NSRO, któr</w:t>
      </w:r>
      <w:r w:rsidR="00A15C89">
        <w:rPr>
          <w:color w:val="000000" w:themeColor="text1"/>
          <w:szCs w:val="24"/>
        </w:rPr>
        <w:t>e funkcjonowały</w:t>
      </w:r>
      <w:r w:rsidR="00511D73" w:rsidRPr="0094320D">
        <w:rPr>
          <w:color w:val="000000" w:themeColor="text1"/>
          <w:szCs w:val="24"/>
        </w:rPr>
        <w:t xml:space="preserve"> w ramach RPO WSL.</w:t>
      </w:r>
    </w:p>
    <w:p w14:paraId="4F073C30" w14:textId="77777777" w:rsidR="00511D73" w:rsidRPr="0094320D" w:rsidRDefault="00511D73" w:rsidP="0094320D">
      <w:pPr>
        <w:jc w:val="both"/>
        <w:rPr>
          <w:color w:val="000000" w:themeColor="text1"/>
          <w:szCs w:val="24"/>
        </w:rPr>
        <w:sectPr w:rsidR="00511D73" w:rsidRPr="0094320D" w:rsidSect="00906FD5">
          <w:pgSz w:w="11906" w:h="16838"/>
          <w:pgMar w:top="1417" w:right="1417" w:bottom="1417" w:left="1417" w:header="397" w:footer="397" w:gutter="0"/>
          <w:cols w:space="708"/>
          <w:titlePg/>
          <w:docGrid w:linePitch="360"/>
        </w:sectPr>
      </w:pPr>
    </w:p>
    <w:p w14:paraId="639CE968" w14:textId="3CF6B4A8" w:rsidR="00A628A4" w:rsidRPr="00BA6414" w:rsidRDefault="00B66319" w:rsidP="00B66319">
      <w:pPr>
        <w:pStyle w:val="Legenda"/>
        <w:rPr>
          <w:color w:val="auto"/>
          <w:sz w:val="20"/>
          <w:szCs w:val="20"/>
        </w:rPr>
      </w:pPr>
      <w:bookmarkStart w:id="212" w:name="_Toc355688724"/>
      <w:bookmarkStart w:id="213" w:name="_Toc476131792"/>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9</w:t>
      </w:r>
      <w:r w:rsidR="00A44293" w:rsidRPr="00A44293">
        <w:rPr>
          <w:noProof/>
          <w:color w:val="auto"/>
        </w:rPr>
        <w:fldChar w:fldCharType="end"/>
      </w:r>
      <w:r>
        <w:t xml:space="preserve"> </w:t>
      </w:r>
      <w:r w:rsidR="00A628A4" w:rsidRPr="00BA6414">
        <w:rPr>
          <w:b w:val="0"/>
          <w:i/>
          <w:color w:val="auto"/>
          <w:sz w:val="20"/>
          <w:szCs w:val="20"/>
        </w:rPr>
        <w:t>Mechanizmy/narzędzia RPO WSL służące zapewnieniu koordynacji i komplementarności wsparcia</w:t>
      </w:r>
      <w:bookmarkEnd w:id="212"/>
      <w:bookmarkEnd w:id="213"/>
    </w:p>
    <w:tbl>
      <w:tblPr>
        <w:tblStyle w:val="Tabelalisty3akcent61"/>
        <w:tblW w:w="5034" w:type="pct"/>
        <w:jc w:val="center"/>
        <w:tblLayout w:type="fixed"/>
        <w:tblLook w:val="04A0" w:firstRow="1" w:lastRow="0" w:firstColumn="1" w:lastColumn="0" w:noHBand="0" w:noVBand="1"/>
      </w:tblPr>
      <w:tblGrid>
        <w:gridCol w:w="2339"/>
        <w:gridCol w:w="9210"/>
        <w:gridCol w:w="2538"/>
      </w:tblGrid>
      <w:tr w:rsidR="00A628A4" w:rsidRPr="00BA6414" w14:paraId="0D94A519" w14:textId="77777777" w:rsidTr="00367271">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30" w:type="pct"/>
            <w:vAlign w:val="center"/>
          </w:tcPr>
          <w:p w14:paraId="15B3312C" w14:textId="77777777" w:rsidR="00A628A4" w:rsidRPr="00BA6414" w:rsidRDefault="00A628A4" w:rsidP="00A15C89">
            <w:pPr>
              <w:spacing w:before="120" w:after="120"/>
              <w:jc w:val="center"/>
              <w:rPr>
                <w:color w:val="000000" w:themeColor="text1"/>
                <w:sz w:val="20"/>
                <w:szCs w:val="20"/>
              </w:rPr>
            </w:pPr>
          </w:p>
        </w:tc>
        <w:tc>
          <w:tcPr>
            <w:tcW w:w="3269" w:type="pct"/>
            <w:vAlign w:val="center"/>
          </w:tcPr>
          <w:p w14:paraId="1672182A" w14:textId="77777777" w:rsidR="00A628A4" w:rsidRPr="00BA6414" w:rsidRDefault="00A628A4" w:rsidP="00A15C89">
            <w:pPr>
              <w:spacing w:before="120" w:after="120"/>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BA6414">
              <w:rPr>
                <w:color w:val="000000" w:themeColor="text1"/>
                <w:sz w:val="20"/>
                <w:szCs w:val="20"/>
              </w:rPr>
              <w:t>ISTNIEJĄCE MECHANIZMY (NARZĘDZIA) RPO WSL SŁUŻĄCE ZAPEWNIENIU KOORDYNACJI I KOMPLEMENTARNOŚCI WSPARCIA</w:t>
            </w:r>
          </w:p>
          <w:p w14:paraId="3215B90F" w14:textId="77777777" w:rsidR="00A628A4" w:rsidRPr="00BA6414" w:rsidRDefault="00A628A4" w:rsidP="00A15C89">
            <w:pPr>
              <w:spacing w:before="120" w:after="120"/>
              <w:jc w:val="center"/>
              <w:cnfStyle w:val="100000000000" w:firstRow="1" w:lastRow="0" w:firstColumn="0" w:lastColumn="0" w:oddVBand="0" w:evenVBand="0" w:oddHBand="0" w:evenHBand="0" w:firstRowFirstColumn="0" w:firstRowLastColumn="0" w:lastRowFirstColumn="0" w:lastRowLastColumn="0"/>
              <w:rPr>
                <w:sz w:val="20"/>
                <w:szCs w:val="20"/>
              </w:rPr>
            </w:pPr>
          </w:p>
        </w:tc>
        <w:tc>
          <w:tcPr>
            <w:tcW w:w="901" w:type="pct"/>
            <w:vAlign w:val="center"/>
          </w:tcPr>
          <w:p w14:paraId="066937F7" w14:textId="77777777" w:rsidR="00A628A4" w:rsidRPr="00BA6414" w:rsidRDefault="00A628A4" w:rsidP="00A15C89">
            <w:pPr>
              <w:spacing w:before="120" w:after="120"/>
              <w:jc w:val="center"/>
              <w:cnfStyle w:val="100000000000" w:firstRow="1" w:lastRow="0" w:firstColumn="0" w:lastColumn="0" w:oddVBand="0" w:evenVBand="0" w:oddHBand="0" w:evenHBand="0" w:firstRowFirstColumn="0" w:firstRowLastColumn="0" w:lastRowFirstColumn="0" w:lastRowLastColumn="0"/>
              <w:rPr>
                <w:sz w:val="20"/>
                <w:szCs w:val="20"/>
              </w:rPr>
            </w:pPr>
            <w:r w:rsidRPr="00BA6414">
              <w:rPr>
                <w:i/>
                <w:color w:val="000000" w:themeColor="text1"/>
                <w:sz w:val="20"/>
                <w:szCs w:val="20"/>
              </w:rPr>
              <w:t>Rekomendacje horyzontalne dla instytucji zaangażowanych we wdrażanie PO/RPO w ramach NSRO 2007-2013 w zakresie koordynacji i komplementarności podejmowanych działań</w:t>
            </w:r>
          </w:p>
        </w:tc>
      </w:tr>
      <w:tr w:rsidR="00A628A4" w:rsidRPr="00BA6414" w14:paraId="3A021F72" w14:textId="77777777" w:rsidTr="00367271">
        <w:trPr>
          <w:cnfStyle w:val="000000100000" w:firstRow="0" w:lastRow="0" w:firstColumn="0" w:lastColumn="0" w:oddVBand="0" w:evenVBand="0" w:oddHBand="1" w:evenHBand="0" w:firstRowFirstColumn="0" w:firstRowLastColumn="0" w:lastRowFirstColumn="0" w:lastRowLastColumn="0"/>
          <w:trHeight w:val="1373"/>
          <w:jc w:val="center"/>
        </w:trPr>
        <w:tc>
          <w:tcPr>
            <w:cnfStyle w:val="001000000000" w:firstRow="0" w:lastRow="0" w:firstColumn="1" w:lastColumn="0" w:oddVBand="0" w:evenVBand="0" w:oddHBand="0" w:evenHBand="0" w:firstRowFirstColumn="0" w:firstRowLastColumn="0" w:lastRowFirstColumn="0" w:lastRowLastColumn="0"/>
            <w:tcW w:w="830" w:type="pct"/>
            <w:vAlign w:val="center"/>
          </w:tcPr>
          <w:p w14:paraId="1A8E638F" w14:textId="77777777" w:rsidR="00A628A4" w:rsidRPr="00A15C89" w:rsidRDefault="00A628A4" w:rsidP="00A15C89">
            <w:pPr>
              <w:spacing w:before="120" w:after="120"/>
              <w:rPr>
                <w:b w:val="0"/>
                <w:color w:val="000000" w:themeColor="text1"/>
                <w:sz w:val="20"/>
                <w:szCs w:val="20"/>
              </w:rPr>
            </w:pPr>
            <w:r w:rsidRPr="00A15C89">
              <w:rPr>
                <w:b w:val="0"/>
                <w:color w:val="000000"/>
                <w:sz w:val="20"/>
                <w:szCs w:val="20"/>
              </w:rPr>
              <w:t xml:space="preserve">Mechanizm zapewniania komplementarności </w:t>
            </w:r>
            <w:r w:rsidRPr="00A15C89">
              <w:rPr>
                <w:b w:val="0"/>
                <w:sz w:val="20"/>
                <w:szCs w:val="20"/>
              </w:rPr>
              <w:t>na etapie programowania RPO WSL</w:t>
            </w:r>
          </w:p>
        </w:tc>
        <w:tc>
          <w:tcPr>
            <w:tcW w:w="3269" w:type="pct"/>
            <w:vAlign w:val="center"/>
          </w:tcPr>
          <w:p w14:paraId="638E369F"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BA6414">
              <w:rPr>
                <w:b/>
                <w:color w:val="000000" w:themeColor="text1"/>
                <w:sz w:val="20"/>
                <w:szCs w:val="20"/>
              </w:rPr>
              <w:t>Zapisy w dokumentach programowych</w:t>
            </w:r>
          </w:p>
          <w:p w14:paraId="61D24B26" w14:textId="5E877813"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sz w:val="20"/>
                <w:szCs w:val="20"/>
              </w:rPr>
              <w:t>W URPO WSL w ramach</w:t>
            </w:r>
            <w:r w:rsidR="00DA21DF">
              <w:rPr>
                <w:sz w:val="20"/>
                <w:szCs w:val="20"/>
              </w:rPr>
              <w:t>,</w:t>
            </w:r>
            <w:r w:rsidRPr="00BA6414">
              <w:rPr>
                <w:sz w:val="20"/>
                <w:szCs w:val="20"/>
              </w:rPr>
              <w:t xml:space="preserve"> każdego z działań został przedstawiony wykaz obszarów komplementarności pomocy udzielanej w ramach RPO WSL z pomocą udzielaną w ramach innych programów operacyjnych.</w:t>
            </w:r>
          </w:p>
        </w:tc>
        <w:tc>
          <w:tcPr>
            <w:tcW w:w="901" w:type="pct"/>
            <w:vAlign w:val="center"/>
          </w:tcPr>
          <w:p w14:paraId="5B99E564" w14:textId="77777777" w:rsidR="004B55E9" w:rsidRPr="00BA6414" w:rsidRDefault="00A628A4" w:rsidP="00A15C89">
            <w:pPr>
              <w:spacing w:before="120" w:after="120"/>
              <w:jc w:val="center"/>
              <w:cnfStyle w:val="000000100000" w:firstRow="0" w:lastRow="0" w:firstColumn="0" w:lastColumn="0" w:oddVBand="0" w:evenVBand="0" w:oddHBand="1" w:evenHBand="0" w:firstRowFirstColumn="0" w:firstRowLastColumn="0" w:lastRowFirstColumn="0" w:lastRowLastColumn="0"/>
              <w:rPr>
                <w:sz w:val="20"/>
                <w:szCs w:val="20"/>
              </w:rPr>
            </w:pPr>
            <w:r w:rsidRPr="00BA6414">
              <w:rPr>
                <w:sz w:val="20"/>
                <w:szCs w:val="20"/>
              </w:rPr>
              <w:t>-</w:t>
            </w:r>
          </w:p>
        </w:tc>
      </w:tr>
      <w:tr w:rsidR="00A628A4" w:rsidRPr="00BA6414" w14:paraId="686D4363" w14:textId="77777777" w:rsidTr="00367271">
        <w:trPr>
          <w:jc w:val="center"/>
        </w:trPr>
        <w:tc>
          <w:tcPr>
            <w:cnfStyle w:val="001000000000" w:firstRow="0" w:lastRow="0" w:firstColumn="1" w:lastColumn="0" w:oddVBand="0" w:evenVBand="0" w:oddHBand="0" w:evenHBand="0" w:firstRowFirstColumn="0" w:firstRowLastColumn="0" w:lastRowFirstColumn="0" w:lastRowLastColumn="0"/>
            <w:tcW w:w="830" w:type="pct"/>
            <w:vMerge w:val="restart"/>
            <w:vAlign w:val="center"/>
          </w:tcPr>
          <w:p w14:paraId="7E7D2463" w14:textId="77777777" w:rsidR="004B55E9" w:rsidRPr="00A15C89" w:rsidRDefault="00A628A4" w:rsidP="00A15C89">
            <w:pPr>
              <w:spacing w:before="120" w:after="120"/>
              <w:rPr>
                <w:b w:val="0"/>
                <w:bCs w:val="0"/>
                <w:color w:val="000000"/>
                <w:sz w:val="20"/>
                <w:szCs w:val="20"/>
              </w:rPr>
            </w:pPr>
            <w:r w:rsidRPr="00A15C89">
              <w:rPr>
                <w:b w:val="0"/>
                <w:color w:val="000000"/>
                <w:sz w:val="20"/>
                <w:szCs w:val="20"/>
              </w:rPr>
              <w:t>Mechanizm zapewniania komplementarności n</w:t>
            </w:r>
            <w:r w:rsidRPr="00A15C89">
              <w:rPr>
                <w:b w:val="0"/>
                <w:sz w:val="20"/>
                <w:szCs w:val="20"/>
              </w:rPr>
              <w:t>a etapie wdrażania RPO WSL</w:t>
            </w:r>
          </w:p>
        </w:tc>
        <w:tc>
          <w:tcPr>
            <w:tcW w:w="3269" w:type="pct"/>
            <w:vAlign w:val="center"/>
          </w:tcPr>
          <w:p w14:paraId="21E9F136"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BA6414">
              <w:rPr>
                <w:b/>
                <w:color w:val="000000" w:themeColor="text1"/>
                <w:sz w:val="20"/>
                <w:szCs w:val="20"/>
              </w:rPr>
              <w:t>Komplementarność na poziomie kryteriów wyboru projektu</w:t>
            </w:r>
          </w:p>
          <w:p w14:paraId="26D77937"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BA6414">
              <w:rPr>
                <w:color w:val="000000" w:themeColor="text1"/>
                <w:sz w:val="20"/>
                <w:szCs w:val="20"/>
              </w:rPr>
              <w:t xml:space="preserve">Każdy beneficjent opisuje we wniosku o dofinansowanie czy złożony projekt do dofinansowania jest komplementarny z innymi zrealizowanymi już projektami. Na etapie oceny merytoryczno-technicznej jednym z kryteriów zasadniczych podstawowych jest </w:t>
            </w:r>
            <w:r w:rsidRPr="00BA6414">
              <w:rPr>
                <w:i/>
                <w:color w:val="000000" w:themeColor="text1"/>
                <w:sz w:val="20"/>
                <w:szCs w:val="20"/>
              </w:rPr>
              <w:t xml:space="preserve">stopień komplementarności z innymi przedsięwzięciami </w:t>
            </w:r>
            <w:r w:rsidRPr="00BA6414">
              <w:rPr>
                <w:color w:val="000000" w:themeColor="text1"/>
                <w:sz w:val="20"/>
                <w:szCs w:val="20"/>
              </w:rPr>
              <w:t>(kryterium komplementarności w procedurze selekcji projektów).</w:t>
            </w:r>
          </w:p>
        </w:tc>
        <w:tc>
          <w:tcPr>
            <w:tcW w:w="901" w:type="pct"/>
            <w:vMerge w:val="restart"/>
            <w:vAlign w:val="center"/>
          </w:tcPr>
          <w:p w14:paraId="3351E93B" w14:textId="77777777" w:rsidR="004B55E9" w:rsidRPr="00BA6414" w:rsidRDefault="00A628A4" w:rsidP="00A15C89">
            <w:pPr>
              <w:spacing w:before="120" w:after="120"/>
              <w:jc w:val="center"/>
              <w:cnfStyle w:val="000000000000" w:firstRow="0" w:lastRow="0" w:firstColumn="0" w:lastColumn="0" w:oddVBand="0" w:evenVBand="0" w:oddHBand="0" w:evenHBand="0" w:firstRowFirstColumn="0" w:firstRowLastColumn="0" w:lastRowFirstColumn="0" w:lastRowLastColumn="0"/>
              <w:rPr>
                <w:b/>
                <w:i/>
                <w:sz w:val="20"/>
                <w:szCs w:val="20"/>
              </w:rPr>
            </w:pPr>
            <w:r w:rsidRPr="00BA6414">
              <w:rPr>
                <w:b/>
                <w:i/>
                <w:sz w:val="20"/>
                <w:szCs w:val="20"/>
              </w:rPr>
              <w:t>Wybór projektów</w:t>
            </w:r>
          </w:p>
        </w:tc>
      </w:tr>
      <w:tr w:rsidR="00A628A4" w:rsidRPr="00BA6414" w14:paraId="268D0E08" w14:textId="77777777" w:rsidTr="003672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0" w:type="pct"/>
            <w:vMerge/>
            <w:vAlign w:val="center"/>
          </w:tcPr>
          <w:p w14:paraId="42BF2DB1" w14:textId="77777777" w:rsidR="00A628A4" w:rsidRPr="00BA6414" w:rsidRDefault="00A628A4" w:rsidP="00A15C89">
            <w:pPr>
              <w:spacing w:before="120" w:after="120"/>
              <w:jc w:val="center"/>
              <w:rPr>
                <w:color w:val="000000"/>
                <w:sz w:val="20"/>
                <w:szCs w:val="20"/>
              </w:rPr>
            </w:pPr>
          </w:p>
        </w:tc>
        <w:tc>
          <w:tcPr>
            <w:tcW w:w="3269" w:type="pct"/>
            <w:vAlign w:val="center"/>
          </w:tcPr>
          <w:p w14:paraId="3B48BB63"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BA6414">
              <w:rPr>
                <w:b/>
                <w:color w:val="000000" w:themeColor="text1"/>
                <w:sz w:val="20"/>
                <w:szCs w:val="20"/>
              </w:rPr>
              <w:t>Mechanizm blokowy wspierania projektów komplementarnych</w:t>
            </w:r>
          </w:p>
          <w:p w14:paraId="7049A7DE" w14:textId="77777777" w:rsidR="00A628A4" w:rsidRPr="00BA6414" w:rsidRDefault="00A628A4" w:rsidP="00A15C89">
            <w:pPr>
              <w:pStyle w:val="Akapitzlist"/>
              <w:numPr>
                <w:ilvl w:val="0"/>
                <w:numId w:val="32"/>
              </w:numPr>
              <w:spacing w:before="120" w:after="120"/>
              <w:ind w:left="458"/>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color w:val="000000" w:themeColor="text1"/>
                <w:sz w:val="20"/>
                <w:szCs w:val="20"/>
              </w:rPr>
              <w:t>stosowany jest w przypadku projektów rewitalizacyjnych, gdzie istotna jest zgodność z lokalnym programem rewitalizacji,</w:t>
            </w:r>
          </w:p>
          <w:p w14:paraId="54B9E6DC" w14:textId="79EC1A63" w:rsidR="00A628A4" w:rsidRPr="00BA6414" w:rsidRDefault="00A628A4" w:rsidP="00A15C89">
            <w:pPr>
              <w:pStyle w:val="Akapitzlist"/>
              <w:numPr>
                <w:ilvl w:val="0"/>
                <w:numId w:val="32"/>
              </w:numPr>
              <w:spacing w:before="120" w:after="120"/>
              <w:ind w:left="458"/>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color w:val="000000" w:themeColor="text1"/>
                <w:sz w:val="20"/>
                <w:szCs w:val="20"/>
              </w:rPr>
              <w:t xml:space="preserve">stosowany jest w </w:t>
            </w:r>
            <w:r w:rsidRPr="00BA6414">
              <w:rPr>
                <w:bCs/>
                <w:color w:val="000000" w:themeColor="text1"/>
                <w:sz w:val="20"/>
                <w:szCs w:val="20"/>
              </w:rPr>
              <w:t>pozakonkursowej ścieżce wyboru projektów</w:t>
            </w:r>
            <w:r w:rsidRPr="00BA6414">
              <w:rPr>
                <w:color w:val="000000" w:themeColor="text1"/>
                <w:sz w:val="20"/>
                <w:szCs w:val="20"/>
              </w:rPr>
              <w:t xml:space="preserve"> w ramach </w:t>
            </w:r>
            <w:r w:rsidRPr="00BA6414">
              <w:rPr>
                <w:bCs/>
                <w:color w:val="000000" w:themeColor="text1"/>
                <w:sz w:val="20"/>
                <w:szCs w:val="20"/>
              </w:rPr>
              <w:t>Programu Rozwoju Subregionów (PRS)</w:t>
            </w:r>
            <w:r w:rsidR="00FE2462">
              <w:rPr>
                <w:color w:val="000000" w:themeColor="text1"/>
                <w:sz w:val="20"/>
                <w:szCs w:val="20"/>
              </w:rPr>
              <w:t>.</w:t>
            </w:r>
          </w:p>
        </w:tc>
        <w:tc>
          <w:tcPr>
            <w:tcW w:w="901" w:type="pct"/>
            <w:vMerge/>
            <w:vAlign w:val="center"/>
          </w:tcPr>
          <w:p w14:paraId="7ADA5F75" w14:textId="77777777" w:rsidR="00A628A4" w:rsidRPr="00BA6414" w:rsidRDefault="00A628A4" w:rsidP="00A15C89">
            <w:pPr>
              <w:spacing w:before="120" w:after="12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A628A4" w:rsidRPr="00BA6414" w14:paraId="5E328068" w14:textId="77777777" w:rsidTr="00367271">
        <w:trPr>
          <w:jc w:val="center"/>
        </w:trPr>
        <w:tc>
          <w:tcPr>
            <w:cnfStyle w:val="001000000000" w:firstRow="0" w:lastRow="0" w:firstColumn="1" w:lastColumn="0" w:oddVBand="0" w:evenVBand="0" w:oddHBand="0" w:evenHBand="0" w:firstRowFirstColumn="0" w:firstRowLastColumn="0" w:lastRowFirstColumn="0" w:lastRowLastColumn="0"/>
            <w:tcW w:w="830" w:type="pct"/>
            <w:vMerge/>
            <w:vAlign w:val="center"/>
          </w:tcPr>
          <w:p w14:paraId="0C600C92" w14:textId="77777777" w:rsidR="00A628A4" w:rsidRPr="00BA6414" w:rsidRDefault="00A628A4" w:rsidP="00A15C89">
            <w:pPr>
              <w:spacing w:before="120" w:after="120"/>
              <w:jc w:val="center"/>
              <w:rPr>
                <w:color w:val="000000"/>
                <w:sz w:val="20"/>
                <w:szCs w:val="20"/>
              </w:rPr>
            </w:pPr>
          </w:p>
        </w:tc>
        <w:tc>
          <w:tcPr>
            <w:tcW w:w="3269" w:type="pct"/>
            <w:vAlign w:val="center"/>
          </w:tcPr>
          <w:p w14:paraId="5BCEF156"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BA6414">
              <w:rPr>
                <w:b/>
                <w:color w:val="000000" w:themeColor="text1"/>
                <w:sz w:val="20"/>
                <w:szCs w:val="20"/>
              </w:rPr>
              <w:t>IZ RPO WSL w kryteriach wyboru Funduszu Rozwoju Obszarów Miejskich w ramach Inicjatywy JESSICA w województwie śląskim wprowadziła komplementarność, której celem jest rewitalizacja społeczna</w:t>
            </w:r>
          </w:p>
          <w:p w14:paraId="2D0D6834"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BA6414">
              <w:rPr>
                <w:color w:val="000000" w:themeColor="text1"/>
                <w:sz w:val="20"/>
                <w:szCs w:val="20"/>
              </w:rPr>
              <w:lastRenderedPageBreak/>
              <w:t xml:space="preserve">W kryterium dotyczącym portfela projektów zostało wprowadzone podkryterium: </w:t>
            </w:r>
            <w:r w:rsidRPr="00BA6414">
              <w:rPr>
                <w:i/>
                <w:color w:val="000000" w:themeColor="text1"/>
                <w:sz w:val="20"/>
                <w:szCs w:val="20"/>
              </w:rPr>
              <w:t>społeczny charakter poszczególnych projektów</w:t>
            </w:r>
            <w:r w:rsidRPr="00BA6414">
              <w:rPr>
                <w:color w:val="000000" w:themeColor="text1"/>
                <w:sz w:val="20"/>
                <w:szCs w:val="20"/>
              </w:rPr>
              <w:t>. Wnioskodawca powinien udowodnić, że przynajmniej część Projektów Miejskich dostarczy rozwiązań problemów społeczności lokalnej, mających na celu integrację społeczną oraz zapewnienie komplementarności z projektami zrealizowanymi, których celem jest rewitalizacja społeczna.</w:t>
            </w:r>
          </w:p>
        </w:tc>
        <w:tc>
          <w:tcPr>
            <w:tcW w:w="901" w:type="pct"/>
            <w:vMerge/>
            <w:vAlign w:val="center"/>
          </w:tcPr>
          <w:p w14:paraId="7663654F" w14:textId="77777777" w:rsidR="00A628A4" w:rsidRPr="00BA6414" w:rsidRDefault="00A628A4" w:rsidP="00A15C89">
            <w:pPr>
              <w:spacing w:before="120" w:after="12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A628A4" w:rsidRPr="00BA6414" w14:paraId="4AC7207A" w14:textId="77777777" w:rsidTr="003672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0" w:type="pct"/>
            <w:vMerge/>
            <w:vAlign w:val="center"/>
          </w:tcPr>
          <w:p w14:paraId="52750799" w14:textId="77777777" w:rsidR="00A628A4" w:rsidRPr="00BA6414" w:rsidRDefault="00A628A4" w:rsidP="00A15C89">
            <w:pPr>
              <w:spacing w:before="120" w:after="120"/>
              <w:jc w:val="center"/>
              <w:rPr>
                <w:color w:val="000000" w:themeColor="text1"/>
                <w:sz w:val="20"/>
                <w:szCs w:val="20"/>
              </w:rPr>
            </w:pPr>
          </w:p>
        </w:tc>
        <w:tc>
          <w:tcPr>
            <w:tcW w:w="3269" w:type="pct"/>
            <w:vAlign w:val="center"/>
          </w:tcPr>
          <w:p w14:paraId="6EB14F0C"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BA6414">
              <w:rPr>
                <w:b/>
                <w:color w:val="000000" w:themeColor="text1"/>
                <w:sz w:val="20"/>
                <w:szCs w:val="20"/>
              </w:rPr>
              <w:t>Projekty systemowe realizowane w ramach PO KL</w:t>
            </w:r>
          </w:p>
          <w:p w14:paraId="233270BA"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color w:val="000000" w:themeColor="text1"/>
                <w:sz w:val="20"/>
                <w:szCs w:val="20"/>
              </w:rPr>
              <w:t xml:space="preserve">W latach 2011 - 2012 zrealizowano projekt systemowy w ramach poddziałania 8.1.4 Programu Operacyjnego Kapitał Ludzki pn. </w:t>
            </w:r>
            <w:r w:rsidRPr="00BA6414">
              <w:rPr>
                <w:i/>
                <w:color w:val="000000" w:themeColor="text1"/>
                <w:sz w:val="20"/>
                <w:szCs w:val="20"/>
              </w:rPr>
              <w:t>Atrakcyjność regionalnego rynku pracy – analiza, ocena i pożądane zmiany w kontekście zachodzących trendów rozwojowych i prognozowanych zmian społeczno gospodarczych</w:t>
            </w:r>
            <w:r w:rsidRPr="00BA6414">
              <w:rPr>
                <w:color w:val="000000" w:themeColor="text1"/>
                <w:sz w:val="20"/>
                <w:szCs w:val="20"/>
              </w:rPr>
              <w:t>.</w:t>
            </w:r>
          </w:p>
          <w:p w14:paraId="611B62AA"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color w:val="000000" w:themeColor="text1"/>
                <w:sz w:val="20"/>
                <w:szCs w:val="20"/>
              </w:rPr>
              <w:t>Celem projektu było dostarczenie wiedzy przedstawicielom instytucji kształtujących sytuację na regionalnym rynku pracy w obszarach dotyczących mechanizmów aktywizacji zawodowej osób znajdujących się w trudnej sytuacji na rynku pracy, przystosowania ofert szkoleniowych oraz prowadzonych inwestycji w zakresie kształcenia ustawicznego do potrzeb rynku pracy oraz wsparcia dla rozwoju przedsiębiorczości w województwie śląskim.</w:t>
            </w:r>
          </w:p>
          <w:p w14:paraId="72A4FE74"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sz w:val="20"/>
                <w:szCs w:val="20"/>
              </w:rPr>
              <w:t>Wyniki badań w postaci raportów zostały udostępnione na stronie internetowej projektu, a także opublikowane w postaci książkowej. Ponadto, w celu przedstawienia wyników badań oraz podsumowania realizacji projektu, 14 grudnia 2012 r. została zorganizowana konferencja. Wyniki badań posłużą instytucjom rynku pracy oraz przedsiębiorcom, a także stanowić będą cenne źródło informacji podczas przygotowywania programów / zintegrowanego programu w kolejnej perspektywie finansowej 2014+. Zrealizowane badania pozwolą instytucjom zarządzającym na określenie priorytetowych działań w obszarze rynku pracy i na właściwe koncentrowanie środków.</w:t>
            </w:r>
          </w:p>
        </w:tc>
        <w:tc>
          <w:tcPr>
            <w:tcW w:w="901" w:type="pct"/>
            <w:vAlign w:val="center"/>
          </w:tcPr>
          <w:p w14:paraId="3EC29B28" w14:textId="77777777" w:rsidR="00A628A4" w:rsidRPr="00BA6414" w:rsidRDefault="00A628A4" w:rsidP="00A15C89">
            <w:pPr>
              <w:spacing w:before="120" w:after="120"/>
              <w:ind w:right="288"/>
              <w:cnfStyle w:val="000000100000" w:firstRow="0" w:lastRow="0" w:firstColumn="0" w:lastColumn="0" w:oddVBand="0" w:evenVBand="0" w:oddHBand="1" w:evenHBand="0" w:firstRowFirstColumn="0" w:firstRowLastColumn="0" w:lastRowFirstColumn="0" w:lastRowLastColumn="0"/>
              <w:rPr>
                <w:b/>
                <w:i/>
                <w:sz w:val="20"/>
                <w:szCs w:val="20"/>
              </w:rPr>
            </w:pPr>
            <w:r w:rsidRPr="00BA6414">
              <w:rPr>
                <w:b/>
                <w:i/>
                <w:sz w:val="20"/>
                <w:szCs w:val="20"/>
              </w:rPr>
              <w:t>Wykorzystanie projektów systemowych</w:t>
            </w:r>
          </w:p>
        </w:tc>
      </w:tr>
      <w:tr w:rsidR="00A628A4" w:rsidRPr="00BA6414" w14:paraId="35772090" w14:textId="77777777" w:rsidTr="00367271">
        <w:trPr>
          <w:jc w:val="center"/>
        </w:trPr>
        <w:tc>
          <w:tcPr>
            <w:cnfStyle w:val="001000000000" w:firstRow="0" w:lastRow="0" w:firstColumn="1" w:lastColumn="0" w:oddVBand="0" w:evenVBand="0" w:oddHBand="0" w:evenHBand="0" w:firstRowFirstColumn="0" w:firstRowLastColumn="0" w:lastRowFirstColumn="0" w:lastRowLastColumn="0"/>
            <w:tcW w:w="830" w:type="pct"/>
            <w:vMerge w:val="restart"/>
            <w:vAlign w:val="center"/>
          </w:tcPr>
          <w:p w14:paraId="5435C515" w14:textId="77777777" w:rsidR="00A628A4" w:rsidRPr="00BA6414" w:rsidRDefault="00A628A4" w:rsidP="00A15C89">
            <w:pPr>
              <w:spacing w:before="120" w:after="120"/>
              <w:rPr>
                <w:color w:val="000000"/>
                <w:sz w:val="20"/>
                <w:szCs w:val="20"/>
              </w:rPr>
            </w:pPr>
            <w:r w:rsidRPr="00BA6414">
              <w:rPr>
                <w:color w:val="000000"/>
                <w:sz w:val="20"/>
                <w:szCs w:val="20"/>
              </w:rPr>
              <w:t>Rola systemu instytucjonalnego w zapewnianiu komplementarności /komplementarność instytucjonalna</w:t>
            </w:r>
          </w:p>
        </w:tc>
        <w:tc>
          <w:tcPr>
            <w:tcW w:w="3269" w:type="pct"/>
            <w:vAlign w:val="center"/>
          </w:tcPr>
          <w:p w14:paraId="2DD68B86"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BA6414">
              <w:rPr>
                <w:b/>
                <w:color w:val="000000" w:themeColor="text1"/>
                <w:sz w:val="20"/>
                <w:szCs w:val="20"/>
              </w:rPr>
              <w:t>Komplementarność i koordynacja na poziomie NSRO</w:t>
            </w:r>
          </w:p>
          <w:p w14:paraId="1AB365CE"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sz w:val="20"/>
                <w:szCs w:val="20"/>
              </w:rPr>
            </w:pPr>
            <w:r w:rsidRPr="00BA6414">
              <w:rPr>
                <w:color w:val="000000" w:themeColor="text1"/>
                <w:sz w:val="20"/>
                <w:szCs w:val="20"/>
              </w:rPr>
              <w:t>Na poziomie krajowym koordynacja pomiędzy instrumentami finansowymi UE Polityki Spójności, Wspólnej Polityki Rolnej oraz Wspólnej Polityki Rybackiej (EFRR, EFS, FS, EFRROW, EFR) jest monitorowana i usprawniana w ramach prac Komitetu Koordynacyjnego NSRO 2007-2013.</w:t>
            </w:r>
            <w:r w:rsidRPr="00BA6414">
              <w:rPr>
                <w:sz w:val="20"/>
                <w:szCs w:val="20"/>
              </w:rPr>
              <w:t xml:space="preserve"> W okresie sprawozdawczym przedstawiciel IZ RPO WSL brał czynny udział w konsultacjach definicji „komplementarności” </w:t>
            </w:r>
            <w:r w:rsidRPr="00BA6414">
              <w:rPr>
                <w:i/>
                <w:iCs/>
                <w:sz w:val="20"/>
                <w:szCs w:val="20"/>
              </w:rPr>
              <w:t xml:space="preserve">Grupy roboczej ds. koordynacji i komplementarności przy Komitecie Koordynacyjnym Narodowe Strategiczne Ramy Odniesienia na lata 2007-2013. </w:t>
            </w:r>
            <w:r w:rsidRPr="00BA6414">
              <w:rPr>
                <w:iCs/>
                <w:sz w:val="20"/>
                <w:szCs w:val="20"/>
              </w:rPr>
              <w:t>Definicja została zatwierdzona przez Komitet Koordynacyjny Narodowe Strategiczne Ramy Odniesienia na lata 2007 -2013 dnia 22 marca 2012 (Uchwała KK NSRO nr 64).</w:t>
            </w:r>
          </w:p>
        </w:tc>
        <w:tc>
          <w:tcPr>
            <w:tcW w:w="901" w:type="pct"/>
            <w:vAlign w:val="center"/>
          </w:tcPr>
          <w:p w14:paraId="6F55464E"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b/>
                <w:i/>
                <w:sz w:val="20"/>
                <w:szCs w:val="20"/>
              </w:rPr>
            </w:pPr>
            <w:r w:rsidRPr="00BA6414">
              <w:rPr>
                <w:b/>
                <w:i/>
                <w:sz w:val="20"/>
                <w:szCs w:val="20"/>
              </w:rPr>
              <w:t>Zapewnienie skutecznej               i efektywnej komunikacji/ zdefiniowanie pojęć</w:t>
            </w:r>
          </w:p>
        </w:tc>
      </w:tr>
      <w:tr w:rsidR="00A628A4" w:rsidRPr="00BA6414" w14:paraId="52E74FF9" w14:textId="77777777" w:rsidTr="003672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0" w:type="pct"/>
            <w:vMerge/>
            <w:vAlign w:val="center"/>
          </w:tcPr>
          <w:p w14:paraId="36290277" w14:textId="77777777" w:rsidR="00A628A4" w:rsidRPr="00BA6414" w:rsidRDefault="00A628A4" w:rsidP="00A15C89">
            <w:pPr>
              <w:spacing w:before="120" w:after="120"/>
              <w:jc w:val="center"/>
              <w:rPr>
                <w:color w:val="000000"/>
                <w:sz w:val="20"/>
                <w:szCs w:val="20"/>
              </w:rPr>
            </w:pPr>
          </w:p>
        </w:tc>
        <w:tc>
          <w:tcPr>
            <w:tcW w:w="3269" w:type="pct"/>
            <w:vAlign w:val="center"/>
          </w:tcPr>
          <w:p w14:paraId="5E505403"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BA6414">
              <w:rPr>
                <w:b/>
                <w:color w:val="000000" w:themeColor="text1"/>
                <w:sz w:val="20"/>
                <w:szCs w:val="20"/>
              </w:rPr>
              <w:t>Komplementarność i koordynacja na poziomie Urzędu Marszałkowskiego</w:t>
            </w:r>
          </w:p>
          <w:p w14:paraId="4AB3ED8D"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sz w:val="20"/>
                <w:szCs w:val="20"/>
              </w:rPr>
              <w:t xml:space="preserve">Koncentracja w Urzędzie Marszałkowskim Województwa Śląskiego IZ RPO WSL, Instytucji Pośredniczącej komponentu regionalnego PO KL, EWT oraz Instytucji Wdrażającej niektóre działania PROW, sprzyja </w:t>
            </w:r>
            <w:r w:rsidR="00E06E83" w:rsidRPr="00BA6414">
              <w:rPr>
                <w:sz w:val="20"/>
                <w:szCs w:val="20"/>
              </w:rPr>
              <w:t xml:space="preserve">osiągnięciu </w:t>
            </w:r>
            <w:r w:rsidRPr="00BA6414">
              <w:rPr>
                <w:sz w:val="20"/>
                <w:szCs w:val="20"/>
              </w:rPr>
              <w:t>skutecznej i efektywnej komunikacji, która pozwala na optymalizację wdrażania wszystkich programów (rekomendacja grupy roboczej ds. koordynacji i komplementarności)</w:t>
            </w:r>
            <w:r w:rsidR="00E06E83" w:rsidRPr="00BA6414">
              <w:rPr>
                <w:sz w:val="20"/>
                <w:szCs w:val="20"/>
              </w:rPr>
              <w:t>. Ponadto zapobieganiu podwójnemu finansowaniu.</w:t>
            </w:r>
          </w:p>
        </w:tc>
        <w:tc>
          <w:tcPr>
            <w:tcW w:w="901" w:type="pct"/>
            <w:vMerge w:val="restart"/>
            <w:vAlign w:val="center"/>
          </w:tcPr>
          <w:p w14:paraId="73AD1ABA" w14:textId="77777777" w:rsidR="004B55E9"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b/>
                <w:i/>
                <w:sz w:val="20"/>
                <w:szCs w:val="20"/>
              </w:rPr>
            </w:pPr>
            <w:r w:rsidRPr="00BA6414">
              <w:rPr>
                <w:b/>
                <w:i/>
                <w:sz w:val="20"/>
                <w:szCs w:val="20"/>
              </w:rPr>
              <w:t>Zapewnienie skutecznej               i efektywnej komunikacji</w:t>
            </w:r>
          </w:p>
        </w:tc>
      </w:tr>
      <w:tr w:rsidR="00A628A4" w:rsidRPr="00BA6414" w14:paraId="152EA2ED" w14:textId="77777777" w:rsidTr="00367271">
        <w:trPr>
          <w:jc w:val="center"/>
        </w:trPr>
        <w:tc>
          <w:tcPr>
            <w:cnfStyle w:val="001000000000" w:firstRow="0" w:lastRow="0" w:firstColumn="1" w:lastColumn="0" w:oddVBand="0" w:evenVBand="0" w:oddHBand="0" w:evenHBand="0" w:firstRowFirstColumn="0" w:firstRowLastColumn="0" w:lastRowFirstColumn="0" w:lastRowLastColumn="0"/>
            <w:tcW w:w="830" w:type="pct"/>
            <w:vMerge/>
            <w:vAlign w:val="center"/>
          </w:tcPr>
          <w:p w14:paraId="0EF3EDC9" w14:textId="77777777" w:rsidR="00A628A4" w:rsidRPr="00BA6414" w:rsidRDefault="00A628A4" w:rsidP="00A15C89">
            <w:pPr>
              <w:spacing w:before="120" w:after="120"/>
              <w:jc w:val="center"/>
              <w:rPr>
                <w:color w:val="000000"/>
                <w:sz w:val="20"/>
                <w:szCs w:val="20"/>
              </w:rPr>
            </w:pPr>
          </w:p>
        </w:tc>
        <w:tc>
          <w:tcPr>
            <w:tcW w:w="3269" w:type="pct"/>
            <w:vAlign w:val="center"/>
          </w:tcPr>
          <w:p w14:paraId="3EF5E1D4" w14:textId="77777777"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BA6414">
              <w:rPr>
                <w:b/>
                <w:color w:val="000000" w:themeColor="text1"/>
                <w:sz w:val="20"/>
                <w:szCs w:val="20"/>
              </w:rPr>
              <w:t>Komplementarność i koordynacja na poziomie Komitetu Monitorującego</w:t>
            </w:r>
          </w:p>
          <w:p w14:paraId="79E5697D" w14:textId="75E6FEE6" w:rsidR="00A628A4" w:rsidRPr="00BA6414" w:rsidRDefault="00A628A4" w:rsidP="00A15C89">
            <w:pPr>
              <w:spacing w:before="120" w:after="120"/>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BA6414">
              <w:rPr>
                <w:color w:val="000000" w:themeColor="text1"/>
                <w:sz w:val="20"/>
                <w:szCs w:val="20"/>
              </w:rPr>
              <w:t xml:space="preserve">Jednym z narzędzi zapewnienia komplementarności działań współfinansowanych z Europejskiego Funduszu Rozwoju Regionalnego z przedsięwzięciami współfinansowanymi z innych środków wspólnotowych w Województwie Śląskim są prace Komitetu Monitorującego RPO WSL, w </w:t>
            </w:r>
            <w:r w:rsidR="00DA21DF" w:rsidRPr="00BA6414">
              <w:rPr>
                <w:color w:val="000000" w:themeColor="text1"/>
                <w:sz w:val="20"/>
                <w:szCs w:val="20"/>
              </w:rPr>
              <w:t>skład którego</w:t>
            </w:r>
            <w:r w:rsidRPr="00BA6414">
              <w:rPr>
                <w:color w:val="000000" w:themeColor="text1"/>
                <w:sz w:val="20"/>
                <w:szCs w:val="20"/>
              </w:rPr>
              <w:t xml:space="preserve"> wchodzą m.in. przedstawiciele Instytucji Wdrażającej niektóre działania PROW, a także Instytucji Pośredniczącej Programu Operacyjnego Kapitał Ludzki. Równocześnie w pracach Podkomitetu Monitorującego Instytucji Pośredniczącej Programu Operacyjnego Kapitał Ludzki uczestniczy przedstawiciel Instytucji Zarządzającej RPO WSL, co sprzyja ko</w:t>
            </w:r>
            <w:r w:rsidR="00DA21DF">
              <w:rPr>
                <w:color w:val="000000" w:themeColor="text1"/>
                <w:sz w:val="20"/>
                <w:szCs w:val="20"/>
              </w:rPr>
              <w:t xml:space="preserve">mpleksowej koordynacji działań </w:t>
            </w:r>
            <w:r w:rsidRPr="00BA6414">
              <w:rPr>
                <w:color w:val="000000" w:themeColor="text1"/>
                <w:sz w:val="20"/>
                <w:szCs w:val="20"/>
              </w:rPr>
              <w:t>w zakresie wdrażania i monitorowania projektów wybieranych oraz realizowanych w województwie śląskim.</w:t>
            </w:r>
          </w:p>
        </w:tc>
        <w:tc>
          <w:tcPr>
            <w:tcW w:w="901" w:type="pct"/>
            <w:vMerge/>
            <w:vAlign w:val="center"/>
          </w:tcPr>
          <w:p w14:paraId="710CDAB1" w14:textId="77777777" w:rsidR="00A628A4" w:rsidRPr="00BA6414" w:rsidRDefault="00A628A4" w:rsidP="00A15C89">
            <w:pPr>
              <w:spacing w:before="120" w:after="12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A628A4" w:rsidRPr="00BA6414" w14:paraId="055F12C0" w14:textId="77777777" w:rsidTr="003672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0" w:type="pct"/>
            <w:vMerge/>
            <w:vAlign w:val="center"/>
          </w:tcPr>
          <w:p w14:paraId="392D23DB" w14:textId="77777777" w:rsidR="00A628A4" w:rsidRPr="00BA6414" w:rsidRDefault="00A628A4" w:rsidP="00A15C89">
            <w:pPr>
              <w:spacing w:before="120" w:after="120"/>
              <w:jc w:val="center"/>
              <w:rPr>
                <w:color w:val="000000"/>
                <w:sz w:val="20"/>
                <w:szCs w:val="20"/>
              </w:rPr>
            </w:pPr>
          </w:p>
        </w:tc>
        <w:tc>
          <w:tcPr>
            <w:tcW w:w="3269" w:type="pct"/>
            <w:vAlign w:val="center"/>
          </w:tcPr>
          <w:p w14:paraId="13C56686"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BA6414">
              <w:rPr>
                <w:b/>
                <w:color w:val="000000" w:themeColor="text1"/>
                <w:sz w:val="20"/>
                <w:szCs w:val="20"/>
              </w:rPr>
              <w:t>Grupa robocza ds. partnerstwa społeczno – gospodarczego</w:t>
            </w:r>
          </w:p>
          <w:p w14:paraId="16FACD9E" w14:textId="77777777" w:rsidR="00A628A4" w:rsidRPr="00BA6414" w:rsidRDefault="00A628A4" w:rsidP="00A15C89">
            <w:pPr>
              <w:spacing w:before="120" w:after="120"/>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BA6414">
              <w:rPr>
                <w:sz w:val="20"/>
                <w:szCs w:val="20"/>
              </w:rPr>
              <w:t>Powołana 20 lipca 2011r., przez IZ RPO WSL, utworzona przy Komitecie Monitorującym RPO WSL między innymi w związku z przygotowaniami do nowego okresu programowania. Na spotkaniach Grupy poruszane są tematy dotyczące wdrażania funduszy strukturalnych</w:t>
            </w:r>
            <w:r w:rsidRPr="00BA6414">
              <w:rPr>
                <w:color w:val="000000" w:themeColor="text1"/>
                <w:sz w:val="20"/>
                <w:szCs w:val="20"/>
              </w:rPr>
              <w:t>.</w:t>
            </w:r>
          </w:p>
        </w:tc>
        <w:tc>
          <w:tcPr>
            <w:tcW w:w="901" w:type="pct"/>
            <w:vMerge/>
            <w:vAlign w:val="center"/>
          </w:tcPr>
          <w:p w14:paraId="2EAEDCF3" w14:textId="77777777" w:rsidR="00A628A4" w:rsidRPr="00BA6414" w:rsidRDefault="00A628A4" w:rsidP="00A15C89">
            <w:pPr>
              <w:spacing w:before="120" w:after="120"/>
              <w:jc w:val="center"/>
              <w:cnfStyle w:val="000000100000" w:firstRow="0" w:lastRow="0" w:firstColumn="0" w:lastColumn="0" w:oddVBand="0" w:evenVBand="0" w:oddHBand="1" w:evenHBand="0" w:firstRowFirstColumn="0" w:firstRowLastColumn="0" w:lastRowFirstColumn="0" w:lastRowLastColumn="0"/>
              <w:rPr>
                <w:sz w:val="20"/>
                <w:szCs w:val="20"/>
              </w:rPr>
            </w:pPr>
          </w:p>
        </w:tc>
      </w:tr>
    </w:tbl>
    <w:p w14:paraId="2B5EF345" w14:textId="77777777" w:rsidR="00A628A4" w:rsidRPr="0094320D" w:rsidRDefault="00A628A4" w:rsidP="0094320D">
      <w:pPr>
        <w:jc w:val="both"/>
        <w:rPr>
          <w:szCs w:val="24"/>
        </w:rPr>
      </w:pPr>
    </w:p>
    <w:p w14:paraId="74A75549" w14:textId="77777777" w:rsidR="00A628A4" w:rsidRPr="0094320D" w:rsidRDefault="00A628A4" w:rsidP="0094320D">
      <w:pPr>
        <w:jc w:val="both"/>
        <w:rPr>
          <w:szCs w:val="24"/>
        </w:rPr>
      </w:pPr>
      <w:r w:rsidRPr="0094320D">
        <w:rPr>
          <w:szCs w:val="24"/>
        </w:rPr>
        <w:br w:type="page"/>
      </w:r>
    </w:p>
    <w:bookmarkEnd w:id="209"/>
    <w:bookmarkEnd w:id="210"/>
    <w:bookmarkEnd w:id="211"/>
    <w:p w14:paraId="527FCCB3" w14:textId="77777777" w:rsidR="00A628A4" w:rsidRPr="0094320D" w:rsidRDefault="00A628A4" w:rsidP="0094320D">
      <w:pPr>
        <w:pStyle w:val="Nagwek1"/>
        <w:numPr>
          <w:ilvl w:val="0"/>
          <w:numId w:val="0"/>
        </w:numPr>
        <w:tabs>
          <w:tab w:val="left" w:pos="1560"/>
        </w:tabs>
        <w:spacing w:after="120"/>
        <w:ind w:left="432" w:hanging="432"/>
        <w:jc w:val="both"/>
        <w:rPr>
          <w:szCs w:val="24"/>
        </w:rPr>
        <w:sectPr w:rsidR="00A628A4" w:rsidRPr="0094320D" w:rsidSect="00832C38">
          <w:endnotePr>
            <w:numFmt w:val="decimal"/>
          </w:endnotePr>
          <w:pgSz w:w="16838" w:h="11906" w:orient="landscape"/>
          <w:pgMar w:top="1418" w:right="1418" w:bottom="1418" w:left="1418" w:header="0" w:footer="726" w:gutter="0"/>
          <w:cols w:space="708"/>
          <w:noEndnote/>
          <w:titlePg/>
          <w:docGrid w:linePitch="326"/>
        </w:sectPr>
      </w:pPr>
    </w:p>
    <w:p w14:paraId="0BDCE08C" w14:textId="77777777" w:rsidR="00511D73" w:rsidRPr="0094320D" w:rsidRDefault="00511D73" w:rsidP="0094320D">
      <w:pPr>
        <w:spacing w:after="0"/>
        <w:jc w:val="both"/>
        <w:rPr>
          <w:szCs w:val="24"/>
        </w:rPr>
      </w:pPr>
      <w:r w:rsidRPr="0094320D">
        <w:rPr>
          <w:szCs w:val="24"/>
        </w:rPr>
        <w:lastRenderedPageBreak/>
        <w:t xml:space="preserve">Przykłady projektów komplementarnych realizowanych w ramach RPO WSL i innych programów operacyjnych wraz z opisem znajdują się w załączniku nr XI do niniejszego </w:t>
      </w:r>
      <w:r w:rsidRPr="0094320D">
        <w:rPr>
          <w:i/>
          <w:szCs w:val="24"/>
        </w:rPr>
        <w:t>Sprawozdania</w:t>
      </w:r>
      <w:r w:rsidRPr="0094320D">
        <w:rPr>
          <w:szCs w:val="24"/>
        </w:rPr>
        <w:t xml:space="preserve">. </w:t>
      </w:r>
    </w:p>
    <w:p w14:paraId="339F1574" w14:textId="7C15F00B" w:rsidR="00511D73" w:rsidRPr="0094320D" w:rsidRDefault="00511D73" w:rsidP="0094320D">
      <w:pPr>
        <w:spacing w:after="120"/>
        <w:jc w:val="both"/>
        <w:rPr>
          <w:szCs w:val="24"/>
        </w:rPr>
      </w:pPr>
      <w:r w:rsidRPr="0094320D">
        <w:rPr>
          <w:szCs w:val="24"/>
        </w:rPr>
        <w:t>Większość realiz</w:t>
      </w:r>
      <w:r w:rsidR="00A15C89">
        <w:rPr>
          <w:szCs w:val="24"/>
        </w:rPr>
        <w:t>owanych projektów charakteryzowała</w:t>
      </w:r>
      <w:r w:rsidRPr="0094320D">
        <w:rPr>
          <w:szCs w:val="24"/>
        </w:rPr>
        <w:t xml:space="preserve"> się komplementarnością wewnątrz-funduszową, </w:t>
      </w:r>
      <w:r w:rsidR="00A15C89">
        <w:rPr>
          <w:szCs w:val="24"/>
        </w:rPr>
        <w:t>w ramach której</w:t>
      </w:r>
      <w:r w:rsidRPr="0094320D">
        <w:rPr>
          <w:szCs w:val="24"/>
        </w:rPr>
        <w:t xml:space="preserve"> podejmowane</w:t>
      </w:r>
      <w:r w:rsidR="00A15C89">
        <w:rPr>
          <w:szCs w:val="24"/>
        </w:rPr>
        <w:t xml:space="preserve"> były</w:t>
      </w:r>
      <w:r w:rsidR="0090464C">
        <w:rPr>
          <w:szCs w:val="24"/>
        </w:rPr>
        <w:t xml:space="preserve"> działania uzupełniające</w:t>
      </w:r>
      <w:r w:rsidRPr="0094320D">
        <w:rPr>
          <w:szCs w:val="24"/>
        </w:rPr>
        <w:t xml:space="preserve"> się w ramach finansowania z jednego funduszu (EFRR).</w:t>
      </w:r>
    </w:p>
    <w:p w14:paraId="7906DEA0" w14:textId="68432578" w:rsidR="00511D73" w:rsidRPr="0094320D" w:rsidRDefault="00511D73" w:rsidP="0094320D">
      <w:pPr>
        <w:spacing w:after="120"/>
        <w:jc w:val="both"/>
        <w:rPr>
          <w:szCs w:val="24"/>
        </w:rPr>
      </w:pPr>
      <w:r w:rsidRPr="0094320D">
        <w:rPr>
          <w:szCs w:val="24"/>
        </w:rPr>
        <w:t>Bardzo rzadko pojawia</w:t>
      </w:r>
      <w:r w:rsidR="0090464C">
        <w:rPr>
          <w:szCs w:val="24"/>
        </w:rPr>
        <w:t>ła</w:t>
      </w:r>
      <w:r w:rsidRPr="0094320D">
        <w:rPr>
          <w:szCs w:val="24"/>
        </w:rPr>
        <w:t xml:space="preserve"> się komplementarność międzyprogram</w:t>
      </w:r>
      <w:r w:rsidR="002C6E5F">
        <w:rPr>
          <w:szCs w:val="24"/>
        </w:rPr>
        <w:t xml:space="preserve">owa, głównie związane </w:t>
      </w:r>
      <w:r w:rsidR="0090464C">
        <w:rPr>
          <w:szCs w:val="24"/>
        </w:rPr>
        <w:t>było</w:t>
      </w:r>
      <w:r w:rsidR="002C6E5F">
        <w:rPr>
          <w:szCs w:val="24"/>
        </w:rPr>
        <w:t xml:space="preserve"> to z </w:t>
      </w:r>
      <w:r w:rsidRPr="0094320D">
        <w:rPr>
          <w:szCs w:val="24"/>
        </w:rPr>
        <w:t>faktem, iż każdy program był wdrażany w innym te</w:t>
      </w:r>
      <w:r w:rsidR="0090464C">
        <w:rPr>
          <w:szCs w:val="24"/>
        </w:rPr>
        <w:t>mpie, konkursy były ogłaszane w </w:t>
      </w:r>
      <w:r w:rsidRPr="0094320D">
        <w:rPr>
          <w:szCs w:val="24"/>
        </w:rPr>
        <w:t>różn</w:t>
      </w:r>
      <w:r w:rsidR="00F30DF3">
        <w:rPr>
          <w:szCs w:val="24"/>
        </w:rPr>
        <w:t>ych terminach i często nie</w:t>
      </w:r>
      <w:r w:rsidRPr="0094320D">
        <w:rPr>
          <w:szCs w:val="24"/>
        </w:rPr>
        <w:t xml:space="preserve">możliwe </w:t>
      </w:r>
      <w:r w:rsidR="00F30DF3">
        <w:rPr>
          <w:szCs w:val="24"/>
        </w:rPr>
        <w:t>było</w:t>
      </w:r>
      <w:r w:rsidR="00F30DF3" w:rsidRPr="0094320D">
        <w:rPr>
          <w:szCs w:val="24"/>
        </w:rPr>
        <w:t xml:space="preserve"> </w:t>
      </w:r>
      <w:r w:rsidR="003E6675">
        <w:rPr>
          <w:szCs w:val="24"/>
        </w:rPr>
        <w:t>pogodzenie realizacji projektów</w:t>
      </w:r>
      <w:r w:rsidR="0090464C">
        <w:rPr>
          <w:szCs w:val="24"/>
        </w:rPr>
        <w:t>. Jednym z </w:t>
      </w:r>
      <w:r w:rsidRPr="0094320D">
        <w:rPr>
          <w:szCs w:val="24"/>
        </w:rPr>
        <w:t>przykła</w:t>
      </w:r>
      <w:r w:rsidR="003E6675">
        <w:rPr>
          <w:szCs w:val="24"/>
        </w:rPr>
        <w:t>dów przedsięwzięć międzyprogramowych</w:t>
      </w:r>
      <w:r w:rsidRPr="0094320D">
        <w:rPr>
          <w:szCs w:val="24"/>
        </w:rPr>
        <w:t xml:space="preserve"> </w:t>
      </w:r>
      <w:r w:rsidR="0090464C">
        <w:rPr>
          <w:szCs w:val="24"/>
        </w:rPr>
        <w:t>był</w:t>
      </w:r>
      <w:r w:rsidRPr="0094320D">
        <w:rPr>
          <w:szCs w:val="24"/>
        </w:rPr>
        <w:t xml:space="preserve"> </w:t>
      </w:r>
      <w:r w:rsidR="00B76547" w:rsidRPr="0094320D">
        <w:rPr>
          <w:szCs w:val="24"/>
        </w:rPr>
        <w:t>projekt, który</w:t>
      </w:r>
      <w:r w:rsidRPr="0094320D">
        <w:rPr>
          <w:szCs w:val="24"/>
        </w:rPr>
        <w:t xml:space="preserve"> z EFRR otrzymał dofinansowanie na wybudowanie sali gimnastycznej, co przyczyni</w:t>
      </w:r>
      <w:r w:rsidR="0090464C">
        <w:rPr>
          <w:szCs w:val="24"/>
        </w:rPr>
        <w:t>ło</w:t>
      </w:r>
      <w:r w:rsidRPr="0094320D">
        <w:rPr>
          <w:szCs w:val="24"/>
        </w:rPr>
        <w:t xml:space="preserve"> się do poprawy </w:t>
      </w:r>
      <w:r w:rsidR="0090464C">
        <w:rPr>
          <w:szCs w:val="24"/>
        </w:rPr>
        <w:t>stanu zdrowia a tym samym wpływało</w:t>
      </w:r>
      <w:r w:rsidRPr="0094320D">
        <w:rPr>
          <w:szCs w:val="24"/>
        </w:rPr>
        <w:t xml:space="preserve"> na lepsze wyniki w nauce. Natomiast z EFS realizowane były działania, które pomagają uczniom w poprawie wyników nauki.</w:t>
      </w:r>
    </w:p>
    <w:p w14:paraId="17979803" w14:textId="77777777" w:rsidR="00511D73" w:rsidRPr="0094320D" w:rsidRDefault="008F0DFF" w:rsidP="0094320D">
      <w:pPr>
        <w:spacing w:before="100" w:beforeAutospacing="1" w:after="100" w:afterAutospacing="1"/>
        <w:jc w:val="both"/>
        <w:rPr>
          <w:b/>
          <w:szCs w:val="24"/>
        </w:rPr>
      </w:pPr>
      <w:r w:rsidRPr="0094320D">
        <w:rPr>
          <w:b/>
          <w:szCs w:val="24"/>
        </w:rPr>
        <w:t>Działania podjęte w celu wyeliminowania barier stojących na drodze do osiągnięcia komplementarności</w:t>
      </w:r>
      <w:bookmarkStart w:id="214" w:name="_Toc391466356"/>
    </w:p>
    <w:p w14:paraId="2DAF768B" w14:textId="46A2360A" w:rsidR="00662E45" w:rsidRPr="0094320D" w:rsidRDefault="00662E45" w:rsidP="0094320D">
      <w:pPr>
        <w:spacing w:before="100" w:beforeAutospacing="1" w:after="100" w:afterAutospacing="1"/>
        <w:jc w:val="both"/>
        <w:rPr>
          <w:b/>
          <w:szCs w:val="24"/>
        </w:rPr>
      </w:pPr>
      <w:r w:rsidRPr="0094320D">
        <w:rPr>
          <w:szCs w:val="24"/>
        </w:rPr>
        <w:t xml:space="preserve">Występowanie komplementarności </w:t>
      </w:r>
      <w:r w:rsidR="00B32D04">
        <w:rPr>
          <w:szCs w:val="24"/>
        </w:rPr>
        <w:t>było</w:t>
      </w:r>
      <w:r w:rsidRPr="0094320D">
        <w:rPr>
          <w:szCs w:val="24"/>
        </w:rPr>
        <w:t xml:space="preserve"> zjawiskiem pożądanym i z perspektywy rozwoju </w:t>
      </w:r>
      <w:r w:rsidR="00B32D04">
        <w:rPr>
          <w:szCs w:val="24"/>
        </w:rPr>
        <w:t>społecznego-gospodarczego należało</w:t>
      </w:r>
      <w:r w:rsidRPr="0094320D">
        <w:rPr>
          <w:szCs w:val="24"/>
        </w:rPr>
        <w:t xml:space="preserve"> je wspierać. Wsparcie to zachodzi</w:t>
      </w:r>
      <w:r w:rsidR="00B32D04">
        <w:rPr>
          <w:szCs w:val="24"/>
        </w:rPr>
        <w:t>ło</w:t>
      </w:r>
      <w:r w:rsidRPr="0094320D">
        <w:rPr>
          <w:szCs w:val="24"/>
        </w:rPr>
        <w:t xml:space="preserve"> na dwa sposoby</w:t>
      </w:r>
      <w:r w:rsidR="00AD6A7A">
        <w:rPr>
          <w:szCs w:val="24"/>
        </w:rPr>
        <w:t>:</w:t>
      </w:r>
      <w:r w:rsidRPr="0094320D">
        <w:rPr>
          <w:szCs w:val="24"/>
        </w:rPr>
        <w:t xml:space="preserve"> poprzez znoszenie barier realizacji projektów komplementarnych oraz poprzez tworzenie pozytywnych bodźców dla </w:t>
      </w:r>
      <w:r w:rsidR="00B15E47">
        <w:rPr>
          <w:szCs w:val="24"/>
        </w:rPr>
        <w:t>przedsięwzięć komplementarnych.</w:t>
      </w:r>
      <w:r w:rsidR="00B15E47" w:rsidRPr="0094320D">
        <w:rPr>
          <w:b/>
          <w:szCs w:val="24"/>
        </w:rPr>
        <w:t xml:space="preserve"> </w:t>
      </w:r>
    </w:p>
    <w:p w14:paraId="3F6388F7" w14:textId="77777777" w:rsidR="00662E45" w:rsidRPr="0094320D" w:rsidRDefault="00662E45" w:rsidP="0094320D">
      <w:pPr>
        <w:spacing w:after="0"/>
        <w:jc w:val="both"/>
        <w:rPr>
          <w:szCs w:val="24"/>
        </w:rPr>
      </w:pPr>
      <w:r w:rsidRPr="0094320D">
        <w:rPr>
          <w:szCs w:val="24"/>
        </w:rPr>
        <w:t>Działania podjęte w celu wyeliminowania barier w zakresie osiągnięcia komplementarności:</w:t>
      </w:r>
    </w:p>
    <w:p w14:paraId="688A36BB" w14:textId="77777777" w:rsidR="00662E45" w:rsidRPr="0094320D" w:rsidRDefault="00662E45" w:rsidP="004914D8">
      <w:pPr>
        <w:numPr>
          <w:ilvl w:val="0"/>
          <w:numId w:val="42"/>
        </w:numPr>
        <w:spacing w:after="0"/>
        <w:ind w:left="851"/>
        <w:jc w:val="both"/>
        <w:rPr>
          <w:szCs w:val="24"/>
        </w:rPr>
      </w:pPr>
      <w:r w:rsidRPr="0094320D">
        <w:rPr>
          <w:szCs w:val="24"/>
        </w:rPr>
        <w:t>podejście strategiczne do realizacji projektów tj. systematyczna realizacja określonej wizji rozwojowej,</w:t>
      </w:r>
    </w:p>
    <w:p w14:paraId="19629D52" w14:textId="77777777" w:rsidR="00662E45" w:rsidRPr="0094320D" w:rsidRDefault="00662E45" w:rsidP="004914D8">
      <w:pPr>
        <w:numPr>
          <w:ilvl w:val="0"/>
          <w:numId w:val="42"/>
        </w:numPr>
        <w:spacing w:after="0"/>
        <w:ind w:left="851"/>
        <w:jc w:val="both"/>
        <w:rPr>
          <w:szCs w:val="24"/>
        </w:rPr>
      </w:pPr>
      <w:r w:rsidRPr="0094320D">
        <w:rPr>
          <w:szCs w:val="24"/>
        </w:rPr>
        <w:t>wspieranie trwałości instytucjonalnej beneficjentów publicznych i prywatnych poprzez promowanie partnerstw,</w:t>
      </w:r>
    </w:p>
    <w:p w14:paraId="773A1027" w14:textId="77777777" w:rsidR="00662E45" w:rsidRPr="0094320D" w:rsidRDefault="00662E45" w:rsidP="004914D8">
      <w:pPr>
        <w:numPr>
          <w:ilvl w:val="0"/>
          <w:numId w:val="42"/>
        </w:numPr>
        <w:spacing w:after="0"/>
        <w:ind w:left="851"/>
        <w:jc w:val="both"/>
        <w:rPr>
          <w:szCs w:val="24"/>
        </w:rPr>
      </w:pPr>
      <w:r w:rsidRPr="0094320D">
        <w:rPr>
          <w:szCs w:val="24"/>
        </w:rPr>
        <w:t>jednoznaczne określenie zakresu pojęciowego znaczenia komplementarności, upowszechnianie go i promocja,</w:t>
      </w:r>
    </w:p>
    <w:p w14:paraId="098A9F4F" w14:textId="77777777" w:rsidR="00662E45" w:rsidRPr="0094320D" w:rsidRDefault="00662E45" w:rsidP="004914D8">
      <w:pPr>
        <w:numPr>
          <w:ilvl w:val="0"/>
          <w:numId w:val="42"/>
        </w:numPr>
        <w:spacing w:after="0"/>
        <w:ind w:left="851"/>
        <w:jc w:val="both"/>
        <w:rPr>
          <w:szCs w:val="24"/>
        </w:rPr>
      </w:pPr>
      <w:r w:rsidRPr="0094320D">
        <w:rPr>
          <w:szCs w:val="24"/>
        </w:rPr>
        <w:t>promowanie projektów wykazujących się szerszą wizją - w tym - na etapie oceny wniosków o dofinansowanie,</w:t>
      </w:r>
    </w:p>
    <w:p w14:paraId="260E45FC" w14:textId="77777777" w:rsidR="00662E45" w:rsidRPr="0094320D" w:rsidRDefault="00662E45" w:rsidP="004914D8">
      <w:pPr>
        <w:numPr>
          <w:ilvl w:val="0"/>
          <w:numId w:val="42"/>
        </w:numPr>
        <w:spacing w:after="0"/>
        <w:ind w:left="851"/>
        <w:jc w:val="both"/>
        <w:rPr>
          <w:szCs w:val="24"/>
        </w:rPr>
      </w:pPr>
      <w:r w:rsidRPr="0094320D">
        <w:rPr>
          <w:szCs w:val="24"/>
        </w:rPr>
        <w:t>określenie ram opisu komplementarności.</w:t>
      </w:r>
    </w:p>
    <w:p w14:paraId="6134A8B3" w14:textId="1B005E33" w:rsidR="00511D73" w:rsidRPr="009574D1" w:rsidRDefault="00271FE6" w:rsidP="00B32D04">
      <w:pPr>
        <w:pStyle w:val="Nagwek1"/>
        <w:numPr>
          <w:ilvl w:val="0"/>
          <w:numId w:val="0"/>
        </w:numPr>
        <w:spacing w:before="240" w:after="120"/>
        <w:ind w:left="431" w:hanging="431"/>
        <w:rPr>
          <w:b w:val="0"/>
          <w:szCs w:val="24"/>
        </w:rPr>
      </w:pPr>
      <w:bookmarkStart w:id="215" w:name="_Toc473117326"/>
      <w:bookmarkStart w:id="216" w:name="_Toc477779766"/>
      <w:r>
        <w:rPr>
          <w:rStyle w:val="Nagwek1Znak"/>
          <w:b/>
        </w:rPr>
        <w:t xml:space="preserve">2.6.1.2 </w:t>
      </w:r>
      <w:r w:rsidR="00EF2E9E" w:rsidRPr="009574D1">
        <w:rPr>
          <w:rStyle w:val="Nagwek1Znak"/>
          <w:b/>
        </w:rPr>
        <w:t>W świetle badań ewaluacyjnych</w:t>
      </w:r>
      <w:bookmarkEnd w:id="215"/>
      <w:bookmarkEnd w:id="216"/>
    </w:p>
    <w:p w14:paraId="0B4EBBC1" w14:textId="12615A48" w:rsidR="00844E6F" w:rsidRPr="00844E6F" w:rsidRDefault="00844E6F" w:rsidP="00B32D04">
      <w:pPr>
        <w:pStyle w:val="Akapitzlist"/>
        <w:ind w:left="0"/>
        <w:jc w:val="both"/>
        <w:rPr>
          <w:szCs w:val="24"/>
        </w:rPr>
      </w:pPr>
      <w:bookmarkStart w:id="217" w:name="_Toc423351774"/>
      <w:r w:rsidRPr="00844E6F">
        <w:rPr>
          <w:szCs w:val="24"/>
        </w:rPr>
        <w:t>W okresie 2007-2013 zrealizowano 2 badania ewaluacyjne, w których w sposób pogłębiony przeanalizowano problematykę komplementarności. W 2010 roku zrealizowano badanie poświęcone w całości komplementarności. Ewaluacja „</w:t>
      </w:r>
      <w:r w:rsidRPr="00844E6F">
        <w:rPr>
          <w:i/>
          <w:szCs w:val="24"/>
        </w:rPr>
        <w:t>Komplementarność działań realizowanych w ramach Regionalnego Programu Operacyjnego Województwa Śląskiego na lata 2007-2013</w:t>
      </w:r>
      <w:r w:rsidRPr="00844E6F">
        <w:rPr>
          <w:szCs w:val="24"/>
        </w:rPr>
        <w:t xml:space="preserve">” wykazała, że obszarami o największej potencjalnej komplementarności są: działania dotyczące modernizacji i kluczowych elementów sieci drogowej, infrastruktury społeczeństwa informacyjnego, rewitalizacji, obiektów turystycznych oraz infrastruktury wodno-kanalizacyjnej. W ramach badania poddano analizie mechanizmy zapewniania komplementarności oraz wskazano rekomendacje, które dotyczyły wprowadzenia możliwych rozwiązań wzmacniających komplementarność w ramach RPO 2007-2013. Ze względu na fakt, </w:t>
      </w:r>
      <w:r w:rsidRPr="00844E6F">
        <w:rPr>
          <w:szCs w:val="24"/>
        </w:rPr>
        <w:lastRenderedPageBreak/>
        <w:t>że badanie realizowane było w połowie okresu wdrażania, skupiono się na ewentualnych usprawnieniach możliwych do zastosowania w ramach bieżącej perspektywy.</w:t>
      </w:r>
    </w:p>
    <w:p w14:paraId="66859E8C" w14:textId="2585E250" w:rsidR="00844E6F" w:rsidRPr="00844E6F" w:rsidRDefault="00844E6F" w:rsidP="00B32D04">
      <w:pPr>
        <w:pStyle w:val="Akapitzlist"/>
        <w:ind w:left="0"/>
        <w:jc w:val="both"/>
        <w:rPr>
          <w:szCs w:val="24"/>
        </w:rPr>
      </w:pPr>
      <w:r w:rsidRPr="00844E6F">
        <w:rPr>
          <w:szCs w:val="24"/>
        </w:rPr>
        <w:t>Problematyka komplementarności została poruszona również w ramach badania ewaluacyjnego „</w:t>
      </w:r>
      <w:r w:rsidRPr="00844E6F">
        <w:rPr>
          <w:i/>
          <w:szCs w:val="24"/>
        </w:rPr>
        <w:t>Wstępna ocena realizacji i efektów Regionalnego Programu Operacyjnego Województwa Śląskiego na lata 2007-2013” (2012)</w:t>
      </w:r>
      <w:r w:rsidR="002C6E5F">
        <w:rPr>
          <w:szCs w:val="24"/>
        </w:rPr>
        <w:t>. Wyniki badania wskazują, że </w:t>
      </w:r>
      <w:r w:rsidRPr="00844E6F">
        <w:rPr>
          <w:szCs w:val="24"/>
        </w:rPr>
        <w:t>zdecydo</w:t>
      </w:r>
      <w:r w:rsidR="00FF397A">
        <w:rPr>
          <w:szCs w:val="24"/>
        </w:rPr>
        <w:t>wana większość (87%) inwestycji</w:t>
      </w:r>
      <w:r w:rsidRPr="00844E6F">
        <w:rPr>
          <w:szCs w:val="24"/>
        </w:rPr>
        <w:t xml:space="preserve"> powstałych w wyniku wystąpienia efektu mnożnikowego </w:t>
      </w:r>
      <w:r w:rsidR="00B32D04">
        <w:rPr>
          <w:szCs w:val="24"/>
        </w:rPr>
        <w:t>była</w:t>
      </w:r>
      <w:r w:rsidRPr="00844E6F">
        <w:rPr>
          <w:szCs w:val="24"/>
        </w:rPr>
        <w:t xml:space="preserve"> komplementarna z innym projektem beneficjenta. Otrzymane wyniki wskazują, że komplementarność zachodzi między inwestycjami z zakresu e-usł</w:t>
      </w:r>
      <w:r w:rsidR="007D40E5">
        <w:rPr>
          <w:szCs w:val="24"/>
        </w:rPr>
        <w:t>ug a </w:t>
      </w:r>
      <w:r w:rsidRPr="00844E6F">
        <w:rPr>
          <w:szCs w:val="24"/>
        </w:rPr>
        <w:t>projektami z zakresu infrastruktury społeczeństwa informacyjnego, inwestycjami w przedsiębiorstwach, ale także inwestycjami w infrastr</w:t>
      </w:r>
      <w:r w:rsidR="007D40E5">
        <w:rPr>
          <w:szCs w:val="24"/>
        </w:rPr>
        <w:t>ukturę turystyczną, zdrowotną i </w:t>
      </w:r>
      <w:r w:rsidRPr="00844E6F">
        <w:rPr>
          <w:szCs w:val="24"/>
        </w:rPr>
        <w:t>drogową. Widać również komplementarność pomiędzy turystyką i kulturą oraz pomiędzy kulturą i edukacją. Ponadto</w:t>
      </w:r>
      <w:r w:rsidR="00FF397A">
        <w:rPr>
          <w:szCs w:val="24"/>
        </w:rPr>
        <w:t>,</w:t>
      </w:r>
      <w:r w:rsidRPr="00844E6F">
        <w:rPr>
          <w:szCs w:val="24"/>
        </w:rPr>
        <w:t xml:space="preserve"> zdaniem ewaluatorów</w:t>
      </w:r>
      <w:r w:rsidR="00FF397A">
        <w:rPr>
          <w:szCs w:val="24"/>
        </w:rPr>
        <w:t>,</w:t>
      </w:r>
      <w:r w:rsidRPr="00844E6F">
        <w:rPr>
          <w:szCs w:val="24"/>
        </w:rPr>
        <w:t xml:space="preserve"> ścieżka pozakonkursowa – Programy Rozwoju Subregionów – jest bardziej efektywna, ze względu na fakt, że w ich ramach występuje współpraca i większa komplementarność projektów. Ewaluatorzy wskazali też, że projekty dużych miast w zakresie rewitalizacji są bardziej zintegrowane.</w:t>
      </w:r>
    </w:p>
    <w:p w14:paraId="6ADDA803" w14:textId="1F548714" w:rsidR="008F0DFF" w:rsidRDefault="00A628A4" w:rsidP="002C6E5F">
      <w:pPr>
        <w:pStyle w:val="Nagwek1"/>
        <w:numPr>
          <w:ilvl w:val="2"/>
          <w:numId w:val="29"/>
        </w:numPr>
        <w:tabs>
          <w:tab w:val="left" w:pos="1560"/>
        </w:tabs>
        <w:spacing w:before="240" w:after="120"/>
        <w:ind w:left="1135" w:hanging="284"/>
        <w:jc w:val="both"/>
        <w:rPr>
          <w:szCs w:val="24"/>
        </w:rPr>
      </w:pPr>
      <w:bookmarkStart w:id="218" w:name="_Toc473117327"/>
      <w:bookmarkStart w:id="219" w:name="_Toc477779767"/>
      <w:r w:rsidRPr="00CD654C">
        <w:rPr>
          <w:szCs w:val="24"/>
        </w:rPr>
        <w:t xml:space="preserve">Cross </w:t>
      </w:r>
      <w:r w:rsidR="008F0DFF" w:rsidRPr="00CD654C">
        <w:rPr>
          <w:szCs w:val="24"/>
        </w:rPr>
        <w:t>–</w:t>
      </w:r>
      <w:r w:rsidRPr="00CD654C">
        <w:rPr>
          <w:szCs w:val="24"/>
        </w:rPr>
        <w:t xml:space="preserve"> </w:t>
      </w:r>
      <w:r w:rsidR="00F64E8B">
        <w:rPr>
          <w:szCs w:val="24"/>
        </w:rPr>
        <w:t>financingu</w:t>
      </w:r>
      <w:bookmarkEnd w:id="214"/>
      <w:bookmarkEnd w:id="217"/>
      <w:bookmarkEnd w:id="218"/>
      <w:bookmarkEnd w:id="219"/>
    </w:p>
    <w:p w14:paraId="08CECFE1" w14:textId="77777777" w:rsidR="00F64E8B" w:rsidRPr="00D90934" w:rsidRDefault="00F64E8B" w:rsidP="00F64E8B">
      <w:pPr>
        <w:autoSpaceDE w:val="0"/>
        <w:autoSpaceDN w:val="0"/>
        <w:adjustRightInd w:val="0"/>
        <w:jc w:val="both"/>
        <w:rPr>
          <w:color w:val="000000"/>
          <w:szCs w:val="24"/>
        </w:rPr>
      </w:pPr>
      <w:bookmarkStart w:id="220" w:name="_Toc292793557"/>
      <w:bookmarkStart w:id="221" w:name="_Toc324853881"/>
      <w:bookmarkStart w:id="222" w:name="_Toc327259231"/>
      <w:bookmarkStart w:id="223" w:name="_Toc391466357"/>
      <w:r w:rsidRPr="00D90934">
        <w:rPr>
          <w:color w:val="000000"/>
          <w:szCs w:val="24"/>
        </w:rPr>
        <w:t xml:space="preserve">Stosowanie cross-financingu w ramach RPO WSL zaplanowano </w:t>
      </w:r>
      <w:r w:rsidRPr="00D90934">
        <w:rPr>
          <w:bCs/>
          <w:color w:val="000000"/>
          <w:szCs w:val="24"/>
        </w:rPr>
        <w:t xml:space="preserve">w </w:t>
      </w:r>
      <w:r>
        <w:rPr>
          <w:bCs/>
          <w:color w:val="000000"/>
          <w:szCs w:val="24"/>
        </w:rPr>
        <w:t>poniższych</w:t>
      </w:r>
      <w:r w:rsidRPr="00D90934">
        <w:rPr>
          <w:bCs/>
          <w:color w:val="000000"/>
          <w:szCs w:val="24"/>
        </w:rPr>
        <w:t xml:space="preserve"> kategoriach interwencji</w:t>
      </w:r>
      <w:r w:rsidRPr="00D90934">
        <w:rPr>
          <w:color w:val="000000"/>
          <w:szCs w:val="24"/>
        </w:rPr>
        <w:t xml:space="preserve">: </w:t>
      </w:r>
    </w:p>
    <w:p w14:paraId="01099467" w14:textId="77777777" w:rsidR="00F64E8B" w:rsidRPr="00D90934" w:rsidRDefault="00F64E8B" w:rsidP="009574D1">
      <w:pPr>
        <w:pStyle w:val="Akapitzlist"/>
        <w:numPr>
          <w:ilvl w:val="0"/>
          <w:numId w:val="71"/>
        </w:numPr>
        <w:autoSpaceDE w:val="0"/>
        <w:autoSpaceDN w:val="0"/>
        <w:adjustRightInd w:val="0"/>
        <w:spacing w:after="16"/>
        <w:jc w:val="both"/>
        <w:rPr>
          <w:color w:val="000000"/>
          <w:szCs w:val="24"/>
        </w:rPr>
      </w:pPr>
      <w:r>
        <w:rPr>
          <w:color w:val="000000"/>
          <w:szCs w:val="24"/>
        </w:rPr>
        <w:t xml:space="preserve">kategoria </w:t>
      </w:r>
      <w:r w:rsidRPr="00D90934">
        <w:rPr>
          <w:color w:val="000000"/>
          <w:szCs w:val="24"/>
        </w:rPr>
        <w:t xml:space="preserve">13 (Usługi i aplikacje dla obywateli: e-zdrowie, e-administracja, e-nauczanie, e-wykluczenie) – </w:t>
      </w:r>
      <w:r w:rsidRPr="006A4C3C">
        <w:rPr>
          <w:i/>
          <w:color w:val="000000"/>
          <w:szCs w:val="24"/>
        </w:rPr>
        <w:t>działanie 2.2. Rozwój elektronicznych usług publicznych</w:t>
      </w:r>
      <w:r w:rsidRPr="00D90934">
        <w:rPr>
          <w:color w:val="000000"/>
          <w:szCs w:val="24"/>
        </w:rPr>
        <w:t xml:space="preserve">, </w:t>
      </w:r>
    </w:p>
    <w:p w14:paraId="678EE698" w14:textId="77777777" w:rsidR="00F64E8B" w:rsidRPr="00D90934" w:rsidRDefault="00F64E8B" w:rsidP="009574D1">
      <w:pPr>
        <w:pStyle w:val="Akapitzlist"/>
        <w:numPr>
          <w:ilvl w:val="0"/>
          <w:numId w:val="71"/>
        </w:numPr>
        <w:autoSpaceDE w:val="0"/>
        <w:autoSpaceDN w:val="0"/>
        <w:adjustRightInd w:val="0"/>
        <w:spacing w:after="16"/>
        <w:jc w:val="both"/>
        <w:rPr>
          <w:color w:val="000000"/>
          <w:szCs w:val="24"/>
        </w:rPr>
      </w:pPr>
      <w:r w:rsidRPr="00D90934">
        <w:rPr>
          <w:color w:val="000000"/>
          <w:szCs w:val="24"/>
        </w:rPr>
        <w:t xml:space="preserve">kategoria 44 (Zarządzanie odpadami gospodarczymi i produkcyjnymi) – </w:t>
      </w:r>
      <w:r w:rsidRPr="006A4C3C">
        <w:rPr>
          <w:i/>
          <w:color w:val="000000"/>
          <w:szCs w:val="24"/>
        </w:rPr>
        <w:t>działanie 5.2. Gospodarka odpadami</w:t>
      </w:r>
      <w:r w:rsidRPr="00D90934">
        <w:rPr>
          <w:color w:val="000000"/>
          <w:szCs w:val="24"/>
        </w:rPr>
        <w:t xml:space="preserve">, </w:t>
      </w:r>
    </w:p>
    <w:p w14:paraId="70313161" w14:textId="77777777" w:rsidR="00F64E8B" w:rsidRPr="00D90934" w:rsidRDefault="00F64E8B" w:rsidP="009574D1">
      <w:pPr>
        <w:pStyle w:val="Akapitzlist"/>
        <w:numPr>
          <w:ilvl w:val="0"/>
          <w:numId w:val="71"/>
        </w:numPr>
        <w:autoSpaceDE w:val="0"/>
        <w:autoSpaceDN w:val="0"/>
        <w:adjustRightInd w:val="0"/>
        <w:spacing w:after="120"/>
        <w:ind w:left="714" w:hanging="357"/>
        <w:jc w:val="both"/>
        <w:rPr>
          <w:color w:val="000000"/>
          <w:szCs w:val="24"/>
        </w:rPr>
      </w:pPr>
      <w:r w:rsidRPr="00D90934">
        <w:rPr>
          <w:color w:val="000000"/>
          <w:szCs w:val="24"/>
        </w:rPr>
        <w:t xml:space="preserve">kategoria 51 (Promocja bioróżnorodności i ochrona natury, w tym program NATURA 2000) – </w:t>
      </w:r>
      <w:r w:rsidRPr="006A4C3C">
        <w:rPr>
          <w:i/>
          <w:color w:val="000000"/>
          <w:szCs w:val="24"/>
        </w:rPr>
        <w:t>działanie 5.5. Dziedzictwo przyrodnicze</w:t>
      </w:r>
      <w:r>
        <w:rPr>
          <w:color w:val="000000"/>
          <w:szCs w:val="24"/>
        </w:rPr>
        <w:t>.</w:t>
      </w:r>
      <w:r w:rsidRPr="00D90934">
        <w:rPr>
          <w:color w:val="000000"/>
          <w:szCs w:val="24"/>
        </w:rPr>
        <w:t xml:space="preserve"> </w:t>
      </w:r>
    </w:p>
    <w:p w14:paraId="2A404B94" w14:textId="5E2518D7" w:rsidR="00F64E8B" w:rsidRPr="00EF2E9E" w:rsidRDefault="00F64E8B" w:rsidP="00F64E8B">
      <w:pPr>
        <w:autoSpaceDE w:val="0"/>
        <w:autoSpaceDN w:val="0"/>
        <w:adjustRightInd w:val="0"/>
        <w:jc w:val="both"/>
        <w:rPr>
          <w:bCs/>
          <w:color w:val="000000"/>
          <w:szCs w:val="24"/>
        </w:rPr>
      </w:pPr>
      <w:r>
        <w:rPr>
          <w:color w:val="000000"/>
          <w:szCs w:val="24"/>
        </w:rPr>
        <w:t>Łącznie w trzech d</w:t>
      </w:r>
      <w:r w:rsidRPr="0032331F">
        <w:rPr>
          <w:color w:val="000000"/>
          <w:szCs w:val="24"/>
        </w:rPr>
        <w:t>ziałaniach</w:t>
      </w:r>
      <w:r>
        <w:rPr>
          <w:color w:val="000000"/>
          <w:szCs w:val="24"/>
        </w:rPr>
        <w:t xml:space="preserve"> RPO WSL</w:t>
      </w:r>
      <w:r w:rsidRPr="0032331F">
        <w:rPr>
          <w:color w:val="000000"/>
          <w:szCs w:val="24"/>
        </w:rPr>
        <w:t xml:space="preserve"> realizowanych </w:t>
      </w:r>
      <w:r>
        <w:rPr>
          <w:color w:val="000000"/>
          <w:szCs w:val="24"/>
        </w:rPr>
        <w:t>było</w:t>
      </w:r>
      <w:r w:rsidRPr="0032331F">
        <w:rPr>
          <w:color w:val="000000"/>
          <w:szCs w:val="24"/>
        </w:rPr>
        <w:t xml:space="preserve"> </w:t>
      </w:r>
      <w:r>
        <w:rPr>
          <w:bCs/>
          <w:color w:val="000000"/>
          <w:szCs w:val="24"/>
        </w:rPr>
        <w:t>146</w:t>
      </w:r>
      <w:r w:rsidRPr="0032331F">
        <w:rPr>
          <w:bCs/>
          <w:color w:val="000000"/>
          <w:szCs w:val="24"/>
        </w:rPr>
        <w:t xml:space="preserve"> projektów </w:t>
      </w:r>
      <w:r>
        <w:rPr>
          <w:bCs/>
          <w:color w:val="000000"/>
          <w:szCs w:val="24"/>
        </w:rPr>
        <w:t>na kwotę dofinansowania</w:t>
      </w:r>
      <w:r w:rsidRPr="0032331F">
        <w:rPr>
          <w:bCs/>
          <w:color w:val="000000"/>
          <w:szCs w:val="24"/>
        </w:rPr>
        <w:t xml:space="preserve"> </w:t>
      </w:r>
      <w:r>
        <w:rPr>
          <w:bCs/>
          <w:color w:val="000000"/>
          <w:szCs w:val="24"/>
        </w:rPr>
        <w:t xml:space="preserve">78,58 </w:t>
      </w:r>
      <w:r w:rsidRPr="0032331F">
        <w:rPr>
          <w:bCs/>
          <w:color w:val="000000"/>
          <w:szCs w:val="24"/>
        </w:rPr>
        <w:t xml:space="preserve">mln </w:t>
      </w:r>
      <w:r>
        <w:rPr>
          <w:bCs/>
          <w:color w:val="000000"/>
          <w:szCs w:val="24"/>
        </w:rPr>
        <w:t>EUR, w których beneficjenci stosowali</w:t>
      </w:r>
      <w:r w:rsidRPr="00764EED">
        <w:rPr>
          <w:color w:val="000000"/>
          <w:szCs w:val="24"/>
        </w:rPr>
        <w:t xml:space="preserve"> </w:t>
      </w:r>
      <w:r>
        <w:rPr>
          <w:color w:val="000000"/>
          <w:szCs w:val="24"/>
        </w:rPr>
        <w:t>instrument elastyczności finansowej (</w:t>
      </w:r>
      <w:r w:rsidRPr="0032331F">
        <w:rPr>
          <w:color w:val="000000"/>
          <w:szCs w:val="24"/>
        </w:rPr>
        <w:t>cross</w:t>
      </w:r>
      <w:r>
        <w:rPr>
          <w:color w:val="000000"/>
          <w:szCs w:val="24"/>
        </w:rPr>
        <w:t xml:space="preserve"> – financing)</w:t>
      </w:r>
      <w:r>
        <w:rPr>
          <w:bCs/>
          <w:color w:val="000000"/>
          <w:szCs w:val="24"/>
        </w:rPr>
        <w:t>. Poniżej w tabeli przedstawiono rozkład projektów realizujących cross – financing w podziale na działania.</w:t>
      </w:r>
    </w:p>
    <w:p w14:paraId="7FA0319F" w14:textId="336A768F" w:rsidR="00F64E8B" w:rsidRPr="00A12FDC" w:rsidRDefault="000D34C2" w:rsidP="00F64E8B">
      <w:pPr>
        <w:pStyle w:val="Legenda"/>
        <w:spacing w:after="120"/>
        <w:rPr>
          <w:bCs w:val="0"/>
          <w:color w:val="auto"/>
          <w:sz w:val="20"/>
          <w:szCs w:val="20"/>
        </w:rPr>
      </w:pPr>
      <w:bookmarkStart w:id="224" w:name="_Toc476131793"/>
      <w:r>
        <w:rPr>
          <w:color w:val="auto"/>
          <w:sz w:val="20"/>
          <w:szCs w:val="20"/>
        </w:rPr>
        <w:t>Tabela</w:t>
      </w:r>
      <w:r w:rsidR="00F64E8B" w:rsidRPr="00A12FDC">
        <w:rPr>
          <w:color w:val="auto"/>
          <w:sz w:val="20"/>
          <w:szCs w:val="20"/>
        </w:rPr>
        <w:t xml:space="preserve"> </w:t>
      </w:r>
      <w:r>
        <w:rPr>
          <w:color w:val="auto"/>
          <w:sz w:val="20"/>
          <w:szCs w:val="20"/>
        </w:rPr>
        <w:fldChar w:fldCharType="begin"/>
      </w:r>
      <w:r>
        <w:rPr>
          <w:color w:val="auto"/>
          <w:sz w:val="20"/>
          <w:szCs w:val="20"/>
        </w:rPr>
        <w:instrText xml:space="preserve"> SEQ Tabela \* ARABIC </w:instrText>
      </w:r>
      <w:r>
        <w:rPr>
          <w:color w:val="auto"/>
          <w:sz w:val="20"/>
          <w:szCs w:val="20"/>
        </w:rPr>
        <w:fldChar w:fldCharType="separate"/>
      </w:r>
      <w:r w:rsidR="0050297D">
        <w:rPr>
          <w:noProof/>
          <w:color w:val="auto"/>
          <w:sz w:val="20"/>
          <w:szCs w:val="20"/>
        </w:rPr>
        <w:t>10</w:t>
      </w:r>
      <w:r>
        <w:rPr>
          <w:color w:val="auto"/>
          <w:sz w:val="20"/>
          <w:szCs w:val="20"/>
        </w:rPr>
        <w:fldChar w:fldCharType="end"/>
      </w:r>
      <w:r w:rsidR="00F64E8B" w:rsidRPr="00A12FDC">
        <w:rPr>
          <w:color w:val="auto"/>
          <w:sz w:val="20"/>
          <w:szCs w:val="20"/>
        </w:rPr>
        <w:t xml:space="preserve"> </w:t>
      </w:r>
      <w:r w:rsidR="00B15E47">
        <w:rPr>
          <w:b w:val="0"/>
          <w:i/>
          <w:color w:val="auto"/>
          <w:sz w:val="20"/>
          <w:szCs w:val="20"/>
        </w:rPr>
        <w:t>Projekty realizujące</w:t>
      </w:r>
      <w:r w:rsidR="00F64E8B" w:rsidRPr="00A12FDC">
        <w:rPr>
          <w:b w:val="0"/>
          <w:i/>
          <w:color w:val="auto"/>
          <w:sz w:val="20"/>
          <w:szCs w:val="20"/>
        </w:rPr>
        <w:t xml:space="preserve"> cross- financing</w:t>
      </w:r>
      <w:r w:rsidR="00F64E8B">
        <w:rPr>
          <w:b w:val="0"/>
          <w:i/>
          <w:color w:val="auto"/>
          <w:sz w:val="20"/>
          <w:szCs w:val="20"/>
        </w:rPr>
        <w:t xml:space="preserve"> </w:t>
      </w:r>
      <w:r w:rsidR="00B15E47">
        <w:rPr>
          <w:b w:val="0"/>
          <w:i/>
          <w:color w:val="auto"/>
          <w:sz w:val="20"/>
          <w:szCs w:val="20"/>
        </w:rPr>
        <w:t>w podziale na działania</w:t>
      </w:r>
      <w:bookmarkEnd w:id="224"/>
    </w:p>
    <w:tbl>
      <w:tblPr>
        <w:tblStyle w:val="Tabelalisty3akcent61"/>
        <w:tblW w:w="0" w:type="auto"/>
        <w:jc w:val="center"/>
        <w:tblLook w:val="04A0" w:firstRow="1" w:lastRow="0" w:firstColumn="1" w:lastColumn="0" w:noHBand="0" w:noVBand="1"/>
      </w:tblPr>
      <w:tblGrid>
        <w:gridCol w:w="2235"/>
        <w:gridCol w:w="2126"/>
        <w:gridCol w:w="2268"/>
      </w:tblGrid>
      <w:tr w:rsidR="00F64E8B" w:rsidRPr="00EF2E9E" w14:paraId="141794DB" w14:textId="77777777" w:rsidTr="00B32D04">
        <w:trPr>
          <w:cnfStyle w:val="100000000000" w:firstRow="1" w:lastRow="0" w:firstColumn="0" w:lastColumn="0" w:oddVBand="0" w:evenVBand="0" w:oddHBand="0" w:evenHBand="0" w:firstRowFirstColumn="0" w:firstRowLastColumn="0" w:lastRowFirstColumn="0" w:lastRowLastColumn="0"/>
          <w:trHeight w:val="822"/>
          <w:jc w:val="center"/>
        </w:trPr>
        <w:tc>
          <w:tcPr>
            <w:cnfStyle w:val="001000000100" w:firstRow="0" w:lastRow="0" w:firstColumn="1" w:lastColumn="0" w:oddVBand="0" w:evenVBand="0" w:oddHBand="0" w:evenHBand="0" w:firstRowFirstColumn="1" w:firstRowLastColumn="0" w:lastRowFirstColumn="0" w:lastRowLastColumn="0"/>
            <w:tcW w:w="2235" w:type="dxa"/>
            <w:vAlign w:val="center"/>
          </w:tcPr>
          <w:p w14:paraId="3F9C9E31" w14:textId="77777777" w:rsidR="00F64E8B" w:rsidRPr="00EF2E9E" w:rsidRDefault="00F64E8B" w:rsidP="00B32D04">
            <w:pPr>
              <w:autoSpaceDE w:val="0"/>
              <w:autoSpaceDN w:val="0"/>
              <w:adjustRightInd w:val="0"/>
              <w:jc w:val="center"/>
              <w:rPr>
                <w:bCs w:val="0"/>
                <w:color w:val="000000"/>
                <w:sz w:val="20"/>
                <w:szCs w:val="20"/>
              </w:rPr>
            </w:pPr>
            <w:r w:rsidRPr="00EF2E9E">
              <w:rPr>
                <w:bCs w:val="0"/>
                <w:color w:val="000000"/>
                <w:sz w:val="20"/>
                <w:szCs w:val="20"/>
              </w:rPr>
              <w:t>DZIAŁANIE</w:t>
            </w:r>
          </w:p>
        </w:tc>
        <w:tc>
          <w:tcPr>
            <w:tcW w:w="2126" w:type="dxa"/>
            <w:vAlign w:val="center"/>
          </w:tcPr>
          <w:p w14:paraId="766D9A56" w14:textId="77777777" w:rsidR="00F64E8B" w:rsidRPr="00EF2E9E" w:rsidRDefault="00F64E8B" w:rsidP="00B32D0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EF2E9E">
              <w:rPr>
                <w:bCs w:val="0"/>
                <w:color w:val="000000"/>
                <w:sz w:val="20"/>
                <w:szCs w:val="20"/>
              </w:rPr>
              <w:t>LICZBA PROJEKTÓW</w:t>
            </w:r>
          </w:p>
        </w:tc>
        <w:tc>
          <w:tcPr>
            <w:tcW w:w="2268" w:type="dxa"/>
            <w:vAlign w:val="center"/>
          </w:tcPr>
          <w:p w14:paraId="65C6BB98" w14:textId="77777777" w:rsidR="00F64E8B" w:rsidRPr="00EF2E9E" w:rsidRDefault="00F64E8B" w:rsidP="00B32D04">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EF2E9E">
              <w:rPr>
                <w:bCs w:val="0"/>
                <w:color w:val="000000"/>
                <w:sz w:val="20"/>
                <w:szCs w:val="20"/>
              </w:rPr>
              <w:t>KWOTA DOFINANSOWANIA (MLN EUR)</w:t>
            </w:r>
          </w:p>
        </w:tc>
      </w:tr>
      <w:tr w:rsidR="00F64E8B" w:rsidRPr="00EF2E9E" w14:paraId="1C1CCB90" w14:textId="77777777" w:rsidTr="00B32D04">
        <w:trPr>
          <w:cnfStyle w:val="000000100000" w:firstRow="0" w:lastRow="0" w:firstColumn="0" w:lastColumn="0" w:oddVBand="0" w:evenVBand="0" w:oddHBand="1"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2235" w:type="dxa"/>
            <w:vAlign w:val="center"/>
          </w:tcPr>
          <w:p w14:paraId="67B658D8" w14:textId="77777777" w:rsidR="00F64E8B" w:rsidRPr="00EF2E9E" w:rsidRDefault="00F64E8B" w:rsidP="00B32D04">
            <w:pPr>
              <w:autoSpaceDE w:val="0"/>
              <w:autoSpaceDN w:val="0"/>
              <w:adjustRightInd w:val="0"/>
              <w:jc w:val="center"/>
              <w:rPr>
                <w:bCs w:val="0"/>
                <w:color w:val="000000"/>
                <w:sz w:val="20"/>
                <w:szCs w:val="20"/>
              </w:rPr>
            </w:pPr>
            <w:r w:rsidRPr="00EF2E9E">
              <w:rPr>
                <w:bCs w:val="0"/>
                <w:color w:val="000000"/>
                <w:sz w:val="20"/>
                <w:szCs w:val="20"/>
              </w:rPr>
              <w:t>2.2</w:t>
            </w:r>
          </w:p>
        </w:tc>
        <w:tc>
          <w:tcPr>
            <w:tcW w:w="2126" w:type="dxa"/>
            <w:vAlign w:val="center"/>
          </w:tcPr>
          <w:p w14:paraId="597B34A7" w14:textId="77777777" w:rsidR="00F64E8B" w:rsidRPr="00EF2E9E" w:rsidRDefault="00F64E8B" w:rsidP="00B32D04">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EF2E9E">
              <w:rPr>
                <w:bCs/>
                <w:color w:val="000000"/>
                <w:sz w:val="20"/>
                <w:szCs w:val="20"/>
              </w:rPr>
              <w:t>132</w:t>
            </w:r>
          </w:p>
        </w:tc>
        <w:tc>
          <w:tcPr>
            <w:tcW w:w="2268" w:type="dxa"/>
            <w:vAlign w:val="center"/>
          </w:tcPr>
          <w:p w14:paraId="669FD0DE" w14:textId="77777777" w:rsidR="00F64E8B" w:rsidRPr="00EF2E9E" w:rsidRDefault="00F64E8B" w:rsidP="00B32D04">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EF2E9E">
              <w:rPr>
                <w:bCs/>
                <w:color w:val="000000"/>
                <w:sz w:val="20"/>
                <w:szCs w:val="20"/>
              </w:rPr>
              <w:t>69,42</w:t>
            </w:r>
          </w:p>
        </w:tc>
      </w:tr>
      <w:tr w:rsidR="00F64E8B" w:rsidRPr="00EF2E9E" w14:paraId="6FD978EB" w14:textId="77777777" w:rsidTr="00B32D04">
        <w:trPr>
          <w:trHeight w:val="412"/>
          <w:jc w:val="center"/>
        </w:trPr>
        <w:tc>
          <w:tcPr>
            <w:cnfStyle w:val="001000000000" w:firstRow="0" w:lastRow="0" w:firstColumn="1" w:lastColumn="0" w:oddVBand="0" w:evenVBand="0" w:oddHBand="0" w:evenHBand="0" w:firstRowFirstColumn="0" w:firstRowLastColumn="0" w:lastRowFirstColumn="0" w:lastRowLastColumn="0"/>
            <w:tcW w:w="2235" w:type="dxa"/>
            <w:vAlign w:val="center"/>
          </w:tcPr>
          <w:p w14:paraId="17BA10E8" w14:textId="77777777" w:rsidR="00F64E8B" w:rsidRPr="00EF2E9E" w:rsidRDefault="00F64E8B" w:rsidP="00B32D04">
            <w:pPr>
              <w:autoSpaceDE w:val="0"/>
              <w:autoSpaceDN w:val="0"/>
              <w:adjustRightInd w:val="0"/>
              <w:jc w:val="center"/>
              <w:rPr>
                <w:bCs w:val="0"/>
                <w:color w:val="000000"/>
                <w:sz w:val="20"/>
                <w:szCs w:val="20"/>
              </w:rPr>
            </w:pPr>
            <w:r w:rsidRPr="00EF2E9E">
              <w:rPr>
                <w:bCs w:val="0"/>
                <w:color w:val="000000"/>
                <w:sz w:val="20"/>
                <w:szCs w:val="20"/>
              </w:rPr>
              <w:t>5.2</w:t>
            </w:r>
          </w:p>
        </w:tc>
        <w:tc>
          <w:tcPr>
            <w:tcW w:w="2126" w:type="dxa"/>
            <w:vAlign w:val="center"/>
          </w:tcPr>
          <w:p w14:paraId="58275398" w14:textId="77777777" w:rsidR="00F64E8B" w:rsidRPr="00EF2E9E" w:rsidRDefault="00F64E8B" w:rsidP="00B32D04">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EF2E9E">
              <w:rPr>
                <w:bCs/>
                <w:color w:val="000000"/>
                <w:sz w:val="20"/>
                <w:szCs w:val="20"/>
              </w:rPr>
              <w:t>6</w:t>
            </w:r>
          </w:p>
        </w:tc>
        <w:tc>
          <w:tcPr>
            <w:tcW w:w="2268" w:type="dxa"/>
            <w:vAlign w:val="center"/>
          </w:tcPr>
          <w:p w14:paraId="77BEDAB6" w14:textId="77777777" w:rsidR="00F64E8B" w:rsidRPr="00EF2E9E" w:rsidRDefault="00F64E8B" w:rsidP="00B32D04">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EF2E9E">
              <w:rPr>
                <w:bCs/>
                <w:color w:val="000000"/>
                <w:sz w:val="20"/>
                <w:szCs w:val="20"/>
              </w:rPr>
              <w:t>4,14</w:t>
            </w:r>
          </w:p>
        </w:tc>
      </w:tr>
      <w:tr w:rsidR="00F64E8B" w:rsidRPr="00EF2E9E" w14:paraId="7A21FCAF" w14:textId="77777777" w:rsidTr="00B32D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5" w:type="dxa"/>
            <w:vAlign w:val="center"/>
          </w:tcPr>
          <w:p w14:paraId="0500B281" w14:textId="77777777" w:rsidR="00F64E8B" w:rsidRPr="00EF2E9E" w:rsidRDefault="00F64E8B" w:rsidP="00B32D04">
            <w:pPr>
              <w:autoSpaceDE w:val="0"/>
              <w:autoSpaceDN w:val="0"/>
              <w:adjustRightInd w:val="0"/>
              <w:jc w:val="center"/>
              <w:rPr>
                <w:bCs w:val="0"/>
                <w:color w:val="000000"/>
                <w:sz w:val="20"/>
                <w:szCs w:val="20"/>
              </w:rPr>
            </w:pPr>
            <w:r w:rsidRPr="00EF2E9E">
              <w:rPr>
                <w:bCs w:val="0"/>
                <w:color w:val="000000"/>
                <w:sz w:val="20"/>
                <w:szCs w:val="20"/>
              </w:rPr>
              <w:t>5.5</w:t>
            </w:r>
          </w:p>
        </w:tc>
        <w:tc>
          <w:tcPr>
            <w:tcW w:w="2126" w:type="dxa"/>
            <w:vAlign w:val="center"/>
          </w:tcPr>
          <w:p w14:paraId="06CCBE55" w14:textId="77777777" w:rsidR="00F64E8B" w:rsidRPr="00EF2E9E" w:rsidRDefault="00F64E8B" w:rsidP="00B32D04">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EF2E9E">
              <w:rPr>
                <w:bCs/>
                <w:color w:val="000000"/>
                <w:sz w:val="20"/>
                <w:szCs w:val="20"/>
              </w:rPr>
              <w:t>9</w:t>
            </w:r>
          </w:p>
        </w:tc>
        <w:tc>
          <w:tcPr>
            <w:tcW w:w="2268" w:type="dxa"/>
            <w:vAlign w:val="center"/>
          </w:tcPr>
          <w:p w14:paraId="77AE7095" w14:textId="77777777" w:rsidR="00F64E8B" w:rsidRPr="00EF2E9E" w:rsidRDefault="00F64E8B" w:rsidP="00B32D04">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r w:rsidRPr="00EF2E9E">
              <w:rPr>
                <w:bCs/>
                <w:color w:val="000000"/>
                <w:sz w:val="20"/>
                <w:szCs w:val="20"/>
              </w:rPr>
              <w:t>6,10</w:t>
            </w:r>
          </w:p>
        </w:tc>
      </w:tr>
    </w:tbl>
    <w:p w14:paraId="04E7CFD2" w14:textId="77777777" w:rsidR="00F64E8B" w:rsidRDefault="00F64E8B" w:rsidP="00F64E8B">
      <w:pPr>
        <w:autoSpaceDE w:val="0"/>
        <w:autoSpaceDN w:val="0"/>
        <w:adjustRightInd w:val="0"/>
        <w:jc w:val="both"/>
        <w:rPr>
          <w:bCs/>
          <w:color w:val="000000"/>
          <w:szCs w:val="24"/>
        </w:rPr>
      </w:pPr>
    </w:p>
    <w:p w14:paraId="6C4BE288" w14:textId="52AC6CAD" w:rsidR="002C6E5F" w:rsidRDefault="00F64E8B" w:rsidP="002B1B7D">
      <w:pPr>
        <w:autoSpaceDE w:val="0"/>
        <w:autoSpaceDN w:val="0"/>
        <w:adjustRightInd w:val="0"/>
        <w:jc w:val="both"/>
        <w:rPr>
          <w:b/>
          <w:szCs w:val="24"/>
        </w:rPr>
      </w:pPr>
      <w:r w:rsidRPr="00EE6E6A">
        <w:rPr>
          <w:szCs w:val="24"/>
        </w:rPr>
        <w:t xml:space="preserve">Poniżej </w:t>
      </w:r>
      <w:r>
        <w:rPr>
          <w:szCs w:val="24"/>
        </w:rPr>
        <w:t>zaprezentowano</w:t>
      </w:r>
      <w:r w:rsidRPr="00EE6E6A">
        <w:rPr>
          <w:szCs w:val="24"/>
        </w:rPr>
        <w:t xml:space="preserve"> dwa projekty realiz</w:t>
      </w:r>
      <w:r>
        <w:rPr>
          <w:szCs w:val="24"/>
        </w:rPr>
        <w:t>owane w ramach RPO WSL, które w </w:t>
      </w:r>
      <w:r w:rsidRPr="00EE6E6A">
        <w:rPr>
          <w:szCs w:val="24"/>
        </w:rPr>
        <w:t>największym stopniu wykorzystały mechanizm krzyżowy.</w:t>
      </w:r>
      <w:r w:rsidR="002C6E5F">
        <w:rPr>
          <w:b/>
          <w:szCs w:val="24"/>
        </w:rPr>
        <w:br w:type="page"/>
      </w:r>
    </w:p>
    <w:p w14:paraId="782A0E56" w14:textId="42EF2ADB" w:rsidR="00F64E8B" w:rsidRPr="006A2130" w:rsidRDefault="00F64E8B" w:rsidP="00F64E8B">
      <w:pPr>
        <w:shd w:val="clear" w:color="auto" w:fill="FFFFFF" w:themeFill="background1"/>
        <w:autoSpaceDE w:val="0"/>
        <w:autoSpaceDN w:val="0"/>
        <w:adjustRightInd w:val="0"/>
        <w:spacing w:after="0"/>
        <w:jc w:val="both"/>
        <w:rPr>
          <w:szCs w:val="24"/>
        </w:rPr>
      </w:pPr>
      <w:r w:rsidRPr="00432DF7">
        <w:rPr>
          <w:b/>
          <w:szCs w:val="24"/>
        </w:rPr>
        <w:lastRenderedPageBreak/>
        <w:t>Tytuł projektu</w:t>
      </w:r>
      <w:r w:rsidRPr="00432DF7">
        <w:rPr>
          <w:szCs w:val="24"/>
        </w:rPr>
        <w:t xml:space="preserve">: </w:t>
      </w:r>
      <w:r w:rsidRPr="006A2130">
        <w:rPr>
          <w:i/>
          <w:szCs w:val="24"/>
        </w:rPr>
        <w:t>e-Pol</w:t>
      </w:r>
      <w:r w:rsidR="00FF397A">
        <w:rPr>
          <w:i/>
          <w:szCs w:val="24"/>
        </w:rPr>
        <w:t>icja - w służbie społeczeństwu</w:t>
      </w:r>
      <w:r w:rsidRPr="006A2130">
        <w:rPr>
          <w:i/>
          <w:szCs w:val="24"/>
        </w:rPr>
        <w:t xml:space="preserve"> województwa śląskiego</w:t>
      </w:r>
    </w:p>
    <w:p w14:paraId="0074F58D" w14:textId="33C1965C" w:rsidR="00F64E8B" w:rsidRPr="00432DF7" w:rsidRDefault="00F64E8B" w:rsidP="00F64E8B">
      <w:pPr>
        <w:shd w:val="clear" w:color="auto" w:fill="FFFFFF" w:themeFill="background1"/>
        <w:autoSpaceDE w:val="0"/>
        <w:autoSpaceDN w:val="0"/>
        <w:adjustRightInd w:val="0"/>
        <w:spacing w:after="0"/>
        <w:jc w:val="both"/>
        <w:rPr>
          <w:szCs w:val="24"/>
        </w:rPr>
      </w:pPr>
      <w:r w:rsidRPr="00432DF7">
        <w:rPr>
          <w:b/>
          <w:szCs w:val="24"/>
        </w:rPr>
        <w:t>Krótka charakterystyka projektu</w:t>
      </w:r>
      <w:r w:rsidRPr="00432DF7">
        <w:rPr>
          <w:szCs w:val="24"/>
        </w:rPr>
        <w:t xml:space="preserve">: </w:t>
      </w:r>
      <w:r>
        <w:rPr>
          <w:szCs w:val="24"/>
        </w:rPr>
        <w:t>przedmiotem projektu jest stworzeni</w:t>
      </w:r>
      <w:r w:rsidR="002C6E5F">
        <w:rPr>
          <w:szCs w:val="24"/>
        </w:rPr>
        <w:t>e warunków do </w:t>
      </w:r>
      <w:r>
        <w:rPr>
          <w:szCs w:val="24"/>
        </w:rPr>
        <w:t xml:space="preserve">rozwoju społeczeństwa informacyjnego, dzięki zakładanemu w projekcie rozwojowi elektronicznych usług publicznych. Projekt łączy w sobie dwa typy front-office i back-office, jest wielozadaniowy w celu maksymalizacji korzyści dla beneficjenta pośredniego – mieszkańca województwa śląskiego, działającego na tym obszarze przedsiębiorcy, gościa. Elementem wchodzącym do organizacji i z niej wychodzącym jest informacja i od szybkości jej przekazania zależy jakość świadczonej usługi, w przypadku Policji jest to poziom bezpieczeństwa. Zatem realizacja przedmiotowego projektu dzięki zakładanemu w nim rozwojowi i usprawnieniu funkcjonowania elektronicznych </w:t>
      </w:r>
      <w:r w:rsidR="002C6E5F">
        <w:rPr>
          <w:szCs w:val="24"/>
        </w:rPr>
        <w:t>usług publicznych doprowadzi do </w:t>
      </w:r>
      <w:r>
        <w:rPr>
          <w:szCs w:val="24"/>
        </w:rPr>
        <w:t>podniesienia poziomu bezpieczeństwa – standardu życia  ludzi na tym obszarze.</w:t>
      </w:r>
    </w:p>
    <w:p w14:paraId="21FCE2E3" w14:textId="04462381" w:rsidR="00F64E8B" w:rsidRPr="00432DF7" w:rsidRDefault="00F64E8B" w:rsidP="00F64E8B">
      <w:pPr>
        <w:shd w:val="clear" w:color="auto" w:fill="FFFFFF" w:themeFill="background1"/>
        <w:autoSpaceDE w:val="0"/>
        <w:autoSpaceDN w:val="0"/>
        <w:adjustRightInd w:val="0"/>
        <w:spacing w:after="0"/>
        <w:jc w:val="both"/>
        <w:rPr>
          <w:szCs w:val="24"/>
        </w:rPr>
      </w:pPr>
      <w:r w:rsidRPr="00432DF7">
        <w:rPr>
          <w:b/>
          <w:szCs w:val="24"/>
        </w:rPr>
        <w:t>W ramach projektu cross-financing</w:t>
      </w:r>
      <w:r w:rsidRPr="00432DF7">
        <w:rPr>
          <w:szCs w:val="24"/>
        </w:rPr>
        <w:t xml:space="preserve"> </w:t>
      </w:r>
      <w:r>
        <w:rPr>
          <w:szCs w:val="24"/>
        </w:rPr>
        <w:t>przewiduje, że zostanie przeszkolonych 129 pracowników w zakresie obsługi informatycznych sys</w:t>
      </w:r>
      <w:r w:rsidR="00241FA0">
        <w:rPr>
          <w:szCs w:val="24"/>
        </w:rPr>
        <w:t>temów wspomagania zarządzania w </w:t>
      </w:r>
      <w:r>
        <w:rPr>
          <w:szCs w:val="24"/>
        </w:rPr>
        <w:t>administracji publicznej (system zarządzania dedykowany dla Laboratorium Kryminalistycznego jak również system zarządzania zasobami IT)</w:t>
      </w:r>
      <w:r w:rsidRPr="00432DF7">
        <w:rPr>
          <w:szCs w:val="24"/>
        </w:rPr>
        <w:t xml:space="preserve">. Utworzenie systemu teleinformatycznego bez przeszkolenia pracowników w zakresie funkcjonowania i obsługi tego systemu z pewnością uniemożliwiłoby </w:t>
      </w:r>
      <w:r w:rsidRPr="00432DF7">
        <w:rPr>
          <w:bCs/>
          <w:szCs w:val="24"/>
        </w:rPr>
        <w:t>pełne i efektywne wykorzystanie</w:t>
      </w:r>
      <w:r w:rsidRPr="00432DF7">
        <w:rPr>
          <w:szCs w:val="24"/>
        </w:rPr>
        <w:t xml:space="preserve">. </w:t>
      </w:r>
    </w:p>
    <w:p w14:paraId="5036D7A8" w14:textId="77777777" w:rsidR="00F64E8B" w:rsidRDefault="00F64E8B" w:rsidP="00F64E8B">
      <w:pPr>
        <w:shd w:val="clear" w:color="auto" w:fill="FFFFFF" w:themeFill="background1"/>
        <w:autoSpaceDE w:val="0"/>
        <w:autoSpaceDN w:val="0"/>
        <w:adjustRightInd w:val="0"/>
        <w:spacing w:after="0"/>
        <w:jc w:val="both"/>
        <w:rPr>
          <w:b/>
          <w:color w:val="000000"/>
          <w:szCs w:val="24"/>
        </w:rPr>
      </w:pPr>
    </w:p>
    <w:p w14:paraId="7D98EEF0" w14:textId="77777777" w:rsidR="00F64E8B" w:rsidRDefault="00F64E8B" w:rsidP="00F64E8B">
      <w:pPr>
        <w:shd w:val="clear" w:color="auto" w:fill="FFFFFF" w:themeFill="background1"/>
        <w:autoSpaceDE w:val="0"/>
        <w:autoSpaceDN w:val="0"/>
        <w:adjustRightInd w:val="0"/>
        <w:spacing w:after="0"/>
        <w:jc w:val="both"/>
        <w:rPr>
          <w:b/>
          <w:i/>
          <w:color w:val="00B050"/>
          <w:szCs w:val="24"/>
        </w:rPr>
      </w:pPr>
      <w:r w:rsidRPr="00432DF7">
        <w:rPr>
          <w:b/>
          <w:color w:val="000000"/>
          <w:szCs w:val="24"/>
        </w:rPr>
        <w:t xml:space="preserve">Tytuł projektu: </w:t>
      </w:r>
      <w:r w:rsidRPr="006A2130">
        <w:rPr>
          <w:i/>
          <w:szCs w:val="24"/>
        </w:rPr>
        <w:t>Zakup pojemników i worków do selektywnej zbiórki odpadów w celu rozszerzenia istniejącego systemu zbiórki na terenie miasta Katowice wraz z akcją promocyjno-edukacyjną</w:t>
      </w:r>
    </w:p>
    <w:p w14:paraId="6F1355AC" w14:textId="77777777" w:rsidR="00F64E8B" w:rsidRPr="00432DF7" w:rsidRDefault="00F64E8B" w:rsidP="00F64E8B">
      <w:pPr>
        <w:shd w:val="clear" w:color="auto" w:fill="FFFFFF" w:themeFill="background1"/>
        <w:autoSpaceDE w:val="0"/>
        <w:autoSpaceDN w:val="0"/>
        <w:adjustRightInd w:val="0"/>
        <w:spacing w:after="0"/>
        <w:jc w:val="both"/>
        <w:rPr>
          <w:color w:val="000000"/>
          <w:szCs w:val="24"/>
        </w:rPr>
      </w:pPr>
      <w:r w:rsidRPr="00432DF7">
        <w:rPr>
          <w:b/>
          <w:color w:val="000000"/>
          <w:szCs w:val="24"/>
        </w:rPr>
        <w:t>Krótka charakterystyka projektu</w:t>
      </w:r>
      <w:r w:rsidRPr="00432DF7">
        <w:rPr>
          <w:color w:val="000000"/>
          <w:szCs w:val="24"/>
        </w:rPr>
        <w:t xml:space="preserve">: </w:t>
      </w:r>
      <w:r w:rsidRPr="00432DF7">
        <w:rPr>
          <w:szCs w:val="24"/>
        </w:rPr>
        <w:t xml:space="preserve"> </w:t>
      </w:r>
      <w:r>
        <w:rPr>
          <w:szCs w:val="24"/>
        </w:rPr>
        <w:t>Projekt zakłada zakup 400 sztuk pojemników typu dzwon o pojemności 2,5 m3 (175 sztuk na papier, 50 szt. na szkło, 175 sztuk na plastik) oraz 500 000 sztuk worków do selektywnej zbiórki (100 000 sztuk niebieskich na papier, 200 000 sztuk żółtych na plastik, 100 000 sztuk zielonych na szkło 100 000 sztuk pomarańczowych na metale) celem rozszerzenia funkcjonującego na terenie miasta Katowice systemu selektywnej zbiórki odpadów. Akcja promocyjno-informacyjna w tym zakresie prowadzona będzie za pomocą plakatów, artykułów promocyjnych w prasie, lekcji edukacyjnych i konkursów z nagrodami przeprowadzonych w szkołach. W wyniku realizacji projektu systemem selektywnej zbiórki odpadów objętych zostanie ok. 95 000 mieszkańców Katowic.</w:t>
      </w:r>
    </w:p>
    <w:p w14:paraId="53CAA00B" w14:textId="77777777" w:rsidR="00F64E8B" w:rsidRPr="00432DF7" w:rsidRDefault="00F64E8B" w:rsidP="00F64E8B">
      <w:pPr>
        <w:shd w:val="clear" w:color="auto" w:fill="FFFFFF" w:themeFill="background1"/>
        <w:autoSpaceDE w:val="0"/>
        <w:autoSpaceDN w:val="0"/>
        <w:adjustRightInd w:val="0"/>
        <w:spacing w:after="0"/>
        <w:jc w:val="both"/>
        <w:rPr>
          <w:color w:val="000000"/>
          <w:szCs w:val="24"/>
        </w:rPr>
      </w:pPr>
      <w:r w:rsidRPr="00432DF7">
        <w:rPr>
          <w:b/>
          <w:color w:val="000000"/>
          <w:szCs w:val="24"/>
        </w:rPr>
        <w:t xml:space="preserve">Opis zastosowanego cross-financingu: </w:t>
      </w:r>
      <w:r>
        <w:rPr>
          <w:szCs w:val="24"/>
        </w:rPr>
        <w:t>Celem szczegółowym projektu jest również kształtowanie postaw ekologicznych społeczeństwa – mieszkańców Katowic, który realizowany będzie drogą akcji edukacyjno-promocyjnej m.in. obejmującej rozprowadzenie materiałów informacyjnych o selektywnej zbiórce odpadów w postaci plakatów w ilości ogółem 4000 sztuk, które umieszczone zostaną na tablicach ogłoszeń w administracjach budynków wielorodzinnych i w budynkach obejmowanych selektywną zbiórką odpadów przy użyciu pojemników typu dzwon oraz rozdawane będą mieszkańcom posesji jednorodzinnych obejmowanych zbiórką systemem workowym (ww. ilość rozprowadzonych materiałów informacyjnych stanowić będzie wartość docelową wskaźnika produktu związanego z cross-financingiem</w:t>
      </w:r>
      <w:r w:rsidRPr="00432DF7">
        <w:rPr>
          <w:color w:val="000000"/>
          <w:szCs w:val="24"/>
        </w:rPr>
        <w:t>.</w:t>
      </w:r>
    </w:p>
    <w:bookmarkEnd w:id="220"/>
    <w:bookmarkEnd w:id="221"/>
    <w:bookmarkEnd w:id="222"/>
    <w:bookmarkEnd w:id="223"/>
    <w:p w14:paraId="18B4A677" w14:textId="77777777" w:rsidR="00F64E8B" w:rsidRPr="00F64E8B" w:rsidRDefault="00F64E8B" w:rsidP="00F64E8B"/>
    <w:p w14:paraId="4E24E5DC" w14:textId="77777777" w:rsidR="00C71AA2" w:rsidRPr="00CD654C" w:rsidRDefault="00C71AA2" w:rsidP="0094320D">
      <w:pPr>
        <w:pStyle w:val="Nagwek1"/>
        <w:numPr>
          <w:ilvl w:val="2"/>
          <w:numId w:val="29"/>
        </w:numPr>
        <w:tabs>
          <w:tab w:val="left" w:pos="1560"/>
        </w:tabs>
        <w:spacing w:after="120"/>
        <w:ind w:left="1134" w:hanging="283"/>
        <w:jc w:val="both"/>
        <w:rPr>
          <w:szCs w:val="24"/>
          <w:lang w:eastAsia="ar-SA"/>
        </w:rPr>
      </w:pPr>
      <w:bookmarkStart w:id="225" w:name="_Toc292793559"/>
      <w:bookmarkStart w:id="226" w:name="_Toc324853888"/>
      <w:bookmarkStart w:id="227" w:name="_Toc327259238"/>
      <w:bookmarkStart w:id="228" w:name="_Toc391466359"/>
      <w:bookmarkStart w:id="229" w:name="_Toc423351775"/>
      <w:bookmarkStart w:id="230" w:name="_Toc473117328"/>
      <w:bookmarkStart w:id="231" w:name="_Toc477779768"/>
      <w:r w:rsidRPr="00CD654C">
        <w:rPr>
          <w:szCs w:val="24"/>
          <w:lang w:eastAsia="ar-SA"/>
        </w:rPr>
        <w:lastRenderedPageBreak/>
        <w:t>Mechanizmy unikania podwójnego finan</w:t>
      </w:r>
      <w:r w:rsidR="00BD5097" w:rsidRPr="00CD654C">
        <w:rPr>
          <w:szCs w:val="24"/>
          <w:lang w:eastAsia="ar-SA"/>
        </w:rPr>
        <w:t>sowania działań realizowanych w </w:t>
      </w:r>
      <w:r w:rsidRPr="00CD654C">
        <w:rPr>
          <w:szCs w:val="24"/>
          <w:lang w:eastAsia="ar-SA"/>
        </w:rPr>
        <w:t>ramach Polityki Spójności z działaniami realizowanymi w ramach Wspólnej Polityki Rolnej oraz Wspólnej Polityki Rybackiej</w:t>
      </w:r>
      <w:bookmarkEnd w:id="225"/>
      <w:bookmarkEnd w:id="226"/>
      <w:bookmarkEnd w:id="227"/>
      <w:bookmarkEnd w:id="228"/>
      <w:bookmarkEnd w:id="229"/>
      <w:bookmarkEnd w:id="230"/>
      <w:bookmarkEnd w:id="231"/>
    </w:p>
    <w:p w14:paraId="7892F858" w14:textId="69EF4EB8" w:rsidR="006A2130" w:rsidRPr="0094320D" w:rsidRDefault="006A2130" w:rsidP="0094320D">
      <w:pPr>
        <w:jc w:val="both"/>
        <w:rPr>
          <w:szCs w:val="24"/>
        </w:rPr>
      </w:pPr>
      <w:bookmarkStart w:id="232" w:name="_Toc292793560"/>
      <w:bookmarkStart w:id="233" w:name="_Toc324853889"/>
      <w:bookmarkStart w:id="234" w:name="_Toc327259239"/>
      <w:bookmarkStart w:id="235" w:name="_Toc391466360"/>
      <w:r w:rsidRPr="0094320D">
        <w:rPr>
          <w:szCs w:val="24"/>
        </w:rPr>
        <w:t xml:space="preserve">Ujednolicony dokument </w:t>
      </w:r>
      <w:r w:rsidRPr="0094320D">
        <w:rPr>
          <w:i/>
          <w:szCs w:val="24"/>
        </w:rPr>
        <w:t>Linia demarkacyjna dla programów w ramach Wspólnej Polityki Rolnej, Wspólnej Polityki Rybackiej i Polityki Spójności</w:t>
      </w:r>
      <w:r w:rsidR="00C41198">
        <w:rPr>
          <w:i/>
          <w:szCs w:val="24"/>
        </w:rPr>
        <w:t>,</w:t>
      </w:r>
      <w:r w:rsidRPr="0094320D">
        <w:rPr>
          <w:szCs w:val="24"/>
        </w:rPr>
        <w:t xml:space="preserve"> przyjęty przez Komitet Koordynujący NSRO</w:t>
      </w:r>
      <w:r w:rsidR="00C41198">
        <w:rPr>
          <w:szCs w:val="24"/>
        </w:rPr>
        <w:t>,</w:t>
      </w:r>
      <w:r w:rsidRPr="0094320D">
        <w:rPr>
          <w:szCs w:val="24"/>
        </w:rPr>
        <w:t xml:space="preserve"> przedstawia linię demarkacyjną pomiędzy poszczególnymi regionalnymi programami operacyjnymi a innymi programami realizowanymi w ramach Polityki Spójności, a także Wspólnej Polityki Rolnej i Wspólnej Polityki Rybackiej. Powyższy dokument stanowi</w:t>
      </w:r>
      <w:r w:rsidR="00B32D04">
        <w:rPr>
          <w:szCs w:val="24"/>
        </w:rPr>
        <w:t>ł</w:t>
      </w:r>
      <w:r w:rsidRPr="0094320D">
        <w:rPr>
          <w:szCs w:val="24"/>
        </w:rPr>
        <w:t xml:space="preserve"> tabelaryczne zestawienie zidentyfikowanych na etapie programowania wspólnych obszarów interwencji funduszy UE. Rozdziela</w:t>
      </w:r>
      <w:r w:rsidR="00B32D04">
        <w:rPr>
          <w:szCs w:val="24"/>
        </w:rPr>
        <w:t>ł</w:t>
      </w:r>
      <w:r w:rsidRPr="0094320D">
        <w:rPr>
          <w:szCs w:val="24"/>
        </w:rPr>
        <w:t xml:space="preserve"> interwencje pomiędzy programami operacyjnymi poprzez zawarte w nim kryteria d</w:t>
      </w:r>
      <w:r w:rsidR="00B32D04">
        <w:rPr>
          <w:szCs w:val="24"/>
        </w:rPr>
        <w:t>emarkacyjne. Kryteria te odnosiły</w:t>
      </w:r>
      <w:r w:rsidRPr="0094320D">
        <w:rPr>
          <w:szCs w:val="24"/>
        </w:rPr>
        <w:t xml:space="preserve"> się do zasięgu terytorialnego /charakteru projektów, wartości (kosztów kwalifikowalnych) projektów, rodzaju beneficjenta. W celu zapewnienia przestrzegania realizacji linii demarkacyjnej w RPO WSL zostało sformułowane i zatwierdzone przez członków KM RPO WSL kryterium podstawowe oceny formalnej: </w:t>
      </w:r>
      <w:r w:rsidRPr="0094320D">
        <w:rPr>
          <w:i/>
          <w:szCs w:val="24"/>
        </w:rPr>
        <w:t>Zgodność z linią demarkacyjną pomiędzy Programami Operacyjnymi Polityki Spójności, Wspólnej Polityki Rolnej i Wspólnej Polityki Rybackiej</w:t>
      </w:r>
      <w:r w:rsidRPr="0094320D">
        <w:rPr>
          <w:szCs w:val="24"/>
        </w:rPr>
        <w:t xml:space="preserve">. </w:t>
      </w:r>
    </w:p>
    <w:p w14:paraId="394E367D" w14:textId="074C833D" w:rsidR="006A2130" w:rsidRPr="0094320D" w:rsidRDefault="006A2130" w:rsidP="0094320D">
      <w:pPr>
        <w:spacing w:after="0"/>
        <w:jc w:val="both"/>
        <w:rPr>
          <w:szCs w:val="24"/>
        </w:rPr>
      </w:pPr>
      <w:r w:rsidRPr="0094320D">
        <w:rPr>
          <w:szCs w:val="24"/>
        </w:rPr>
        <w:t>Zapewnieniu stosowania lin</w:t>
      </w:r>
      <w:r w:rsidR="00B32D04">
        <w:rPr>
          <w:szCs w:val="24"/>
        </w:rPr>
        <w:t>ii demarkacyjnej w RPO WSL służyły</w:t>
      </w:r>
      <w:r w:rsidRPr="0094320D">
        <w:rPr>
          <w:szCs w:val="24"/>
        </w:rPr>
        <w:t xml:space="preserve"> następujące narzędzia/instrumenty koordynacji:</w:t>
      </w:r>
    </w:p>
    <w:p w14:paraId="088D3041" w14:textId="087FEA9E" w:rsidR="006A2130" w:rsidRPr="0094320D" w:rsidRDefault="006A2130" w:rsidP="005D7E36">
      <w:pPr>
        <w:pStyle w:val="Akapitzlist"/>
        <w:numPr>
          <w:ilvl w:val="0"/>
          <w:numId w:val="34"/>
        </w:numPr>
        <w:spacing w:after="0"/>
        <w:jc w:val="both"/>
        <w:rPr>
          <w:szCs w:val="24"/>
        </w:rPr>
      </w:pPr>
      <w:r w:rsidRPr="0094320D">
        <w:rPr>
          <w:szCs w:val="24"/>
        </w:rPr>
        <w:t>Komitet Koordynacyjny Narodowe Strategiczne Ramy Odniesienia</w:t>
      </w:r>
      <w:r w:rsidRPr="0094320D">
        <w:rPr>
          <w:b/>
          <w:szCs w:val="24"/>
        </w:rPr>
        <w:t xml:space="preserve"> </w:t>
      </w:r>
      <w:r w:rsidRPr="0094320D">
        <w:rPr>
          <w:szCs w:val="24"/>
        </w:rPr>
        <w:t xml:space="preserve">składający się m.in. z przedstawicieli IZ RPO, IK NSRO oraz Wspólnej Polityki Rolnej </w:t>
      </w:r>
      <w:r w:rsidR="00FF397A">
        <w:rPr>
          <w:szCs w:val="24"/>
        </w:rPr>
        <w:t>i Wspólnej Polityki Rybołówstwa –</w:t>
      </w:r>
      <w:r w:rsidR="00B32D04">
        <w:rPr>
          <w:szCs w:val="24"/>
        </w:rPr>
        <w:t xml:space="preserve"> monitorował</w:t>
      </w:r>
      <w:r w:rsidRPr="0094320D">
        <w:rPr>
          <w:szCs w:val="24"/>
        </w:rPr>
        <w:t xml:space="preserve"> i usprawnia</w:t>
      </w:r>
      <w:r w:rsidR="00B32D04">
        <w:rPr>
          <w:szCs w:val="24"/>
        </w:rPr>
        <w:t>ł</w:t>
      </w:r>
      <w:r w:rsidRPr="0094320D">
        <w:rPr>
          <w:szCs w:val="24"/>
        </w:rPr>
        <w:t xml:space="preserve"> koordynację pomiędzy instrumentami finansowymi UE (EFRR, EFS, FS, EFRROW, EFR) na poziomie krajowym,</w:t>
      </w:r>
    </w:p>
    <w:p w14:paraId="2B80F519" w14:textId="1203A3F6" w:rsidR="006A2130" w:rsidRPr="0094320D" w:rsidRDefault="006A2130" w:rsidP="005D7E36">
      <w:pPr>
        <w:pStyle w:val="Akapitzlist"/>
        <w:numPr>
          <w:ilvl w:val="0"/>
          <w:numId w:val="34"/>
        </w:numPr>
        <w:jc w:val="both"/>
        <w:rPr>
          <w:szCs w:val="24"/>
        </w:rPr>
      </w:pPr>
      <w:r w:rsidRPr="0094320D">
        <w:rPr>
          <w:szCs w:val="24"/>
        </w:rPr>
        <w:t xml:space="preserve">koordynacja na poziomie KM RPO WSL </w:t>
      </w:r>
      <w:r w:rsidR="00FF397A">
        <w:rPr>
          <w:szCs w:val="24"/>
        </w:rPr>
        <w:t xml:space="preserve">– </w:t>
      </w:r>
      <w:r w:rsidRPr="0094320D">
        <w:rPr>
          <w:szCs w:val="24"/>
        </w:rPr>
        <w:t>jednym z narzędzi zapewnienia koordynacji działań współfinansowanych z EFRR z przedsięwzięciami współfinansowanymi z innych środków wspólnotowych w Województwie Śląskim są prace KM RPO WSL, w skład którego wchodzą m.in. przedstawiciele Instytucji Wdrażającej niektóre działania PROW, a także Instytucji Pośredniczącej POKL. Równocześnie</w:t>
      </w:r>
      <w:r w:rsidR="00FF397A">
        <w:rPr>
          <w:szCs w:val="24"/>
        </w:rPr>
        <w:t>,</w:t>
      </w:r>
      <w:r w:rsidRPr="0094320D">
        <w:rPr>
          <w:szCs w:val="24"/>
        </w:rPr>
        <w:t xml:space="preserve"> w pracach Podkomitetu Monitorującego Instytucji Pośredniczącej POKL uczestniczy</w:t>
      </w:r>
      <w:r w:rsidR="00B32D04">
        <w:rPr>
          <w:szCs w:val="24"/>
        </w:rPr>
        <w:t>ł</w:t>
      </w:r>
      <w:r w:rsidRPr="0094320D">
        <w:rPr>
          <w:szCs w:val="24"/>
        </w:rPr>
        <w:t xml:space="preserve"> przedstawiciel Instytucji Zarządzającej RPO WSL, co sprzyja</w:t>
      </w:r>
      <w:r w:rsidR="00B32D04">
        <w:rPr>
          <w:szCs w:val="24"/>
        </w:rPr>
        <w:t>ło</w:t>
      </w:r>
      <w:r w:rsidRPr="0094320D">
        <w:rPr>
          <w:szCs w:val="24"/>
        </w:rPr>
        <w:t xml:space="preserve"> kompleksowej koordynacji działań w zakresie wdrażania i monitorowania projektów wybieranych oraz realizowanych w województwie śląskim,</w:t>
      </w:r>
    </w:p>
    <w:p w14:paraId="0D477E80" w14:textId="77777777" w:rsidR="006A2130" w:rsidRPr="0094320D" w:rsidRDefault="006A2130" w:rsidP="005D7E36">
      <w:pPr>
        <w:pStyle w:val="Akapitzlist"/>
        <w:numPr>
          <w:ilvl w:val="0"/>
          <w:numId w:val="34"/>
        </w:numPr>
        <w:jc w:val="both"/>
        <w:rPr>
          <w:szCs w:val="24"/>
        </w:rPr>
      </w:pPr>
      <w:r w:rsidRPr="0094320D">
        <w:rPr>
          <w:szCs w:val="24"/>
        </w:rPr>
        <w:t xml:space="preserve">koncentracja instytucji zaangażowanych we wdrażanie RPO, komponentu regionalnego PO KL oraz PROW w Urzędzie Marszałkowskim Województwa Śląskiego, </w:t>
      </w:r>
    </w:p>
    <w:p w14:paraId="0ACCB3BE" w14:textId="499AF150" w:rsidR="006A2130" w:rsidRPr="0094320D" w:rsidRDefault="006A2130" w:rsidP="005D7E36">
      <w:pPr>
        <w:pStyle w:val="Akapitzlist"/>
        <w:numPr>
          <w:ilvl w:val="0"/>
          <w:numId w:val="34"/>
        </w:numPr>
        <w:jc w:val="both"/>
        <w:rPr>
          <w:szCs w:val="24"/>
        </w:rPr>
      </w:pPr>
      <w:r w:rsidRPr="0094320D">
        <w:rPr>
          <w:szCs w:val="24"/>
        </w:rPr>
        <w:t xml:space="preserve">oświadczenia beneficjentów o niefinansowaniu składanych projektów z innych źródeł UE </w:t>
      </w:r>
      <w:r w:rsidR="00FF397A">
        <w:rPr>
          <w:szCs w:val="24"/>
        </w:rPr>
        <w:t>–</w:t>
      </w:r>
      <w:r w:rsidRPr="0094320D">
        <w:rPr>
          <w:szCs w:val="24"/>
        </w:rPr>
        <w:t xml:space="preserve"> każdy beneficjent starający s</w:t>
      </w:r>
      <w:r w:rsidR="00B32D04">
        <w:rPr>
          <w:szCs w:val="24"/>
        </w:rPr>
        <w:t>ię o dofinansowanie z RPO WSL miał</w:t>
      </w:r>
      <w:r w:rsidRPr="0094320D">
        <w:rPr>
          <w:szCs w:val="24"/>
        </w:rPr>
        <w:t xml:space="preserve"> obowiązek złożenia </w:t>
      </w:r>
      <w:r w:rsidRPr="0094320D">
        <w:rPr>
          <w:i/>
          <w:szCs w:val="24"/>
        </w:rPr>
        <w:t>Oświadczenia o nienakładaniu się pomocy</w:t>
      </w:r>
      <w:r w:rsidRPr="0094320D">
        <w:rPr>
          <w:szCs w:val="24"/>
        </w:rPr>
        <w:t>,</w:t>
      </w:r>
    </w:p>
    <w:p w14:paraId="6A183F30" w14:textId="1F8AB23B" w:rsidR="006A2130" w:rsidRPr="0094320D" w:rsidRDefault="006A2130" w:rsidP="00B32D04">
      <w:pPr>
        <w:pStyle w:val="Akapitzlist"/>
        <w:numPr>
          <w:ilvl w:val="0"/>
          <w:numId w:val="34"/>
        </w:numPr>
        <w:spacing w:after="120"/>
        <w:ind w:left="714" w:hanging="357"/>
        <w:jc w:val="both"/>
        <w:rPr>
          <w:szCs w:val="24"/>
        </w:rPr>
      </w:pPr>
      <w:r w:rsidRPr="0094320D">
        <w:rPr>
          <w:szCs w:val="24"/>
        </w:rPr>
        <w:t xml:space="preserve">kontrole krzyżowe projektów </w:t>
      </w:r>
      <w:r w:rsidR="00940AAA">
        <w:rPr>
          <w:szCs w:val="24"/>
        </w:rPr>
        <w:t xml:space="preserve">– </w:t>
      </w:r>
      <w:r w:rsidR="00B32D04">
        <w:rPr>
          <w:szCs w:val="24"/>
        </w:rPr>
        <w:t>były</w:t>
      </w:r>
      <w:r w:rsidRPr="0094320D">
        <w:rPr>
          <w:szCs w:val="24"/>
        </w:rPr>
        <w:t xml:space="preserve"> kluczowym mechanizmem unikania podwójnego finansowania. Szczegółowe informacje na temat kontroli krzyżowych przedstawione zostały w pkt. 2.6.4 niniejszego </w:t>
      </w:r>
      <w:r w:rsidRPr="0094320D">
        <w:rPr>
          <w:i/>
          <w:szCs w:val="24"/>
        </w:rPr>
        <w:t>Sprawozdania</w:t>
      </w:r>
      <w:r w:rsidRPr="0094320D">
        <w:rPr>
          <w:szCs w:val="24"/>
        </w:rPr>
        <w:t>.</w:t>
      </w:r>
    </w:p>
    <w:p w14:paraId="3F3CF2FF" w14:textId="1135E230" w:rsidR="006A2130" w:rsidRPr="0094320D" w:rsidRDefault="00B32D04" w:rsidP="0094320D">
      <w:pPr>
        <w:jc w:val="both"/>
        <w:rPr>
          <w:szCs w:val="24"/>
        </w:rPr>
      </w:pPr>
      <w:r>
        <w:rPr>
          <w:szCs w:val="24"/>
        </w:rPr>
        <w:t>Powyższe mechanizmy sprzyjały</w:t>
      </w:r>
      <w:r w:rsidR="006A2130" w:rsidRPr="0094320D">
        <w:rPr>
          <w:szCs w:val="24"/>
        </w:rPr>
        <w:t xml:space="preserve"> zapobieganiu podwójn</w:t>
      </w:r>
      <w:r>
        <w:rPr>
          <w:szCs w:val="24"/>
        </w:rPr>
        <w:t>emu finansowaniu oraz zapewniały</w:t>
      </w:r>
      <w:r w:rsidR="006A2130" w:rsidRPr="0094320D">
        <w:rPr>
          <w:szCs w:val="24"/>
        </w:rPr>
        <w:t xml:space="preserve"> optymalizację wdrażania wszystkich programów.</w:t>
      </w:r>
    </w:p>
    <w:p w14:paraId="20430352" w14:textId="2337C4F7" w:rsidR="00C71AA2" w:rsidRDefault="002E7A75" w:rsidP="0094320D">
      <w:pPr>
        <w:pStyle w:val="Nagwek1"/>
        <w:numPr>
          <w:ilvl w:val="2"/>
          <w:numId w:val="29"/>
        </w:numPr>
        <w:tabs>
          <w:tab w:val="left" w:pos="1560"/>
        </w:tabs>
        <w:spacing w:after="120"/>
        <w:ind w:left="1134" w:hanging="283"/>
        <w:jc w:val="both"/>
        <w:rPr>
          <w:szCs w:val="24"/>
          <w:lang w:eastAsia="ar-SA"/>
        </w:rPr>
      </w:pPr>
      <w:bookmarkStart w:id="236" w:name="_Toc423351776"/>
      <w:bookmarkStart w:id="237" w:name="_Toc473117329"/>
      <w:bookmarkStart w:id="238" w:name="_Toc477779769"/>
      <w:r w:rsidRPr="00060C63">
        <w:rPr>
          <w:szCs w:val="24"/>
          <w:lang w:eastAsia="ar-SA"/>
        </w:rPr>
        <w:lastRenderedPageBreak/>
        <w:t xml:space="preserve">Kontrole krzyżowe </w:t>
      </w:r>
      <w:bookmarkEnd w:id="232"/>
      <w:bookmarkEnd w:id="233"/>
      <w:bookmarkEnd w:id="234"/>
      <w:r w:rsidR="00F33906" w:rsidRPr="00060C63">
        <w:rPr>
          <w:szCs w:val="24"/>
          <w:lang w:eastAsia="ar-SA"/>
        </w:rPr>
        <w:t xml:space="preserve">w zakresie odpowiedzialności </w:t>
      </w:r>
      <w:bookmarkEnd w:id="235"/>
      <w:bookmarkEnd w:id="236"/>
      <w:bookmarkEnd w:id="237"/>
      <w:r w:rsidR="00D55E9A">
        <w:rPr>
          <w:szCs w:val="24"/>
          <w:lang w:eastAsia="ar-SA"/>
        </w:rPr>
        <w:t>iż</w:t>
      </w:r>
      <w:bookmarkEnd w:id="238"/>
    </w:p>
    <w:p w14:paraId="3DA8293A" w14:textId="49A11CC4" w:rsidR="00D005B0" w:rsidRPr="00367271" w:rsidRDefault="00D005B0" w:rsidP="00367271">
      <w:pPr>
        <w:spacing w:before="120"/>
        <w:jc w:val="both"/>
        <w:rPr>
          <w:b/>
          <w:szCs w:val="24"/>
        </w:rPr>
      </w:pPr>
      <w:r w:rsidRPr="00367271">
        <w:rPr>
          <w:b/>
          <w:szCs w:val="24"/>
        </w:rPr>
        <w:t xml:space="preserve">Kontrole prowadzone w ramach RPO WSL 2007-2013 </w:t>
      </w:r>
    </w:p>
    <w:p w14:paraId="258110AF" w14:textId="2B01562F" w:rsidR="00D55E9A" w:rsidRPr="00FB2805" w:rsidRDefault="00D55E9A" w:rsidP="00367271">
      <w:pPr>
        <w:spacing w:before="120"/>
        <w:jc w:val="both"/>
        <w:rPr>
          <w:szCs w:val="24"/>
        </w:rPr>
      </w:pPr>
      <w:r w:rsidRPr="00B3038A">
        <w:rPr>
          <w:szCs w:val="24"/>
        </w:rPr>
        <w:t>Jednym z obowiązków spoczywa</w:t>
      </w:r>
      <w:r w:rsidRPr="00FB2805">
        <w:rPr>
          <w:szCs w:val="24"/>
        </w:rPr>
        <w:t xml:space="preserve">jących na państwach członkowskich w perspektywie finansowej 2007-2013 było prowadzenie kontroli operacji współfinansowanych ze środków </w:t>
      </w:r>
      <w:r>
        <w:rPr>
          <w:szCs w:val="24"/>
        </w:rPr>
        <w:t>europejskich</w:t>
      </w:r>
      <w:r w:rsidRPr="00B3038A">
        <w:rPr>
          <w:szCs w:val="24"/>
        </w:rPr>
        <w:t xml:space="preserve">. Obowiązek ten wypełniany był w </w:t>
      </w:r>
      <w:r w:rsidRPr="00D55E9A">
        <w:rPr>
          <w:szCs w:val="24"/>
        </w:rPr>
        <w:t>ramach ustanowionych</w:t>
      </w:r>
      <w:r w:rsidRPr="00FB2805">
        <w:rPr>
          <w:szCs w:val="24"/>
        </w:rPr>
        <w:t xml:space="preserve"> w tym celu systemu kontroli. Ww. kontrole służyć miały uzyskaniu pewności, że środki wspólnotowe wykorzystywane są w sposób efektywny oraz zgodny z pra</w:t>
      </w:r>
      <w:r w:rsidR="00522614">
        <w:rPr>
          <w:szCs w:val="24"/>
        </w:rPr>
        <w:t>wem i procedurami określonymi w </w:t>
      </w:r>
      <w:r w:rsidRPr="00FB2805">
        <w:rPr>
          <w:szCs w:val="24"/>
        </w:rPr>
        <w:t>aktach prawnych Unii Europejskiej.</w:t>
      </w:r>
    </w:p>
    <w:p w14:paraId="1955746E" w14:textId="38E6CCF3" w:rsidR="00A54CB4" w:rsidRPr="00113567" w:rsidRDefault="00A54CB4" w:rsidP="00367271">
      <w:pPr>
        <w:spacing w:after="120"/>
        <w:jc w:val="both"/>
        <w:rPr>
          <w:bCs/>
          <w:szCs w:val="24"/>
        </w:rPr>
      </w:pPr>
      <w:r w:rsidRPr="00113567">
        <w:rPr>
          <w:szCs w:val="24"/>
        </w:rPr>
        <w:t xml:space="preserve">W ramach RPO WSL prowadzone </w:t>
      </w:r>
      <w:r>
        <w:rPr>
          <w:szCs w:val="24"/>
        </w:rPr>
        <w:t>były</w:t>
      </w:r>
      <w:r w:rsidRPr="00113567">
        <w:rPr>
          <w:szCs w:val="24"/>
        </w:rPr>
        <w:t xml:space="preserve"> </w:t>
      </w:r>
      <w:r>
        <w:rPr>
          <w:szCs w:val="24"/>
        </w:rPr>
        <w:t>poniższ</w:t>
      </w:r>
      <w:r w:rsidRPr="00113567">
        <w:rPr>
          <w:szCs w:val="24"/>
        </w:rPr>
        <w:t>e typy kontroli:</w:t>
      </w:r>
    </w:p>
    <w:p w14:paraId="7E605EAC" w14:textId="77777777" w:rsidR="00A54CB4" w:rsidRDefault="00A54CB4" w:rsidP="00367271">
      <w:pPr>
        <w:pStyle w:val="Tekstpodstawowy"/>
        <w:numPr>
          <w:ilvl w:val="0"/>
          <w:numId w:val="115"/>
        </w:numPr>
        <w:spacing w:after="0" w:line="276" w:lineRule="auto"/>
        <w:ind w:left="426" w:hanging="357"/>
        <w:jc w:val="both"/>
        <w:rPr>
          <w:bCs/>
          <w:sz w:val="24"/>
          <w:szCs w:val="24"/>
        </w:rPr>
      </w:pPr>
      <w:r w:rsidRPr="00113567">
        <w:rPr>
          <w:bCs/>
          <w:sz w:val="24"/>
          <w:szCs w:val="24"/>
        </w:rPr>
        <w:t>Kontrola systemowa (kontrola systemu zarządzania i kontroli w IP2 RPO WSL).</w:t>
      </w:r>
    </w:p>
    <w:p w14:paraId="5659F927" w14:textId="76A77254" w:rsidR="00A54CB4" w:rsidRPr="00B3038A" w:rsidRDefault="00A54CB4" w:rsidP="00367271">
      <w:pPr>
        <w:spacing w:after="0"/>
        <w:jc w:val="both"/>
      </w:pPr>
      <w:r>
        <w:t>W ramach RPO WSL 2007-2013</w:t>
      </w:r>
      <w:r w:rsidR="00797691">
        <w:t xml:space="preserve"> IZ RPO</w:t>
      </w:r>
      <w:r>
        <w:t xml:space="preserve"> </w:t>
      </w:r>
      <w:r w:rsidR="00797691">
        <w:t>przeprowadzała</w:t>
      </w:r>
      <w:r>
        <w:t xml:space="preserve"> </w:t>
      </w:r>
      <w:r w:rsidR="00797691">
        <w:t xml:space="preserve">kontrole systemowe </w:t>
      </w:r>
      <w:r w:rsidRPr="00C73948">
        <w:t>w IP2 RPO WSL.</w:t>
      </w:r>
      <w:r>
        <w:t xml:space="preserve"> </w:t>
      </w:r>
      <w:r w:rsidRPr="00367271">
        <w:t xml:space="preserve">Zakresem kontroli systemowych objęte było m. in.: </w:t>
      </w:r>
      <w:r>
        <w:t xml:space="preserve">przygotowanie instytucjonalne, przygotowanie pisemnych procedur, ich zgodność z prawem, realizacja zapisów </w:t>
      </w:r>
      <w:r w:rsidRPr="00431E05">
        <w:rPr>
          <w:i/>
        </w:rPr>
        <w:t>Porozumienia w sprawie zasad realizacji RPO WSL 2007-2013</w:t>
      </w:r>
      <w:r>
        <w:t xml:space="preserve">. </w:t>
      </w:r>
      <w:r w:rsidRPr="00E41938">
        <w:t>W wyniku przeprowadzonych kontroli IP2 RPO WSL otrzymała szereg rekomendacji i</w:t>
      </w:r>
      <w:r>
        <w:t> </w:t>
      </w:r>
      <w:r w:rsidRPr="00E41938">
        <w:t>zaleceń do wdrożenia</w:t>
      </w:r>
      <w:r w:rsidR="00522614">
        <w:t>.</w:t>
      </w:r>
      <w:r>
        <w:t xml:space="preserve"> Wszystkie wydane przez IZ RPO WSL rekomendacje zostały wdrożone przez IP2 RPO WSL.</w:t>
      </w:r>
    </w:p>
    <w:p w14:paraId="521CEDF6" w14:textId="77777777" w:rsidR="00A54CB4" w:rsidRDefault="00A54CB4" w:rsidP="00367271">
      <w:pPr>
        <w:pStyle w:val="Tekstpodstawowy"/>
        <w:numPr>
          <w:ilvl w:val="0"/>
          <w:numId w:val="115"/>
        </w:numPr>
        <w:spacing w:after="0" w:line="276" w:lineRule="auto"/>
        <w:ind w:left="426"/>
        <w:jc w:val="both"/>
        <w:rPr>
          <w:bCs/>
          <w:sz w:val="24"/>
          <w:szCs w:val="24"/>
        </w:rPr>
      </w:pPr>
      <w:r>
        <w:rPr>
          <w:bCs/>
          <w:sz w:val="24"/>
          <w:szCs w:val="24"/>
        </w:rPr>
        <w:t>Kontrola FROM w ramach kontroli instrumentów inżynierii finansowej.</w:t>
      </w:r>
    </w:p>
    <w:p w14:paraId="2E81BA70" w14:textId="286F4256" w:rsidR="00522614" w:rsidRPr="00B3038A" w:rsidRDefault="00522614" w:rsidP="00367271">
      <w:pPr>
        <w:spacing w:after="0"/>
        <w:jc w:val="both"/>
      </w:pPr>
      <w:r w:rsidRPr="00B3038A">
        <w:rPr>
          <w:szCs w:val="24"/>
        </w:rPr>
        <w:t xml:space="preserve">Instytucja Zarządzająca RPO WSL </w:t>
      </w:r>
      <w:r>
        <w:rPr>
          <w:szCs w:val="24"/>
        </w:rPr>
        <w:t>przeprowadzała</w:t>
      </w:r>
      <w:r w:rsidRPr="00FB2805">
        <w:rPr>
          <w:szCs w:val="24"/>
        </w:rPr>
        <w:t xml:space="preserve"> w siedzibie Funduszu Rozwoju Obszarów Miejskich (Bank Ochrony Środowiska S.A., Centrum Korporacyjne w </w:t>
      </w:r>
      <w:r>
        <w:rPr>
          <w:szCs w:val="24"/>
        </w:rPr>
        <w:t>Katowicach) kontrole</w:t>
      </w:r>
      <w:r w:rsidRPr="00FB2805">
        <w:rPr>
          <w:szCs w:val="24"/>
        </w:rPr>
        <w:t xml:space="preserve"> prawidłowości realizacji Inicjatywy JESSICA w województwie śląskim. Ocenie podlegał system zarządzania, kontroli i prawidłowości wdrażania Inicjatywy JESSICA.</w:t>
      </w:r>
      <w:r w:rsidRPr="00522614">
        <w:t xml:space="preserve"> </w:t>
      </w:r>
      <w:r w:rsidRPr="00E41938">
        <w:t xml:space="preserve">W wyniku przeprowadzonych kontroli </w:t>
      </w:r>
      <w:r>
        <w:t>FROM otrzymał</w:t>
      </w:r>
      <w:r w:rsidRPr="00E41938">
        <w:t xml:space="preserve"> </w:t>
      </w:r>
      <w:r>
        <w:t>rekomendacje</w:t>
      </w:r>
      <w:r w:rsidRPr="00E41938">
        <w:t xml:space="preserve"> i</w:t>
      </w:r>
      <w:r>
        <w:t> zalecenia</w:t>
      </w:r>
      <w:r w:rsidRPr="00E41938">
        <w:t xml:space="preserve"> do wdrożenia</w:t>
      </w:r>
      <w:r>
        <w:t>. Wszystkie wydane przez IZ RPO WSL rekomendacje zostały wdrożone.</w:t>
      </w:r>
    </w:p>
    <w:p w14:paraId="3AE1CB69" w14:textId="2652A8B9" w:rsidR="00A54CB4" w:rsidRDefault="00522614" w:rsidP="00367271">
      <w:pPr>
        <w:pStyle w:val="Tekstpodstawowy"/>
        <w:numPr>
          <w:ilvl w:val="0"/>
          <w:numId w:val="115"/>
        </w:numPr>
        <w:spacing w:after="0" w:line="276" w:lineRule="auto"/>
        <w:ind w:left="425" w:hanging="357"/>
        <w:jc w:val="both"/>
        <w:rPr>
          <w:bCs/>
          <w:sz w:val="24"/>
          <w:szCs w:val="24"/>
        </w:rPr>
      </w:pPr>
      <w:r>
        <w:rPr>
          <w:bCs/>
          <w:sz w:val="24"/>
          <w:szCs w:val="24"/>
        </w:rPr>
        <w:t>Weryfikacja wydatków</w:t>
      </w:r>
    </w:p>
    <w:p w14:paraId="75826467" w14:textId="3BA23A7D" w:rsidR="00522614" w:rsidRPr="00367271" w:rsidRDefault="00522614" w:rsidP="00367271">
      <w:pPr>
        <w:spacing w:after="0"/>
        <w:jc w:val="both"/>
        <w:rPr>
          <w:sz w:val="22"/>
        </w:rPr>
      </w:pPr>
      <w:r>
        <w:t>Uchybienia, jakie były wykrywane w ramach niżej wymienionych kontroli dotyczyły w przeważającej części naruszeń przepisów ustawy PZP oraz zasad kwalifikowalności wydatków, w tym dotyczących nieosiągnięcia lub przekroczenia wartości wskaźników. Wszystkie zalecenia zostały wykonane przez Beneficjentów.</w:t>
      </w:r>
    </w:p>
    <w:p w14:paraId="03455B35" w14:textId="77777777" w:rsidR="00A54CB4" w:rsidRPr="00113567" w:rsidRDefault="00A54CB4" w:rsidP="00367271">
      <w:pPr>
        <w:pStyle w:val="Tekstpodstawowy"/>
        <w:numPr>
          <w:ilvl w:val="0"/>
          <w:numId w:val="113"/>
        </w:numPr>
        <w:spacing w:after="0" w:line="276" w:lineRule="auto"/>
        <w:ind w:left="1077" w:hanging="357"/>
        <w:jc w:val="both"/>
        <w:rPr>
          <w:sz w:val="24"/>
          <w:szCs w:val="24"/>
        </w:rPr>
      </w:pPr>
      <w:r w:rsidRPr="00113567">
        <w:rPr>
          <w:bCs/>
          <w:sz w:val="24"/>
          <w:szCs w:val="24"/>
        </w:rPr>
        <w:t xml:space="preserve">Kontrola na miejscu realizacji projektów (kontrola u beneficjenta): </w:t>
      </w:r>
    </w:p>
    <w:p w14:paraId="16C8AE7D" w14:textId="77777777" w:rsidR="00A54CB4" w:rsidRPr="00113567" w:rsidRDefault="00A54CB4" w:rsidP="00367271">
      <w:pPr>
        <w:pStyle w:val="Tekstpodstawowy"/>
        <w:numPr>
          <w:ilvl w:val="1"/>
          <w:numId w:val="114"/>
        </w:numPr>
        <w:spacing w:after="0" w:line="276" w:lineRule="auto"/>
        <w:jc w:val="both"/>
        <w:rPr>
          <w:bCs/>
          <w:sz w:val="24"/>
          <w:szCs w:val="24"/>
        </w:rPr>
      </w:pPr>
      <w:r w:rsidRPr="00113567">
        <w:rPr>
          <w:bCs/>
          <w:sz w:val="24"/>
          <w:szCs w:val="24"/>
        </w:rPr>
        <w:t>kontrole na zakończenie realizacji projektu;</w:t>
      </w:r>
    </w:p>
    <w:p w14:paraId="2BDAA7AA" w14:textId="77777777" w:rsidR="00A54CB4" w:rsidRPr="00113567" w:rsidRDefault="00A54CB4" w:rsidP="00367271">
      <w:pPr>
        <w:pStyle w:val="Tekstpodstawowy"/>
        <w:numPr>
          <w:ilvl w:val="1"/>
          <w:numId w:val="114"/>
        </w:numPr>
        <w:spacing w:after="0" w:line="276" w:lineRule="auto"/>
        <w:jc w:val="both"/>
        <w:rPr>
          <w:bCs/>
          <w:sz w:val="24"/>
          <w:szCs w:val="24"/>
        </w:rPr>
      </w:pPr>
      <w:r w:rsidRPr="00113567">
        <w:rPr>
          <w:bCs/>
          <w:sz w:val="24"/>
          <w:szCs w:val="24"/>
        </w:rPr>
        <w:t>kontrole w trakcie realizacji projektu;</w:t>
      </w:r>
    </w:p>
    <w:p w14:paraId="7E5EDC5A" w14:textId="77777777" w:rsidR="00A54CB4" w:rsidRPr="00113567" w:rsidRDefault="00A54CB4" w:rsidP="00367271">
      <w:pPr>
        <w:pStyle w:val="Tekstpodstawowy"/>
        <w:numPr>
          <w:ilvl w:val="1"/>
          <w:numId w:val="114"/>
        </w:numPr>
        <w:spacing w:after="0" w:line="276" w:lineRule="auto"/>
        <w:jc w:val="both"/>
        <w:rPr>
          <w:bCs/>
          <w:sz w:val="24"/>
          <w:szCs w:val="24"/>
        </w:rPr>
      </w:pPr>
      <w:r w:rsidRPr="00113567">
        <w:rPr>
          <w:bCs/>
          <w:sz w:val="24"/>
          <w:szCs w:val="24"/>
        </w:rPr>
        <w:t>kontrole doraźne.</w:t>
      </w:r>
    </w:p>
    <w:p w14:paraId="1838605C" w14:textId="77777777" w:rsidR="00A54CB4" w:rsidRPr="00113567" w:rsidRDefault="00A54CB4" w:rsidP="00B3038A">
      <w:pPr>
        <w:pStyle w:val="Tekstpodstawowy"/>
        <w:numPr>
          <w:ilvl w:val="0"/>
          <w:numId w:val="113"/>
        </w:numPr>
        <w:spacing w:after="0" w:line="276" w:lineRule="auto"/>
        <w:jc w:val="both"/>
        <w:rPr>
          <w:bCs/>
          <w:sz w:val="24"/>
          <w:szCs w:val="24"/>
        </w:rPr>
      </w:pPr>
      <w:r w:rsidRPr="00113567">
        <w:rPr>
          <w:bCs/>
          <w:sz w:val="24"/>
          <w:szCs w:val="24"/>
        </w:rPr>
        <w:t xml:space="preserve">Kontrola wydatków – kontrola dokumentów, w tym:  </w:t>
      </w:r>
    </w:p>
    <w:p w14:paraId="45D5600B" w14:textId="77777777" w:rsidR="00A54CB4" w:rsidRPr="00113567" w:rsidRDefault="00A54CB4" w:rsidP="00367271">
      <w:pPr>
        <w:pStyle w:val="Tekstpodstawowy"/>
        <w:numPr>
          <w:ilvl w:val="1"/>
          <w:numId w:val="114"/>
        </w:numPr>
        <w:spacing w:after="0" w:line="276" w:lineRule="auto"/>
        <w:jc w:val="both"/>
        <w:rPr>
          <w:bCs/>
          <w:sz w:val="24"/>
          <w:szCs w:val="24"/>
        </w:rPr>
      </w:pPr>
      <w:r w:rsidRPr="00113567">
        <w:rPr>
          <w:bCs/>
          <w:sz w:val="24"/>
          <w:szCs w:val="24"/>
        </w:rPr>
        <w:t>kontrole dokumentów w trakcie realizacji projektu (m. in. kontrola w trakcie weryfikacji wniosków o płatność, kontrole ex-ante Zamówień Publicznych,);</w:t>
      </w:r>
    </w:p>
    <w:p w14:paraId="25D26FCC" w14:textId="77777777" w:rsidR="00A54CB4" w:rsidRPr="00B63018" w:rsidRDefault="00A54CB4" w:rsidP="00367271">
      <w:pPr>
        <w:pStyle w:val="Tekstpodstawowy"/>
        <w:numPr>
          <w:ilvl w:val="1"/>
          <w:numId w:val="114"/>
        </w:numPr>
        <w:spacing w:after="0" w:line="276" w:lineRule="auto"/>
        <w:jc w:val="both"/>
        <w:rPr>
          <w:bCs/>
          <w:sz w:val="24"/>
          <w:szCs w:val="24"/>
        </w:rPr>
      </w:pPr>
      <w:r w:rsidRPr="00B63018">
        <w:rPr>
          <w:bCs/>
          <w:sz w:val="24"/>
          <w:szCs w:val="24"/>
        </w:rPr>
        <w:t>kontrole dokumentów na zakończenie realizacji projektu.</w:t>
      </w:r>
    </w:p>
    <w:p w14:paraId="1517AADF" w14:textId="77777777" w:rsidR="00A54CB4" w:rsidRPr="00300825" w:rsidRDefault="00A54CB4" w:rsidP="00367271">
      <w:pPr>
        <w:pStyle w:val="Tekstpodstawowy"/>
        <w:numPr>
          <w:ilvl w:val="0"/>
          <w:numId w:val="113"/>
        </w:numPr>
        <w:spacing w:after="0" w:line="276" w:lineRule="auto"/>
        <w:jc w:val="both"/>
        <w:rPr>
          <w:bCs/>
          <w:sz w:val="24"/>
          <w:szCs w:val="24"/>
        </w:rPr>
      </w:pPr>
      <w:r w:rsidRPr="00113567">
        <w:rPr>
          <w:bCs/>
          <w:sz w:val="24"/>
          <w:szCs w:val="24"/>
        </w:rPr>
        <w:t>Kontrola</w:t>
      </w:r>
      <w:r w:rsidRPr="00445B7F">
        <w:rPr>
          <w:bCs/>
          <w:sz w:val="24"/>
          <w:szCs w:val="24"/>
        </w:rPr>
        <w:t xml:space="preserve"> </w:t>
      </w:r>
      <w:r>
        <w:rPr>
          <w:bCs/>
          <w:sz w:val="24"/>
          <w:szCs w:val="24"/>
        </w:rPr>
        <w:t>po zakończeniu realizacji projektu (w tym sprawdzająca trwałość projektu)</w:t>
      </w:r>
      <w:r w:rsidRPr="00113567">
        <w:rPr>
          <w:bCs/>
          <w:sz w:val="24"/>
          <w:szCs w:val="24"/>
        </w:rPr>
        <w:t>.</w:t>
      </w:r>
    </w:p>
    <w:p w14:paraId="4802E49C" w14:textId="77777777" w:rsidR="00A54CB4" w:rsidRPr="00113567" w:rsidRDefault="00A54CB4" w:rsidP="00B3038A">
      <w:pPr>
        <w:pStyle w:val="Tekstpodstawowy"/>
        <w:numPr>
          <w:ilvl w:val="0"/>
          <w:numId w:val="113"/>
        </w:numPr>
        <w:spacing w:after="0" w:line="276" w:lineRule="auto"/>
        <w:jc w:val="both"/>
        <w:rPr>
          <w:bCs/>
          <w:sz w:val="24"/>
          <w:szCs w:val="24"/>
        </w:rPr>
      </w:pPr>
      <w:r w:rsidRPr="00113567">
        <w:rPr>
          <w:bCs/>
          <w:sz w:val="24"/>
          <w:szCs w:val="24"/>
        </w:rPr>
        <w:t>Kontrola krzyżowa.</w:t>
      </w:r>
    </w:p>
    <w:p w14:paraId="01D08F81" w14:textId="77777777" w:rsidR="00A54CB4" w:rsidRDefault="00A54CB4" w:rsidP="00367271">
      <w:pPr>
        <w:spacing w:after="0"/>
        <w:jc w:val="both"/>
      </w:pPr>
    </w:p>
    <w:p w14:paraId="7CFD1D1C" w14:textId="35B6077D" w:rsidR="00A54CB4" w:rsidRDefault="00A54CB4" w:rsidP="00B3038A">
      <w:pPr>
        <w:jc w:val="both"/>
      </w:pPr>
      <w:r>
        <w:lastRenderedPageBreak/>
        <w:t>W ramach RPO WSL 2007-2013 przeprowadzane były także kontrole zewnętrzne. Wśród instytucji kontrolujących znalazły się: Ministerstwo Finansów (MF), Urząd Kontroli Skarbowej (UKS), Najwyższa Izba Kontroli (NIK), Europejski Trybunał Obrachunkowy (ETO), Komisja Europejska (KE), Instytucja Pośrednicząca w Certyfikacji (IPOC), Centralne Biuro Antykorupcyjne (CBA).</w:t>
      </w:r>
      <w:r w:rsidR="00D005B0">
        <w:t xml:space="preserve"> </w:t>
      </w:r>
      <w:r>
        <w:t>Zakresem kontroli objęte były wszystkie obszary realizacji RPO WSL 2007-2013, w tym:</w:t>
      </w:r>
      <w:r w:rsidR="00D005B0">
        <w:t xml:space="preserve"> b</w:t>
      </w:r>
      <w:r>
        <w:t>adanie kluczowych elementów</w:t>
      </w:r>
      <w:r w:rsidR="00D005B0">
        <w:t xml:space="preserve"> systemu zarządzania i kontroli, badanie poprawności</w:t>
      </w:r>
      <w:r>
        <w:t xml:space="preserve"> sporządzonego Poświadczenia i deklaracji wydatków oraz wniosku o płatność okresową od IZ RPO W</w:t>
      </w:r>
      <w:r w:rsidR="00D005B0">
        <w:t xml:space="preserve">SL do Instytucji Certyfikującej. </w:t>
      </w:r>
      <w:r>
        <w:t>W wyniku przeprowadzonych kontroli IZ RPO WSL otrzymała szereg rekomendacji i zaleceń do wdrożenia</w:t>
      </w:r>
      <w:r w:rsidR="00D005B0">
        <w:t xml:space="preserve">. </w:t>
      </w:r>
      <w:r>
        <w:t>Wszystkie wydane przez zewnętrzne instytucje kontrolujące rekomendacje zostały wdrożone przez IZ RPO WSL.</w:t>
      </w:r>
    </w:p>
    <w:p w14:paraId="45E31CBB" w14:textId="21B2732F" w:rsidR="00AB7B53" w:rsidRDefault="00940AAA" w:rsidP="0094320D">
      <w:pPr>
        <w:jc w:val="both"/>
        <w:rPr>
          <w:b/>
          <w:szCs w:val="24"/>
        </w:rPr>
      </w:pPr>
      <w:bookmarkStart w:id="239" w:name="_Toc292789269"/>
      <w:bookmarkStart w:id="240" w:name="_Toc292793561"/>
      <w:r>
        <w:rPr>
          <w:b/>
          <w:szCs w:val="24"/>
        </w:rPr>
        <w:t xml:space="preserve">Działania </w:t>
      </w:r>
      <w:r w:rsidR="00AB7B53" w:rsidRPr="0094320D">
        <w:rPr>
          <w:b/>
          <w:szCs w:val="24"/>
        </w:rPr>
        <w:t xml:space="preserve">IZ RPO WSL </w:t>
      </w:r>
      <w:r w:rsidR="0021401A">
        <w:rPr>
          <w:b/>
          <w:szCs w:val="24"/>
        </w:rPr>
        <w:t>pod</w:t>
      </w:r>
      <w:r>
        <w:rPr>
          <w:b/>
          <w:szCs w:val="24"/>
        </w:rPr>
        <w:t xml:space="preserve">ejmowane </w:t>
      </w:r>
      <w:r w:rsidR="00060C63">
        <w:rPr>
          <w:b/>
          <w:szCs w:val="24"/>
        </w:rPr>
        <w:t>w </w:t>
      </w:r>
      <w:r w:rsidR="00830407" w:rsidRPr="0094320D">
        <w:rPr>
          <w:b/>
          <w:szCs w:val="24"/>
        </w:rPr>
        <w:t>ramach kontroli krzyżowych</w:t>
      </w:r>
    </w:p>
    <w:p w14:paraId="6D667D23" w14:textId="6D0753B3" w:rsidR="00CE19BC" w:rsidRDefault="004424BD" w:rsidP="00CE19BC">
      <w:pPr>
        <w:jc w:val="both"/>
      </w:pPr>
      <w:r>
        <w:t xml:space="preserve">Kontrola krzyżowa </w:t>
      </w:r>
      <w:r w:rsidRPr="00B32D04">
        <w:rPr>
          <w:i/>
        </w:rPr>
        <w:t>P</w:t>
      </w:r>
      <w:r w:rsidR="00CE19BC" w:rsidRPr="00B32D04">
        <w:rPr>
          <w:i/>
        </w:rPr>
        <w:t>rogramu</w:t>
      </w:r>
      <w:r w:rsidR="00CE19BC">
        <w:t xml:space="preserve"> </w:t>
      </w:r>
      <w:r w:rsidR="005521E4">
        <w:t xml:space="preserve">w ostatnim okresie wdrażania </w:t>
      </w:r>
      <w:r w:rsidR="00CE19BC">
        <w:t>przeprowadzana była kwarta</w:t>
      </w:r>
      <w:r w:rsidR="00330FBF">
        <w:t>lnie</w:t>
      </w:r>
      <w:r w:rsidR="00CE19BC">
        <w:t xml:space="preserve"> (</w:t>
      </w:r>
      <w:r>
        <w:t xml:space="preserve">w początkowym etapie wdrażania RPO </w:t>
      </w:r>
      <w:r w:rsidR="00D55E9A">
        <w:t>WSL, – co</w:t>
      </w:r>
      <w:r w:rsidR="00CE19BC">
        <w:t xml:space="preserve"> miesiąc) i obejmowała próbę 5% wszystkich Beneficjentów RPO WSL, którzy realizowali więcej niż jeden projekt w ramach RPO WSL. Kontrole krzyżowe programu przeprowadzali pracownicy Wydziału Europejskiego Funduszu Rozwoju Regionalnego Urzędu Marszałkowskiego Województwa Śląskiego, posiadających stosowne uprawnienia do KS</w:t>
      </w:r>
      <w:r>
        <w:t>I (SIMIK 07-13), którzy dokonywali</w:t>
      </w:r>
      <w:r w:rsidR="00CE19BC">
        <w:t xml:space="preserve"> eksportu danych z systemu infor</w:t>
      </w:r>
      <w:r w:rsidR="00241FA0">
        <w:t>matycznego KSI (SIMIK 07-13) za </w:t>
      </w:r>
      <w:r w:rsidR="00CE19BC">
        <w:t xml:space="preserve">pośrednictwem aplikacji </w:t>
      </w:r>
      <w:r>
        <w:t>OBI i postępowali według wskazanego poniżej schematu</w:t>
      </w:r>
      <w:r w:rsidR="00CE19BC">
        <w:t xml:space="preserve">. </w:t>
      </w:r>
      <w:r w:rsidR="005521E4">
        <w:t xml:space="preserve"> </w:t>
      </w:r>
    </w:p>
    <w:p w14:paraId="1278341B" w14:textId="60590F75" w:rsidR="00CE19BC" w:rsidRDefault="00CE19BC" w:rsidP="004424BD">
      <w:pPr>
        <w:spacing w:after="0"/>
        <w:jc w:val="both"/>
      </w:pPr>
      <w:r>
        <w:t xml:space="preserve">Krok 1. Eksport z systemu informatycznego KSI (SIMIK 07-13) za pośrednictwem aplikacji </w:t>
      </w:r>
      <w:r w:rsidR="004424BD">
        <w:t>OBI</w:t>
      </w:r>
      <w:r>
        <w:t xml:space="preserve"> listy beneficjentów RPO WSL, którzy złożyli wnioski o płatność w okresie podlegającym kontroli k</w:t>
      </w:r>
      <w:r w:rsidR="00F51CBB">
        <w:t>rzyżowej (lista powinna zawierać</w:t>
      </w:r>
      <w:r>
        <w:t xml:space="preserve"> co naj</w:t>
      </w:r>
      <w:r w:rsidR="004424BD">
        <w:t xml:space="preserve">mniej </w:t>
      </w:r>
      <w:r w:rsidR="00F51CBB">
        <w:t>NIP</w:t>
      </w:r>
      <w:r w:rsidR="004424BD">
        <w:t xml:space="preserve"> i nazwę Beneficjenta).</w:t>
      </w:r>
    </w:p>
    <w:p w14:paraId="7A541645" w14:textId="526FF244" w:rsidR="00CE19BC" w:rsidRDefault="00CE19BC" w:rsidP="004424BD">
      <w:pPr>
        <w:spacing w:after="0"/>
        <w:jc w:val="both"/>
      </w:pPr>
      <w:r>
        <w:t>Krok 2.  Uszeregowanie listy benefi</w:t>
      </w:r>
      <w:r w:rsidR="004424BD">
        <w:t>cjentów na podstawie numerów NIP</w:t>
      </w:r>
      <w:r>
        <w:t xml:space="preserve"> – od najmn</w:t>
      </w:r>
      <w:r w:rsidR="004424BD">
        <w:t>iejszego do największego.</w:t>
      </w:r>
    </w:p>
    <w:p w14:paraId="0CE44E10" w14:textId="4EF522DA" w:rsidR="00CE19BC" w:rsidRDefault="00CE19BC" w:rsidP="004424BD">
      <w:pPr>
        <w:spacing w:after="0"/>
        <w:jc w:val="both"/>
      </w:pPr>
      <w:r>
        <w:t>Krok 3.  Ustalenie interwału (kroku przy ustalaniu próby) przy pomocy wzoru:</w:t>
      </w:r>
      <w:r w:rsidR="004424BD">
        <w:t xml:space="preserve"> </w:t>
      </w:r>
      <w:r>
        <w:t>i = B/(B*5%) gdzie: (i - wartość interwału, B - liczba beneficjentów {ustalona na podstawie NIP}, 5% - docelowa wielkość próby)</w:t>
      </w:r>
      <w:r w:rsidR="004424BD">
        <w:t>.</w:t>
      </w:r>
    </w:p>
    <w:p w14:paraId="0E6BA12D" w14:textId="3B5361FD" w:rsidR="00CE19BC" w:rsidRDefault="00CE19BC" w:rsidP="004424BD">
      <w:pPr>
        <w:spacing w:after="0"/>
        <w:jc w:val="both"/>
      </w:pPr>
      <w:r>
        <w:t>Krok 4.  Ustalenie pierwszego elementu za pomocą funkcji LOS aplikacji Microsoft Excel (formuła LOS()*(i-1)+1, gdzie i jest wartością</w:t>
      </w:r>
      <w:r w:rsidR="004424BD">
        <w:t xml:space="preserve"> interwału ustaloną w kroku 3.).</w:t>
      </w:r>
    </w:p>
    <w:p w14:paraId="3AE39717" w14:textId="0BDAA97B" w:rsidR="00CE19BC" w:rsidRDefault="00CE19BC" w:rsidP="004424BD">
      <w:pPr>
        <w:spacing w:after="0"/>
        <w:jc w:val="both"/>
      </w:pPr>
      <w:r>
        <w:t>Krok 5.  Ustalenie próby Beneficjentów do kontroli krzyżowej – dobór kolejnych beneficjentów z listy zgodnie z interwałem (ustalonym w kroku 3), poczynając od pierwszego elementu (ustalonym w kroku 4).  Pracownik dokonujący losowania monitoruje, czy wielkość próby osiągnęła właściwy poziom – w przypadku uzyskania próby mniejszej niż 5% liczby Beneficjentów procedura jest powtarzana od kroku 4 i kontynuowana do uzyskania wymaganej liczby Beneficjentów.</w:t>
      </w:r>
      <w:r w:rsidR="004424BD">
        <w:t xml:space="preserve"> </w:t>
      </w:r>
      <w:r>
        <w:t xml:space="preserve">Minimalny zakres danych wyeksportowanych za pomocą aplikacji </w:t>
      </w:r>
      <w:r w:rsidR="004424BD">
        <w:t>OBI</w:t>
      </w:r>
      <w:r>
        <w:t xml:space="preserve"> zawiera numery NIP i nazwy Beneficjentów,</w:t>
      </w:r>
      <w:r w:rsidR="004424BD">
        <w:t xml:space="preserve"> nazwy projektów, numery umów o </w:t>
      </w:r>
      <w:r>
        <w:t>dofinansowanie, numery poszczególnych wniosków o płatność, numery i kwoty brutto dokumentów księgowych, kwoty wydatków kwalifikowalnych autoryzowanych przez IZ RPO WSL oraz IP2 RPO WSL (nazwy pól w KSI-SIMIK: „NIP beneficjenta”, „Nazwa beneficjenta”, „Tytuł projektu”, „Numer umowy/decyzji”, „Numer wniosku o płatność”, „Numer dokumentu”, „Numer księgowy lub ewidencyjny”, „Nazwa towaru lub usługi”, „Kwota brutto dokumentu”, „Kwota wydatków kwalifikowalnych po autoryzac</w:t>
      </w:r>
      <w:r w:rsidR="00241FA0">
        <w:t xml:space="preserve">ji”). Dane </w:t>
      </w:r>
      <w:r w:rsidR="00241FA0">
        <w:lastRenderedPageBreak/>
        <w:t>te </w:t>
      </w:r>
      <w:r>
        <w:t xml:space="preserve">zawierają szczegółowe informacje o wydatkach poniesionych przez Beneficjentów w okresie podlegającym kontroli. Dane wyeksportowane za pomocą aplikacji </w:t>
      </w:r>
      <w:r w:rsidR="004424BD">
        <w:t>OBI</w:t>
      </w:r>
      <w:r>
        <w:t xml:space="preserve"> każdorazowo podlegają uzupełnieniu o dane, które zostały wprowadzone do KSI SIMIK w nieedy</w:t>
      </w:r>
      <w:r w:rsidR="00565B38">
        <w:t>towalnym formacie</w:t>
      </w:r>
      <w:r>
        <w:t>.</w:t>
      </w:r>
      <w:r w:rsidR="00565B38">
        <w:t xml:space="preserve"> </w:t>
      </w:r>
      <w:r>
        <w:t>pdf (do danych z eksportu dodawany jest plik przygotowany w formacie arkusza kalkulacyjnego, zawierający wydatki przedstawione w KSI SIMIK w formie załączników .pdf).</w:t>
      </w:r>
    </w:p>
    <w:p w14:paraId="48281A75" w14:textId="744BA51E" w:rsidR="00CE19BC" w:rsidRDefault="004424BD" w:rsidP="004424BD">
      <w:pPr>
        <w:spacing w:after="0"/>
        <w:jc w:val="both"/>
      </w:pPr>
      <w:r>
        <w:t xml:space="preserve">Następnie </w:t>
      </w:r>
      <w:r w:rsidR="00CE19BC">
        <w:t>scalone dane podlegają agregacji, sortowaniu i analizie w arkuszu roboczym. Celem przeprowadzonej analizy jest znalezienie tych wydatków beneficjenta, które mogły zostać wielokrotnie zrefundowane (lub wykazane do refundacji) w ramach funduszy UE. Analiza polega na sprawdzeniu czy Beneficjent (określony według numeru NIP) nie wykazał wielokrotnie tego samego wydatku (powtórzenie się tej s</w:t>
      </w:r>
      <w:r>
        <w:t>amej „Kwoty brutto dokumentu” i </w:t>
      </w:r>
      <w:r w:rsidR="00CE19BC">
        <w:t>„Numeru dokumentu” lub „Numeru księgowego lub ewidencyjnego” dla tego samego „NIP-u beneficjenta”) w ramach różnych realizowanych projektów.</w:t>
      </w:r>
    </w:p>
    <w:p w14:paraId="1FD6EBB9" w14:textId="77777777" w:rsidR="00CE19BC" w:rsidRDefault="00CE19BC" w:rsidP="004424BD">
      <w:pPr>
        <w:spacing w:after="0"/>
        <w:jc w:val="both"/>
      </w:pPr>
      <w:r>
        <w:t>Krok 6.  Przygotowanie notatki służbowej dokumentującej metodę losowania, zestawienie numerów NIP i nazw Beneficjentów podlegających losowaniu oraz listę Beneficjentów wylosowanych do kontroli krzyżowej.</w:t>
      </w:r>
    </w:p>
    <w:p w14:paraId="795267C9" w14:textId="5E837BE1" w:rsidR="00CE19BC" w:rsidRDefault="00CE19BC" w:rsidP="004424BD">
      <w:pPr>
        <w:spacing w:after="0"/>
        <w:jc w:val="both"/>
      </w:pPr>
      <w:r>
        <w:t xml:space="preserve">Czynności kontrolne są dokumentowane na formularzu </w:t>
      </w:r>
      <w:r w:rsidRPr="004424BD">
        <w:rPr>
          <w:i/>
        </w:rPr>
        <w:t>Lista sprawdzająca do kontroli krzyżowej RPO - WSL 2007-2013</w:t>
      </w:r>
      <w:r>
        <w:t xml:space="preserve">. Wnioski zawarte </w:t>
      </w:r>
      <w:r w:rsidRPr="004424BD">
        <w:rPr>
          <w:i/>
        </w:rPr>
        <w:t>w Liście sprawdzającej do kontroli krzyżowej</w:t>
      </w:r>
      <w:r>
        <w:t xml:space="preserve"> stanowią podstawę do podjęcia ewentualnych dodatkowych czynności wyjaśniających i kontrolnych, z kontrolą doraźną włącznie. </w:t>
      </w:r>
    </w:p>
    <w:p w14:paraId="69648832" w14:textId="77777777" w:rsidR="00CE19BC" w:rsidRDefault="00CE19BC" w:rsidP="004424BD">
      <w:pPr>
        <w:spacing w:after="0"/>
        <w:jc w:val="both"/>
      </w:pPr>
    </w:p>
    <w:p w14:paraId="50C9E1DF" w14:textId="77777777" w:rsidR="00CE19BC" w:rsidRPr="004424BD" w:rsidRDefault="00CE19BC" w:rsidP="004424BD">
      <w:pPr>
        <w:spacing w:after="120"/>
        <w:jc w:val="both"/>
        <w:rPr>
          <w:b/>
        </w:rPr>
      </w:pPr>
      <w:r w:rsidRPr="004424BD">
        <w:rPr>
          <w:b/>
        </w:rPr>
        <w:t>Kontrole krzyżowe z PROW i PO RYBY oraz międzyokresowe</w:t>
      </w:r>
    </w:p>
    <w:p w14:paraId="310F013D" w14:textId="686F7FE2" w:rsidR="00CE19BC" w:rsidRDefault="00CE19BC" w:rsidP="004424BD">
      <w:pPr>
        <w:spacing w:after="0"/>
        <w:jc w:val="both"/>
      </w:pPr>
      <w:r>
        <w:t>W trakcie kontroli na miejscu realizacji projektu s</w:t>
      </w:r>
      <w:r w:rsidR="00B32D04">
        <w:t>zczególnej weryfikacji podlegały</w:t>
      </w:r>
      <w:r>
        <w:t xml:space="preserve"> duplikaty faktur – w przypadku</w:t>
      </w:r>
      <w:r w:rsidR="00B32D04">
        <w:t xml:space="preserve"> Beneficjentów, którzy realizowali</w:t>
      </w:r>
      <w:r>
        <w:t xml:space="preserve"> projekty zarówno w ramach RPO WSL, jak i PROW lub PO RYBY.  W przypadku stwierdzenia, że Beneficjent (z listy Beneficjentów, którzy realizowali projekty zarówno w ramach RPO WSL, jak i</w:t>
      </w:r>
      <w:r w:rsidR="004424BD">
        <w:t> </w:t>
      </w:r>
      <w:r>
        <w:t xml:space="preserve">PROW lub PO RYBY) przedstawił do refundacji duplikat faktury, w pierwszej kolejności generowany </w:t>
      </w:r>
      <w:r w:rsidR="00B32D04">
        <w:t xml:space="preserve">był </w:t>
      </w:r>
      <w:r>
        <w:t xml:space="preserve">dla danego Beneficjenta raport pogłębiony z systemu OFSA PROW - celem weryfikacji możliwości podwójnego dofinansowania. Jeśli informacje zawarte w raporcie pogłębionym </w:t>
      </w:r>
      <w:r w:rsidR="00B32D04">
        <w:t xml:space="preserve">były </w:t>
      </w:r>
      <w:r>
        <w:t>niewyst</w:t>
      </w:r>
      <w:r w:rsidR="00B32D04">
        <w:t>arczające, IZ RPO WSL zwracało się</w:t>
      </w:r>
      <w:r>
        <w:t xml:space="preserve"> do właściwych instytucji PROW i/lub PO RYBY z zapytaniem, czy w ramach programu, którym zar</w:t>
      </w:r>
      <w:r w:rsidR="00B32D04">
        <w:t>ządzają, dokonano refundacji na </w:t>
      </w:r>
      <w:r>
        <w:t xml:space="preserve">podstawie oryginału tej faktury. Lista Beneficjentów, którzy realizowali projekty zarówno w ramach RPO WSL, jak i PROW lub PO RYBY aktualizowana </w:t>
      </w:r>
      <w:r w:rsidR="00B32D04">
        <w:t>była</w:t>
      </w:r>
      <w:r>
        <w:t xml:space="preserve"> raz na kwartał, zgodnie z metodyką dotyczącą przeglądu procedur i wyników kontroli.</w:t>
      </w:r>
    </w:p>
    <w:p w14:paraId="27AF5F59" w14:textId="66E78A02" w:rsidR="00CE19BC" w:rsidRDefault="00CE19BC" w:rsidP="004424BD">
      <w:pPr>
        <w:spacing w:after="0"/>
        <w:jc w:val="both"/>
      </w:pPr>
      <w:r>
        <w:t>Dla zapewnienia, że wydatki przedstawione do refundacji w ramach RPO WSL nie zostały wcześniej zrefundowane lub przedstawione do refund</w:t>
      </w:r>
      <w:r w:rsidR="00241FA0">
        <w:t>acji w ramach PROW, PO RYBY lub </w:t>
      </w:r>
      <w:r>
        <w:t xml:space="preserve">innych programów w ramach NSRO, czy też programów poprzedniej perspektywy finansowej – kontrolujący, w trakcie kontroli na miejscu sprawdzają, czy na oryginałach faktur (lub dokumentów o równoważnej wartości dowodowej) nie zamieszczono adnotacji innych instytucji zarządzających/wdrażających np. „Przedstawiono do refundacji w ramach Programu Rozwoju Obszarów Wiejskich na lata 2007-2013”. W przypadku stwierdzenia takiej adnotacji, kontrolujący przeprowadzają dodatkowe czynności wyjaśniające, czy wydatek ten został faktycznie zrefundowany w ramach innego programu operacyjnego – czynności te obejmują między innymi weryfikację danych zarejestrowanych </w:t>
      </w:r>
      <w:r w:rsidR="008E5927">
        <w:t xml:space="preserve">w systemach OFSA PROW 2007-13 </w:t>
      </w:r>
      <w:r w:rsidR="008E5927">
        <w:lastRenderedPageBreak/>
        <w:t>i </w:t>
      </w:r>
      <w:r>
        <w:t xml:space="preserve">RYBY 2007-13 a w sytuacji, gdy dane te </w:t>
      </w:r>
      <w:r w:rsidR="00F41B2B">
        <w:t xml:space="preserve">były </w:t>
      </w:r>
      <w:r>
        <w:t xml:space="preserve">niewystarczające – wystąpienie do właściwej instytucji w ramach PROW i PO RYBY z wnioskiem o przekazanie w możliwie najkrótszym terminie kopii wskazanych faktur lub dokumentów o równoważnej wartości dowodowej. Wydatek zrefundowany w ramach innego programu operacyjnego nie może być refundowany w ramach RPO WSL. </w:t>
      </w:r>
    </w:p>
    <w:p w14:paraId="0DE9992D" w14:textId="2F96E0D4" w:rsidR="00CE19BC" w:rsidRDefault="00CE19BC" w:rsidP="004424BD">
      <w:pPr>
        <w:spacing w:after="0"/>
        <w:jc w:val="both"/>
      </w:pPr>
      <w:r>
        <w:t xml:space="preserve">Informacja o przeprowadzeniu kontroli oryginałów faktur (lub dokumentów o równoważnej wartości dowodowej) w projektach, których Beneficjenci </w:t>
      </w:r>
      <w:r w:rsidR="00F41B2B">
        <w:t>realizowali również projekty w </w:t>
      </w:r>
      <w:r>
        <w:t xml:space="preserve">ramach PROW i/lub PO RYBY (zgodnie z aktualizowaną raz na kwartał listą) odnotowywane </w:t>
      </w:r>
      <w:r w:rsidR="00F41B2B">
        <w:t>były</w:t>
      </w:r>
      <w:r>
        <w:t xml:space="preserve"> w KSI (SIMIK 07-13) w module Kontrole poprzez zaznaczenie odpowiedniej wartości w polu Kontrola krzyżowa horyzontalna z projektami PROW /PO RYBY.</w:t>
      </w:r>
    </w:p>
    <w:p w14:paraId="55A5FD88" w14:textId="77777777" w:rsidR="00CE19BC" w:rsidRDefault="00CE19BC" w:rsidP="004424BD">
      <w:pPr>
        <w:spacing w:after="0"/>
        <w:jc w:val="both"/>
      </w:pPr>
    </w:p>
    <w:p w14:paraId="2F967435" w14:textId="1FF6FE5D" w:rsidR="00CE19BC" w:rsidRDefault="00CE19BC" w:rsidP="004424BD">
      <w:pPr>
        <w:spacing w:after="0"/>
        <w:jc w:val="both"/>
      </w:pPr>
      <w:r>
        <w:t>Możliwość podwójnego finansowania wydatków przez Beneficjentów RPO WSL, realizujących projekty także w ramach PROW lub PO RYBY stanowi jeden z czynników ryzyka, który jest brany pod uwagę przy ustalaniu próby projektów do kontroli na miejscu realizacji.</w:t>
      </w:r>
      <w:r w:rsidR="004424BD">
        <w:t xml:space="preserve"> </w:t>
      </w:r>
      <w:r>
        <w:t>W sytuacji wykrycia podwójnego finansowania wydatków przez Beneficjenta, IZ</w:t>
      </w:r>
      <w:r w:rsidR="00F41B2B">
        <w:t xml:space="preserve"> RPO WSL niezwłocznie przekazywała</w:t>
      </w:r>
      <w:r>
        <w:t xml:space="preserve"> informację w tym zak</w:t>
      </w:r>
      <w:r w:rsidR="008E5927">
        <w:t>resie do właściwej instytucji w </w:t>
      </w:r>
      <w:r>
        <w:t>ramach PROW i PO RYBY oraz do IPOC, stosując procedury postępowania przewidziane w sytuacji wykrycia nieprawidłowości w realizacji projektu.</w:t>
      </w:r>
      <w:r w:rsidR="004424BD">
        <w:t xml:space="preserve"> </w:t>
      </w:r>
      <w:r>
        <w:t xml:space="preserve">Lista Beneficjentów, którzy realizowali projekty zarówno w ramach RPO WSL, jak i PROW lub PO RYBY aktualizowana </w:t>
      </w:r>
      <w:r w:rsidR="00F41B2B">
        <w:t>była</w:t>
      </w:r>
      <w:r>
        <w:t xml:space="preserve"> raz na kwartał, zgodnie z metodyką</w:t>
      </w:r>
      <w:r w:rsidR="008E5927">
        <w:t xml:space="preserve"> dotyczącą przeglądu procedur i </w:t>
      </w:r>
      <w:r>
        <w:t>wyników kontroli.</w:t>
      </w:r>
    </w:p>
    <w:p w14:paraId="7B7A0415" w14:textId="77777777" w:rsidR="00CE19BC" w:rsidRPr="0094320D" w:rsidRDefault="00CE19BC" w:rsidP="004424BD">
      <w:pPr>
        <w:spacing w:after="0"/>
        <w:jc w:val="both"/>
        <w:rPr>
          <w:b/>
          <w:szCs w:val="24"/>
        </w:rPr>
      </w:pPr>
    </w:p>
    <w:p w14:paraId="36CEDD60" w14:textId="65221A9E" w:rsidR="00AB7B53" w:rsidRDefault="00AB7B53" w:rsidP="0094320D">
      <w:pPr>
        <w:jc w:val="both"/>
        <w:rPr>
          <w:b/>
          <w:szCs w:val="24"/>
        </w:rPr>
      </w:pPr>
      <w:r w:rsidRPr="0094320D">
        <w:rPr>
          <w:b/>
          <w:szCs w:val="24"/>
        </w:rPr>
        <w:t xml:space="preserve">IP2 RPO WSL </w:t>
      </w:r>
      <w:r w:rsidR="0021401A">
        <w:rPr>
          <w:b/>
          <w:szCs w:val="24"/>
        </w:rPr>
        <w:t>podejmowało</w:t>
      </w:r>
      <w:r w:rsidR="00060C63">
        <w:rPr>
          <w:b/>
          <w:szCs w:val="24"/>
        </w:rPr>
        <w:t xml:space="preserve"> następujące działania w </w:t>
      </w:r>
      <w:r w:rsidRPr="0094320D">
        <w:rPr>
          <w:b/>
          <w:szCs w:val="24"/>
        </w:rPr>
        <w:t>rama</w:t>
      </w:r>
      <w:r w:rsidR="00830407" w:rsidRPr="0094320D">
        <w:rPr>
          <w:b/>
          <w:szCs w:val="24"/>
        </w:rPr>
        <w:t>ch kontroli krzyżowych</w:t>
      </w:r>
    </w:p>
    <w:p w14:paraId="18460522" w14:textId="5482D0F2" w:rsidR="0021401A" w:rsidRDefault="0021401A" w:rsidP="0021401A">
      <w:pPr>
        <w:spacing w:before="120"/>
        <w:jc w:val="both"/>
        <w:rPr>
          <w:szCs w:val="24"/>
          <w:lang w:eastAsia="ko-KR"/>
        </w:rPr>
      </w:pPr>
      <w:r>
        <w:rPr>
          <w:lang w:eastAsia="ko-KR"/>
        </w:rPr>
        <w:t>W ramach weryfikacji każdego wniosku o płatność pośrednią lub końcową na podstawie danych zamieszczonych w LSI oraz na podstawie dokumentów księgowych poświadczających poniesione wydatki załączonych do wniosku o płatność następowała identyfikacja beneficjentów realizujących więcej niż jeden projekt w ramach poddziałań wdrażanych przez IP2 RPO WSL, która dokonywana była w oparciu o Numery Identyfikacji Podatkowej (NIP) za pomocą systemu LSI – moduł kontrole krzyżowe. System na podstawie wprowadzonego NIP wyszukiwał w ramach danego beneficjenta (biorąc pod uwagę różne umowy o dofinansowanie) powtarzające się numery doku</w:t>
      </w:r>
      <w:r w:rsidR="00241FA0">
        <w:rPr>
          <w:lang w:eastAsia="ko-KR"/>
        </w:rPr>
        <w:t>mentów księgowych wykazanych we </w:t>
      </w:r>
      <w:r>
        <w:rPr>
          <w:lang w:eastAsia="ko-KR"/>
        </w:rPr>
        <w:t>wnioskach o płatność danego beneficjenta (na podstawie tabeli 13 wniosku o płatność kol. 1 – nr dokumentu księgowego).</w:t>
      </w:r>
    </w:p>
    <w:p w14:paraId="7C8CFE60" w14:textId="7585519D" w:rsidR="0021401A" w:rsidRPr="0021401A" w:rsidRDefault="0021401A" w:rsidP="0021401A">
      <w:pPr>
        <w:jc w:val="both"/>
        <w:rPr>
          <w:lang w:eastAsia="ko-KR"/>
        </w:rPr>
      </w:pPr>
      <w:r>
        <w:rPr>
          <w:lang w:eastAsia="ko-KR"/>
        </w:rPr>
        <w:t xml:space="preserve">W przypadku, gdy </w:t>
      </w:r>
      <w:r w:rsidRPr="0021401A">
        <w:rPr>
          <w:szCs w:val="24"/>
          <w:lang w:eastAsia="ko-KR"/>
        </w:rPr>
        <w:t>na dokumencie księgowym wystąpiły zapisy, że dany wydatek został</w:t>
      </w:r>
      <w:r>
        <w:rPr>
          <w:szCs w:val="24"/>
          <w:lang w:eastAsia="ko-KR"/>
        </w:rPr>
        <w:t xml:space="preserve"> sfinansowany </w:t>
      </w:r>
      <w:r w:rsidRPr="0021401A">
        <w:rPr>
          <w:szCs w:val="24"/>
          <w:lang w:eastAsia="ko-KR"/>
        </w:rPr>
        <w:t>w ramach innego poddziałania RPO WSL/PRO</w:t>
      </w:r>
      <w:r>
        <w:rPr>
          <w:szCs w:val="24"/>
          <w:lang w:eastAsia="ko-KR"/>
        </w:rPr>
        <w:t xml:space="preserve">W 07-13/PO RYBY 2007-2013 lub </w:t>
      </w:r>
      <w:r w:rsidRPr="0021401A">
        <w:rPr>
          <w:szCs w:val="24"/>
          <w:lang w:eastAsia="ko-KR"/>
        </w:rPr>
        <w:t>po weryfikacji danych zamieszczonych w LSI stwierdzono ujęcie tego samego dokumentu księgowego w ramach, co najmniej dwóch wniosków o płatność i jednocześnie brak wymaganych zapisów na dokumentach księgowych, które potwi</w:t>
      </w:r>
      <w:r>
        <w:rPr>
          <w:szCs w:val="24"/>
          <w:lang w:eastAsia="ko-KR"/>
        </w:rPr>
        <w:t xml:space="preserve">erdziłyby ten fakt, </w:t>
      </w:r>
      <w:r>
        <w:rPr>
          <w:lang w:eastAsia="ko-KR"/>
        </w:rPr>
        <w:t xml:space="preserve">przeprowadzano kontrolę oryginałów dokumentów księgowych przedkładanych przez beneficjenta do rozliczenia lub kontrolę projektów na miejscu realizacji w trybie doraźnym. </w:t>
      </w:r>
    </w:p>
    <w:p w14:paraId="1B0FC0BE" w14:textId="77777777" w:rsidR="0021401A" w:rsidRDefault="0021401A" w:rsidP="0021401A">
      <w:pPr>
        <w:jc w:val="both"/>
        <w:rPr>
          <w:lang w:eastAsia="ko-KR"/>
        </w:rPr>
      </w:pPr>
      <w:r>
        <w:rPr>
          <w:lang w:eastAsia="ko-KR"/>
        </w:rPr>
        <w:lastRenderedPageBreak/>
        <w:t xml:space="preserve">Nie stwierdzono przypadków, w których weryfikacja dokumentacji potwierdziłaby podwójne finansowanie tego samego wydatku. </w:t>
      </w:r>
    </w:p>
    <w:p w14:paraId="48079393" w14:textId="4661F9FC" w:rsidR="0021401A" w:rsidRDefault="0021401A" w:rsidP="0021401A">
      <w:pPr>
        <w:jc w:val="both"/>
        <w:rPr>
          <w:lang w:eastAsia="ko-KR"/>
        </w:rPr>
      </w:pPr>
      <w:r>
        <w:rPr>
          <w:lang w:eastAsia="ko-KR"/>
        </w:rPr>
        <w:t>W przypadkach, gdy beneficjent przed podpisaniem umowy o dofinansowanie uzyskał dodatkową pomoc publiczną na te same wydatki, IP2 RPO WSL stosowała odpowiednie pomniejszenie dofinansowania w celu zachowania możliwego poziomu pomocy.</w:t>
      </w:r>
    </w:p>
    <w:p w14:paraId="04FBAAF1" w14:textId="1D8DBEBF" w:rsidR="008E5927" w:rsidRDefault="008E5927" w:rsidP="0021401A">
      <w:pPr>
        <w:jc w:val="both"/>
        <w:rPr>
          <w:lang w:eastAsia="ko-KR"/>
        </w:rPr>
      </w:pPr>
      <w:r w:rsidRPr="004424BD">
        <w:rPr>
          <w:b/>
        </w:rPr>
        <w:t>Kontrole krzyżowe z PROW i PO RYBY</w:t>
      </w:r>
    </w:p>
    <w:p w14:paraId="07721DC1" w14:textId="074BD7FB" w:rsidR="0021401A" w:rsidRPr="0021401A" w:rsidRDefault="0021401A" w:rsidP="0094320D">
      <w:pPr>
        <w:jc w:val="both"/>
        <w:rPr>
          <w:lang w:eastAsia="en-US"/>
        </w:rPr>
      </w:pPr>
      <w:r>
        <w:rPr>
          <w:lang w:eastAsia="en-US"/>
        </w:rPr>
        <w:t>W ramach perspektywy 2007-2013 nie przeprowadzono kontroli krzyżowych w miejscu realizacji projektu. W ramach kontroli projektów w miejscu realizacji projektu (na zakończenie ich realizacji, zgodnie z metodologią doboru próby) weryfikowano również pod kątem podwójnego finansowania wydatków z PROW 07-13 i PO RYBY 07-13 – nie stwierdzono nieprawidłowości.</w:t>
      </w:r>
    </w:p>
    <w:p w14:paraId="1CBA5356" w14:textId="77777777" w:rsidR="0005410E" w:rsidRPr="0094320D" w:rsidRDefault="00E44009" w:rsidP="0094320D">
      <w:pPr>
        <w:pStyle w:val="Nagwek1"/>
        <w:numPr>
          <w:ilvl w:val="1"/>
          <w:numId w:val="26"/>
        </w:numPr>
        <w:tabs>
          <w:tab w:val="left" w:pos="1560"/>
        </w:tabs>
        <w:spacing w:after="120"/>
        <w:jc w:val="both"/>
        <w:rPr>
          <w:bCs w:val="0"/>
          <w:szCs w:val="24"/>
        </w:rPr>
      </w:pPr>
      <w:bookmarkStart w:id="241" w:name="_Toc391466361"/>
      <w:bookmarkStart w:id="242" w:name="_Toc423351777"/>
      <w:bookmarkStart w:id="243" w:name="_Toc477779770"/>
      <w:r w:rsidRPr="0094320D">
        <w:rPr>
          <w:bCs w:val="0"/>
          <w:szCs w:val="24"/>
        </w:rPr>
        <w:t>MONITOROWANIE I OCENA</w:t>
      </w:r>
      <w:bookmarkEnd w:id="239"/>
      <w:bookmarkEnd w:id="240"/>
      <w:bookmarkEnd w:id="241"/>
      <w:bookmarkEnd w:id="242"/>
      <w:bookmarkEnd w:id="243"/>
    </w:p>
    <w:p w14:paraId="331BC4C3" w14:textId="2191A98F" w:rsidR="002D3770" w:rsidRDefault="002D3770" w:rsidP="0094320D">
      <w:pPr>
        <w:widowControl w:val="0"/>
        <w:autoSpaceDE w:val="0"/>
        <w:autoSpaceDN w:val="0"/>
        <w:adjustRightInd w:val="0"/>
        <w:spacing w:after="120"/>
        <w:jc w:val="both"/>
        <w:rPr>
          <w:szCs w:val="24"/>
        </w:rPr>
      </w:pPr>
      <w:r w:rsidRPr="0094320D">
        <w:rPr>
          <w:szCs w:val="24"/>
        </w:rPr>
        <w:t xml:space="preserve">Proces monitorowania </w:t>
      </w:r>
      <w:r w:rsidR="00C12A1F">
        <w:rPr>
          <w:szCs w:val="24"/>
        </w:rPr>
        <w:t>był</w:t>
      </w:r>
      <w:r w:rsidRPr="0094320D">
        <w:rPr>
          <w:szCs w:val="24"/>
        </w:rPr>
        <w:t xml:space="preserve"> prowadzony przez wszystkie instytucje uczestniczące we wdrażaniu i zarządzaniu RPO WSL. Na poziomie regionalnym w proces ten włączeni </w:t>
      </w:r>
      <w:r w:rsidR="00C12A1F">
        <w:rPr>
          <w:szCs w:val="24"/>
        </w:rPr>
        <w:t>byli</w:t>
      </w:r>
      <w:r w:rsidRPr="0094320D">
        <w:rPr>
          <w:szCs w:val="24"/>
        </w:rPr>
        <w:t> beneficjenci, IP2 RPO WSL, IZ RPO WSL ora</w:t>
      </w:r>
      <w:r w:rsidR="00C12A1F">
        <w:rPr>
          <w:szCs w:val="24"/>
        </w:rPr>
        <w:t xml:space="preserve">z </w:t>
      </w:r>
      <w:r w:rsidR="0080108E">
        <w:rPr>
          <w:szCs w:val="24"/>
        </w:rPr>
        <w:t>KM</w:t>
      </w:r>
      <w:r w:rsidR="00C12A1F">
        <w:rPr>
          <w:szCs w:val="24"/>
        </w:rPr>
        <w:t>.</w:t>
      </w:r>
    </w:p>
    <w:p w14:paraId="369D2341" w14:textId="67214028" w:rsidR="002D3770" w:rsidRPr="0094320D" w:rsidRDefault="002D3770" w:rsidP="0094320D">
      <w:pPr>
        <w:widowControl w:val="0"/>
        <w:autoSpaceDE w:val="0"/>
        <w:autoSpaceDN w:val="0"/>
        <w:adjustRightInd w:val="0"/>
        <w:spacing w:before="11"/>
        <w:jc w:val="both"/>
        <w:rPr>
          <w:szCs w:val="24"/>
        </w:rPr>
      </w:pPr>
      <w:r w:rsidRPr="0094320D">
        <w:rPr>
          <w:szCs w:val="24"/>
        </w:rPr>
        <w:t xml:space="preserve">System monitorowania wspierany </w:t>
      </w:r>
      <w:r w:rsidR="00CF20B8">
        <w:rPr>
          <w:szCs w:val="24"/>
        </w:rPr>
        <w:t>był</w:t>
      </w:r>
      <w:r w:rsidRPr="0094320D">
        <w:rPr>
          <w:szCs w:val="24"/>
        </w:rPr>
        <w:t xml:space="preserve"> poprzez</w:t>
      </w:r>
      <w:r w:rsidR="00CF20B8">
        <w:rPr>
          <w:szCs w:val="24"/>
        </w:rPr>
        <w:t xml:space="preserve"> dwa systemy informatyczne</w:t>
      </w:r>
      <w:r w:rsidRPr="0094320D">
        <w:rPr>
          <w:szCs w:val="24"/>
        </w:rPr>
        <w:t xml:space="preserve"> KSI (SIMIK 07-13) oraz LSI. Głównym zadaniem LSI </w:t>
      </w:r>
      <w:r w:rsidR="00CF20B8">
        <w:rPr>
          <w:szCs w:val="24"/>
        </w:rPr>
        <w:t xml:space="preserve">była </w:t>
      </w:r>
      <w:r w:rsidRPr="0094320D">
        <w:rPr>
          <w:szCs w:val="24"/>
        </w:rPr>
        <w:t xml:space="preserve">obsługa cyklu życia projektów: od momentu złożenia wniosku o dofinansowanie przez beneficjenta, aż do zakończenia jego rzeczowej i finansowej realizacji. </w:t>
      </w:r>
    </w:p>
    <w:p w14:paraId="7803D7FC" w14:textId="1BD8FBF9" w:rsidR="00C12A1F" w:rsidRPr="00D574E2" w:rsidRDefault="009B4AAC" w:rsidP="00C12A1F">
      <w:pPr>
        <w:widowControl w:val="0"/>
        <w:autoSpaceDE w:val="0"/>
        <w:autoSpaceDN w:val="0"/>
        <w:adjustRightInd w:val="0"/>
        <w:spacing w:before="11" w:after="120"/>
        <w:jc w:val="both"/>
        <w:rPr>
          <w:b/>
          <w:szCs w:val="24"/>
        </w:rPr>
      </w:pPr>
      <w:r>
        <w:rPr>
          <w:b/>
          <w:szCs w:val="24"/>
        </w:rPr>
        <w:t>KM RPO WSL</w:t>
      </w:r>
    </w:p>
    <w:p w14:paraId="24287596" w14:textId="2B46F6AF" w:rsidR="00C12A1F" w:rsidRPr="005B6135" w:rsidRDefault="009B4AAC" w:rsidP="005B6135">
      <w:pPr>
        <w:widowControl w:val="0"/>
        <w:autoSpaceDE w:val="0"/>
        <w:autoSpaceDN w:val="0"/>
        <w:adjustRightInd w:val="0"/>
        <w:spacing w:before="11" w:after="120"/>
        <w:jc w:val="both"/>
        <w:rPr>
          <w:szCs w:val="24"/>
        </w:rPr>
      </w:pPr>
      <w:r>
        <w:rPr>
          <w:szCs w:val="24"/>
        </w:rPr>
        <w:t xml:space="preserve">W systemie monitorowania programu zaangażowany był KM, który został powołany </w:t>
      </w:r>
      <w:r w:rsidR="00C12A1F" w:rsidRPr="00B70E12">
        <w:rPr>
          <w:szCs w:val="24"/>
        </w:rPr>
        <w:t>uchwałą Zarządu Województwa w dniu 10 października 2007 roku</w:t>
      </w:r>
      <w:r w:rsidR="005B6135">
        <w:rPr>
          <w:szCs w:val="24"/>
        </w:rPr>
        <w:t>. Skład KM zapewnia</w:t>
      </w:r>
      <w:r w:rsidR="00CF40E4">
        <w:rPr>
          <w:szCs w:val="24"/>
        </w:rPr>
        <w:t>ł</w:t>
      </w:r>
      <w:r w:rsidR="005B6135">
        <w:rPr>
          <w:szCs w:val="24"/>
        </w:rPr>
        <w:t xml:space="preserve"> realizację zasady partnerstwa, która </w:t>
      </w:r>
      <w:r w:rsidR="00C12A1F" w:rsidRPr="00B64C23">
        <w:rPr>
          <w:iCs/>
        </w:rPr>
        <w:t>realizowana był m. in. poprzez:</w:t>
      </w:r>
    </w:p>
    <w:p w14:paraId="3F33D03D" w14:textId="526070DD" w:rsidR="00C12A1F" w:rsidRPr="00B64C23" w:rsidRDefault="00C12A1F" w:rsidP="004914D8">
      <w:pPr>
        <w:numPr>
          <w:ilvl w:val="0"/>
          <w:numId w:val="44"/>
        </w:numPr>
        <w:jc w:val="both"/>
      </w:pPr>
      <w:r w:rsidRPr="00B64C23">
        <w:t xml:space="preserve">Procedurę wyboru członków KM </w:t>
      </w:r>
      <w:r w:rsidR="00F51CBB">
        <w:t>–</w:t>
      </w:r>
      <w:r w:rsidRPr="00B64C23">
        <w:t xml:space="preserve"> członkowie</w:t>
      </w:r>
      <w:r w:rsidR="00F51CBB">
        <w:t xml:space="preserve"> </w:t>
      </w:r>
      <w:r w:rsidRPr="00B64C23">
        <w:t>do KM zgłoszeni zostali przez różne instytucje, m. in.: Ministerstwo Gospodarki, jako Instytucji Koordynującej proces lizboński w Polsce, Ministerstwo Rozwoju Regionalnego</w:t>
      </w:r>
      <w:r w:rsidR="00CF40E4">
        <w:t>,</w:t>
      </w:r>
      <w:r w:rsidRPr="00B64C23">
        <w:t xml:space="preserve"> jako Instytucji Koordynującej RPO, Instytucji Koordynującej NSRO, oraz Instytucji Certyf</w:t>
      </w:r>
      <w:r w:rsidR="00CF40E4">
        <w:t>ikującej, Śląski Związek Gmin i </w:t>
      </w:r>
      <w:r w:rsidRPr="00B64C23">
        <w:t>Powiatów, Śląską Radę Jednostek Badawczo-Rozwojowych, Regionalną Konferencję Rektorów Uczelni Akademickich, Konferencję Episkopatu Polski, Śląski Oddział Polskiej Rady Ekumenicznej, Wojewódzką Komisję Dialogu Społecznego, Radę Działalności Pożytku Publicznego.</w:t>
      </w:r>
    </w:p>
    <w:p w14:paraId="0006D58B" w14:textId="77777777" w:rsidR="009B4AAC" w:rsidRDefault="00C12A1F" w:rsidP="004914D8">
      <w:pPr>
        <w:numPr>
          <w:ilvl w:val="0"/>
          <w:numId w:val="44"/>
        </w:numPr>
        <w:jc w:val="both"/>
        <w:rPr>
          <w:iCs/>
        </w:rPr>
      </w:pPr>
      <w:r w:rsidRPr="00B64C23">
        <w:rPr>
          <w:iCs/>
        </w:rPr>
        <w:t xml:space="preserve">Uczestnictwo w posiedzeniach </w:t>
      </w:r>
      <w:r w:rsidRPr="00B64C23">
        <w:rPr>
          <w:i/>
          <w:iCs/>
        </w:rPr>
        <w:t>Komitetu Monitorującego RPO WSL</w:t>
      </w:r>
      <w:r w:rsidRPr="00B64C23">
        <w:rPr>
          <w:iCs/>
        </w:rPr>
        <w:t xml:space="preserve"> przedstawicieli różnych środowisk: strony rządowej, samorządowej, partnerów społecznych i gospodarczych oraz obserwatorów.</w:t>
      </w:r>
    </w:p>
    <w:p w14:paraId="208D4711" w14:textId="6A006B1F" w:rsidR="00A227B6" w:rsidRPr="0080108E" w:rsidRDefault="00C12A1F" w:rsidP="004914D8">
      <w:pPr>
        <w:numPr>
          <w:ilvl w:val="0"/>
          <w:numId w:val="44"/>
        </w:numPr>
        <w:jc w:val="both"/>
        <w:rPr>
          <w:iCs/>
        </w:rPr>
      </w:pPr>
      <w:r w:rsidRPr="009B4AAC">
        <w:rPr>
          <w:iCs/>
        </w:rPr>
        <w:t xml:space="preserve">Możliwość zgłaszania przez wszystkich członków </w:t>
      </w:r>
      <w:r w:rsidRPr="009B4AAC">
        <w:rPr>
          <w:i/>
          <w:iCs/>
        </w:rPr>
        <w:t>Komitetu Monitorującego RPO WSL</w:t>
      </w:r>
      <w:r w:rsidR="009B4AAC">
        <w:rPr>
          <w:iCs/>
        </w:rPr>
        <w:t xml:space="preserve"> uwag oraz propozycji.</w:t>
      </w:r>
    </w:p>
    <w:p w14:paraId="1348E29C" w14:textId="22F4E002" w:rsidR="005B6135" w:rsidRPr="005B6135" w:rsidRDefault="005B6135" w:rsidP="005B6135">
      <w:pPr>
        <w:widowControl w:val="0"/>
        <w:autoSpaceDE w:val="0"/>
        <w:autoSpaceDN w:val="0"/>
        <w:adjustRightInd w:val="0"/>
        <w:spacing w:before="11"/>
        <w:jc w:val="both"/>
        <w:rPr>
          <w:szCs w:val="24"/>
        </w:rPr>
      </w:pPr>
      <w:r w:rsidRPr="005B6135">
        <w:rPr>
          <w:szCs w:val="24"/>
        </w:rPr>
        <w:lastRenderedPageBreak/>
        <w:t>Do zadań KM należało m.in. rozpatrywanie i zatwierdzan</w:t>
      </w:r>
      <w:r w:rsidR="0080108E">
        <w:rPr>
          <w:szCs w:val="24"/>
        </w:rPr>
        <w:t>ie kryteriów wyboru projektów w </w:t>
      </w:r>
      <w:r w:rsidR="00CF40E4">
        <w:rPr>
          <w:szCs w:val="24"/>
        </w:rPr>
        <w:t xml:space="preserve">ramach RPO WSL 2007-2013 oraz </w:t>
      </w:r>
      <w:r w:rsidRPr="005B6135">
        <w:rPr>
          <w:szCs w:val="24"/>
        </w:rPr>
        <w:t xml:space="preserve">zatwierdzanie ewentualnych zmian tych kryteriów. Ponadto gremium oceniało postęp w osiąganiu szczegółowych celów programu (na podstawie dokumentów przedkładanych przez Instytucję Zarządzającą), analizowało rezultaty oraz zatwierdzało </w:t>
      </w:r>
      <w:r w:rsidR="0080108E">
        <w:rPr>
          <w:szCs w:val="24"/>
        </w:rPr>
        <w:t>roczne/</w:t>
      </w:r>
      <w:r w:rsidRPr="005B6135">
        <w:rPr>
          <w:szCs w:val="24"/>
        </w:rPr>
        <w:t xml:space="preserve">końcowe sprawozdania z jego wdrażania. </w:t>
      </w:r>
    </w:p>
    <w:p w14:paraId="54DDEE8B" w14:textId="3D2DAE9C" w:rsidR="00C12A1F" w:rsidRDefault="00C12A1F" w:rsidP="00CF20B8">
      <w:pPr>
        <w:widowControl w:val="0"/>
        <w:autoSpaceDE w:val="0"/>
        <w:autoSpaceDN w:val="0"/>
        <w:adjustRightInd w:val="0"/>
        <w:spacing w:before="11"/>
        <w:jc w:val="both"/>
        <w:rPr>
          <w:szCs w:val="24"/>
        </w:rPr>
      </w:pPr>
      <w:r>
        <w:rPr>
          <w:szCs w:val="24"/>
        </w:rPr>
        <w:t>W ram</w:t>
      </w:r>
      <w:r w:rsidR="00F51CBB">
        <w:rPr>
          <w:szCs w:val="24"/>
        </w:rPr>
        <w:t>ach perspektywy 2007-2013 odbyły</w:t>
      </w:r>
      <w:r>
        <w:rPr>
          <w:szCs w:val="24"/>
        </w:rPr>
        <w:t xml:space="preserve"> się dwadzieścia cztery (24) posiedzenia </w:t>
      </w:r>
      <w:r w:rsidR="0080108E">
        <w:rPr>
          <w:szCs w:val="24"/>
        </w:rPr>
        <w:t>KM, na </w:t>
      </w:r>
      <w:r w:rsidR="005B6135">
        <w:rPr>
          <w:szCs w:val="24"/>
        </w:rPr>
        <w:t>których</w:t>
      </w:r>
      <w:r w:rsidR="009B4AAC">
        <w:rPr>
          <w:szCs w:val="24"/>
        </w:rPr>
        <w:t xml:space="preserve"> podjęto poniższe decyzje mające </w:t>
      </w:r>
      <w:r w:rsidR="005B6135">
        <w:rPr>
          <w:szCs w:val="24"/>
        </w:rPr>
        <w:t>fundamentalne znaczenie</w:t>
      </w:r>
      <w:r w:rsidR="0080108E">
        <w:rPr>
          <w:szCs w:val="24"/>
        </w:rPr>
        <w:t xml:space="preserve"> dla wdrażania Programu:</w:t>
      </w:r>
    </w:p>
    <w:p w14:paraId="4CE3CA60" w14:textId="0E046EFE" w:rsidR="0080108E" w:rsidRPr="0080108E" w:rsidRDefault="0080108E" w:rsidP="004914D8">
      <w:pPr>
        <w:pStyle w:val="Akapitzlist"/>
        <w:widowControl w:val="0"/>
        <w:numPr>
          <w:ilvl w:val="0"/>
          <w:numId w:val="54"/>
        </w:numPr>
        <w:autoSpaceDE w:val="0"/>
        <w:autoSpaceDN w:val="0"/>
        <w:adjustRightInd w:val="0"/>
        <w:spacing w:before="11"/>
        <w:jc w:val="both"/>
        <w:rPr>
          <w:szCs w:val="24"/>
        </w:rPr>
      </w:pPr>
      <w:r>
        <w:rPr>
          <w:szCs w:val="24"/>
        </w:rPr>
        <w:t xml:space="preserve">Zatwierdzanie </w:t>
      </w:r>
      <w:r w:rsidRPr="0080108E">
        <w:rPr>
          <w:szCs w:val="24"/>
        </w:rPr>
        <w:t xml:space="preserve">kryteriów wyboru projektów oraz </w:t>
      </w:r>
      <w:r>
        <w:rPr>
          <w:szCs w:val="24"/>
        </w:rPr>
        <w:t xml:space="preserve">ich </w:t>
      </w:r>
      <w:r w:rsidRPr="0080108E">
        <w:rPr>
          <w:szCs w:val="24"/>
        </w:rPr>
        <w:t>zmian (dotyczy konkursów prowadzonych przez IZ RPO WSL oraz IP2 RPO WSL)</w:t>
      </w:r>
      <w:r>
        <w:rPr>
          <w:szCs w:val="24"/>
        </w:rPr>
        <w:t>.</w:t>
      </w:r>
    </w:p>
    <w:p w14:paraId="59D7B3C5" w14:textId="27428478" w:rsidR="0080108E" w:rsidRPr="0080108E" w:rsidRDefault="0080108E" w:rsidP="004914D8">
      <w:pPr>
        <w:pStyle w:val="Akapitzlist"/>
        <w:widowControl w:val="0"/>
        <w:numPr>
          <w:ilvl w:val="0"/>
          <w:numId w:val="54"/>
        </w:numPr>
        <w:autoSpaceDE w:val="0"/>
        <w:autoSpaceDN w:val="0"/>
        <w:adjustRightInd w:val="0"/>
        <w:spacing w:before="11"/>
        <w:jc w:val="both"/>
        <w:rPr>
          <w:szCs w:val="24"/>
        </w:rPr>
      </w:pPr>
      <w:r>
        <w:rPr>
          <w:szCs w:val="24"/>
        </w:rPr>
        <w:t xml:space="preserve">Zatwierdzanie </w:t>
      </w:r>
      <w:r w:rsidRPr="0080108E">
        <w:rPr>
          <w:i/>
          <w:szCs w:val="24"/>
        </w:rPr>
        <w:t>Planu ewaluacji RPO WSL 2007-2013</w:t>
      </w:r>
      <w:r>
        <w:rPr>
          <w:szCs w:val="24"/>
        </w:rPr>
        <w:t xml:space="preserve"> oraz jego aktualizacji</w:t>
      </w:r>
      <w:r w:rsidR="00CF40E4">
        <w:rPr>
          <w:szCs w:val="24"/>
        </w:rPr>
        <w:t>.</w:t>
      </w:r>
    </w:p>
    <w:p w14:paraId="43185FD0" w14:textId="235567B6" w:rsidR="0080108E" w:rsidRPr="0080108E" w:rsidRDefault="0080108E" w:rsidP="004914D8">
      <w:pPr>
        <w:pStyle w:val="Akapitzlist"/>
        <w:widowControl w:val="0"/>
        <w:numPr>
          <w:ilvl w:val="0"/>
          <w:numId w:val="54"/>
        </w:numPr>
        <w:autoSpaceDE w:val="0"/>
        <w:autoSpaceDN w:val="0"/>
        <w:adjustRightInd w:val="0"/>
        <w:spacing w:before="11"/>
        <w:jc w:val="both"/>
        <w:rPr>
          <w:szCs w:val="24"/>
        </w:rPr>
      </w:pPr>
      <w:r>
        <w:rPr>
          <w:szCs w:val="24"/>
        </w:rPr>
        <w:t xml:space="preserve">Przyjmowanie </w:t>
      </w:r>
      <w:r>
        <w:rPr>
          <w:i/>
          <w:szCs w:val="24"/>
        </w:rPr>
        <w:t>Sprawozdań rocznych/końcowego z r</w:t>
      </w:r>
      <w:r w:rsidRPr="0080108E">
        <w:rPr>
          <w:i/>
          <w:szCs w:val="24"/>
        </w:rPr>
        <w:t>ealizacji RPO WSL 2007-2013</w:t>
      </w:r>
      <w:r>
        <w:rPr>
          <w:szCs w:val="24"/>
        </w:rPr>
        <w:t>.</w:t>
      </w:r>
    </w:p>
    <w:p w14:paraId="192080D6" w14:textId="3DE0BDF8" w:rsidR="0080108E" w:rsidRPr="0080108E" w:rsidRDefault="0080108E" w:rsidP="004914D8">
      <w:pPr>
        <w:pStyle w:val="Akapitzlist"/>
        <w:widowControl w:val="0"/>
        <w:numPr>
          <w:ilvl w:val="0"/>
          <w:numId w:val="54"/>
        </w:numPr>
        <w:autoSpaceDE w:val="0"/>
        <w:autoSpaceDN w:val="0"/>
        <w:adjustRightInd w:val="0"/>
        <w:spacing w:before="11"/>
        <w:jc w:val="both"/>
        <w:rPr>
          <w:szCs w:val="24"/>
        </w:rPr>
      </w:pPr>
      <w:r>
        <w:rPr>
          <w:szCs w:val="24"/>
        </w:rPr>
        <w:t xml:space="preserve">Zatwierdzanie </w:t>
      </w:r>
      <w:r w:rsidRPr="0080108E">
        <w:rPr>
          <w:i/>
          <w:szCs w:val="24"/>
        </w:rPr>
        <w:t xml:space="preserve">Planu </w:t>
      </w:r>
      <w:r>
        <w:rPr>
          <w:i/>
          <w:szCs w:val="24"/>
        </w:rPr>
        <w:t xml:space="preserve">komunikacji </w:t>
      </w:r>
      <w:r w:rsidRPr="0080108E">
        <w:rPr>
          <w:i/>
          <w:szCs w:val="24"/>
        </w:rPr>
        <w:t>RPO WSL 2007-2013</w:t>
      </w:r>
      <w:r>
        <w:rPr>
          <w:szCs w:val="24"/>
        </w:rPr>
        <w:t xml:space="preserve"> oraz jego aktualizacji</w:t>
      </w:r>
      <w:r w:rsidR="00CF40E4">
        <w:rPr>
          <w:szCs w:val="24"/>
        </w:rPr>
        <w:t>.</w:t>
      </w:r>
    </w:p>
    <w:p w14:paraId="0EFB5628" w14:textId="1C9065E0" w:rsidR="0080108E" w:rsidRDefault="0080108E" w:rsidP="0080108E">
      <w:pPr>
        <w:widowControl w:val="0"/>
        <w:autoSpaceDE w:val="0"/>
        <w:autoSpaceDN w:val="0"/>
        <w:adjustRightInd w:val="0"/>
        <w:spacing w:before="11"/>
        <w:jc w:val="both"/>
        <w:rPr>
          <w:szCs w:val="24"/>
        </w:rPr>
      </w:pPr>
      <w:r>
        <w:rPr>
          <w:szCs w:val="24"/>
        </w:rPr>
        <w:t>Dodatkowo</w:t>
      </w:r>
      <w:r w:rsidR="00F51CBB">
        <w:rPr>
          <w:szCs w:val="24"/>
        </w:rPr>
        <w:t>,</w:t>
      </w:r>
      <w:r>
        <w:rPr>
          <w:szCs w:val="24"/>
        </w:rPr>
        <w:t xml:space="preserve"> podczas obrad KM, IZ RPO WSL prezentowała zebranym członkom wyniki </w:t>
      </w:r>
      <w:r w:rsidRPr="00270D81">
        <w:rPr>
          <w:szCs w:val="24"/>
        </w:rPr>
        <w:t>przeprowadzonych badań ewaluacyjnych</w:t>
      </w:r>
      <w:r w:rsidRPr="00763476">
        <w:rPr>
          <w:szCs w:val="24"/>
        </w:rPr>
        <w:t xml:space="preserve"> oraz </w:t>
      </w:r>
      <w:r>
        <w:rPr>
          <w:szCs w:val="24"/>
        </w:rPr>
        <w:t xml:space="preserve">informowała o </w:t>
      </w:r>
      <w:r w:rsidRPr="00D100D0">
        <w:rPr>
          <w:szCs w:val="24"/>
        </w:rPr>
        <w:t>aktualnym stanie wdrażania RPO WSL</w:t>
      </w:r>
      <w:r>
        <w:rPr>
          <w:szCs w:val="24"/>
        </w:rPr>
        <w:t>.</w:t>
      </w:r>
    </w:p>
    <w:p w14:paraId="20F47F2E" w14:textId="71E4ACC8" w:rsidR="00C12A1F" w:rsidRPr="006556CA" w:rsidRDefault="0080108E" w:rsidP="00C12A1F">
      <w:pPr>
        <w:jc w:val="both"/>
        <w:rPr>
          <w:iCs/>
        </w:rPr>
      </w:pPr>
      <w:r>
        <w:rPr>
          <w:iCs/>
        </w:rPr>
        <w:t>W</w:t>
      </w:r>
      <w:r w:rsidR="00C12A1F" w:rsidRPr="006556CA">
        <w:rPr>
          <w:iCs/>
        </w:rPr>
        <w:t xml:space="preserve"> celu zaktywizowania i wzmocnienia partnerskiej współpracy na rzecz rozwoju regionu IZ RPO WSL powołała 20 lipca 2011 r. </w:t>
      </w:r>
      <w:r w:rsidR="00C12A1F" w:rsidRPr="005B6135">
        <w:rPr>
          <w:iCs/>
        </w:rPr>
        <w:t>grupę roboczą do spraw partnerstwa społeczno - gospodarczego</w:t>
      </w:r>
      <w:r w:rsidR="00C12A1F" w:rsidRPr="006556CA">
        <w:rPr>
          <w:iCs/>
        </w:rPr>
        <w:t xml:space="preserve"> w ramach </w:t>
      </w:r>
      <w:r w:rsidR="005B6135" w:rsidRPr="005B6135">
        <w:rPr>
          <w:iCs/>
        </w:rPr>
        <w:t>KM.</w:t>
      </w:r>
    </w:p>
    <w:p w14:paraId="5EBFBDCF" w14:textId="6CC55EC1" w:rsidR="00C12A1F" w:rsidRPr="006556CA" w:rsidRDefault="00C12A1F" w:rsidP="00C12A1F">
      <w:pPr>
        <w:jc w:val="both"/>
        <w:rPr>
          <w:iCs/>
        </w:rPr>
      </w:pPr>
      <w:r w:rsidRPr="006556CA">
        <w:rPr>
          <w:iCs/>
        </w:rPr>
        <w:t>W celu zidentyfikowania oczeki</w:t>
      </w:r>
      <w:r>
        <w:rPr>
          <w:iCs/>
        </w:rPr>
        <w:t xml:space="preserve">wań i doświadczeń na temat </w:t>
      </w:r>
      <w:r w:rsidRPr="006556CA">
        <w:rPr>
          <w:iCs/>
        </w:rPr>
        <w:t>partnerstwa w kwietniu i marcu 2011 r. przeprowadzono wśród członków KM badanie ankietowe. Na podstawie ankiet określono zakres tematyczny działania ww. grupy, który w pierwszej kolejności koncentrowa</w:t>
      </w:r>
      <w:r>
        <w:rPr>
          <w:iCs/>
        </w:rPr>
        <w:t>ł</w:t>
      </w:r>
      <w:r w:rsidRPr="006556CA">
        <w:rPr>
          <w:iCs/>
        </w:rPr>
        <w:t xml:space="preserve"> się na obszarach związanych ze stosowaniem modelu partnerstwa w perspektywie 2007-2013. </w:t>
      </w:r>
      <w:r>
        <w:rPr>
          <w:iCs/>
        </w:rPr>
        <w:t>Temat</w:t>
      </w:r>
      <w:r w:rsidRPr="006556CA">
        <w:rPr>
          <w:iCs/>
        </w:rPr>
        <w:t xml:space="preserve"> prac grupy obejmowa</w:t>
      </w:r>
      <w:r>
        <w:rPr>
          <w:iCs/>
        </w:rPr>
        <w:t>ły</w:t>
      </w:r>
      <w:r w:rsidRPr="006556CA">
        <w:rPr>
          <w:iCs/>
        </w:rPr>
        <w:t xml:space="preserve"> zagadnienia takie, jak:</w:t>
      </w:r>
    </w:p>
    <w:p w14:paraId="7CE18D94" w14:textId="7B1D95D3" w:rsidR="00C12A1F" w:rsidRPr="006556CA" w:rsidRDefault="00C12A1F" w:rsidP="004914D8">
      <w:pPr>
        <w:numPr>
          <w:ilvl w:val="0"/>
          <w:numId w:val="45"/>
        </w:numPr>
        <w:spacing w:after="0"/>
        <w:ind w:left="426"/>
        <w:jc w:val="both"/>
        <w:rPr>
          <w:iCs/>
        </w:rPr>
      </w:pPr>
      <w:r w:rsidRPr="006556CA">
        <w:rPr>
          <w:iCs/>
        </w:rPr>
        <w:t>analiza modelów współpracy władz publicznych z sektorem pozarządowym i przedsiębiorcami w celu wspó</w:t>
      </w:r>
      <w:r w:rsidR="001241D1">
        <w:rPr>
          <w:iCs/>
        </w:rPr>
        <w:t>lnej realizacji zadań publiczno-</w:t>
      </w:r>
      <w:r w:rsidRPr="006556CA">
        <w:rPr>
          <w:iCs/>
        </w:rPr>
        <w:t>prywatnych w ramach różnych regionów UE, w tym identyfikacja dobrych praktyk (przykładów projektów partnerskich),</w:t>
      </w:r>
    </w:p>
    <w:p w14:paraId="74016FBB" w14:textId="63EAFE6A" w:rsidR="00C12A1F" w:rsidRPr="006556CA" w:rsidRDefault="00C12A1F" w:rsidP="004914D8">
      <w:pPr>
        <w:numPr>
          <w:ilvl w:val="0"/>
          <w:numId w:val="45"/>
        </w:numPr>
        <w:spacing w:after="0"/>
        <w:ind w:left="426"/>
        <w:jc w:val="both"/>
        <w:rPr>
          <w:iCs/>
        </w:rPr>
      </w:pPr>
      <w:r w:rsidRPr="006556CA">
        <w:rPr>
          <w:iCs/>
        </w:rPr>
        <w:t>wypracowanie modelu współpracy samorządu terytoria</w:t>
      </w:r>
      <w:r w:rsidR="00241FA0">
        <w:rPr>
          <w:iCs/>
        </w:rPr>
        <w:t>lnego z sektorem pozarządowym i </w:t>
      </w:r>
      <w:r w:rsidRPr="006556CA">
        <w:rPr>
          <w:iCs/>
        </w:rPr>
        <w:t>przedsiębiorcami w celu wspólnej realizacji zadań publiczno- prywatnych,</w:t>
      </w:r>
    </w:p>
    <w:p w14:paraId="2B0724EC" w14:textId="77777777" w:rsidR="0080108E" w:rsidRDefault="00C12A1F" w:rsidP="004914D8">
      <w:pPr>
        <w:numPr>
          <w:ilvl w:val="0"/>
          <w:numId w:val="45"/>
        </w:numPr>
        <w:spacing w:after="0"/>
        <w:ind w:left="426"/>
        <w:jc w:val="both"/>
        <w:rPr>
          <w:iCs/>
        </w:rPr>
      </w:pPr>
      <w:r w:rsidRPr="006556CA">
        <w:rPr>
          <w:iCs/>
        </w:rPr>
        <w:t>promocja projektów partnerskich o charakterze regionalnym.</w:t>
      </w:r>
    </w:p>
    <w:p w14:paraId="6AD0F3BE" w14:textId="77777777" w:rsidR="00CF40E4" w:rsidRDefault="00CF40E4" w:rsidP="0080108E">
      <w:pPr>
        <w:spacing w:after="0"/>
        <w:jc w:val="both"/>
        <w:rPr>
          <w:iCs/>
        </w:rPr>
      </w:pPr>
    </w:p>
    <w:p w14:paraId="276CF2FD" w14:textId="4C20371E" w:rsidR="0080108E" w:rsidRPr="0080108E" w:rsidRDefault="0080108E" w:rsidP="0080108E">
      <w:pPr>
        <w:spacing w:after="0"/>
        <w:jc w:val="both"/>
        <w:rPr>
          <w:iCs/>
        </w:rPr>
      </w:pPr>
      <w:r w:rsidRPr="0080108E">
        <w:rPr>
          <w:iCs/>
        </w:rPr>
        <w:t>W ramach spotkań przedmiotowej grupy omówiono m.in:</w:t>
      </w:r>
    </w:p>
    <w:p w14:paraId="18F9EEB9" w14:textId="77777777" w:rsidR="0080108E" w:rsidRDefault="0080108E" w:rsidP="004914D8">
      <w:pPr>
        <w:pStyle w:val="Akapitzlist"/>
        <w:numPr>
          <w:ilvl w:val="0"/>
          <w:numId w:val="55"/>
        </w:numPr>
        <w:ind w:left="709"/>
        <w:jc w:val="both"/>
        <w:rPr>
          <w:iCs/>
        </w:rPr>
      </w:pPr>
      <w:r w:rsidRPr="0080108E">
        <w:rPr>
          <w:iCs/>
        </w:rPr>
        <w:t xml:space="preserve"> Założenia </w:t>
      </w:r>
      <w:r>
        <w:rPr>
          <w:iCs/>
        </w:rPr>
        <w:t>i doświadczenia z wdrażania PRS,</w:t>
      </w:r>
      <w:r w:rsidRPr="0080108E">
        <w:rPr>
          <w:iCs/>
        </w:rPr>
        <w:t xml:space="preserve"> jako partnerskiego sposobu rozdysponowywania środków europejskich</w:t>
      </w:r>
      <w:r>
        <w:rPr>
          <w:iCs/>
        </w:rPr>
        <w:t>.</w:t>
      </w:r>
    </w:p>
    <w:p w14:paraId="182BC60B" w14:textId="5917ABC6" w:rsidR="0080108E" w:rsidRDefault="0080108E" w:rsidP="004914D8">
      <w:pPr>
        <w:pStyle w:val="Akapitzlist"/>
        <w:numPr>
          <w:ilvl w:val="0"/>
          <w:numId w:val="55"/>
        </w:numPr>
        <w:ind w:left="709"/>
        <w:jc w:val="both"/>
        <w:rPr>
          <w:iCs/>
        </w:rPr>
      </w:pPr>
      <w:r>
        <w:rPr>
          <w:iCs/>
        </w:rPr>
        <w:t>Z</w:t>
      </w:r>
      <w:r w:rsidRPr="0080108E">
        <w:rPr>
          <w:iCs/>
        </w:rPr>
        <w:t xml:space="preserve">ałożenia inicjatywy Leader+ realizowanej w województwie śląskim w ramach komponentu regionalnego PROW </w:t>
      </w:r>
      <w:r w:rsidR="001241D1">
        <w:rPr>
          <w:iCs/>
        </w:rPr>
        <w:t>–</w:t>
      </w:r>
      <w:r w:rsidRPr="0080108E">
        <w:rPr>
          <w:iCs/>
        </w:rPr>
        <w:t xml:space="preserve"> jako</w:t>
      </w:r>
      <w:r w:rsidR="001241D1">
        <w:rPr>
          <w:iCs/>
        </w:rPr>
        <w:t xml:space="preserve"> </w:t>
      </w:r>
      <w:r w:rsidRPr="0080108E">
        <w:rPr>
          <w:iCs/>
        </w:rPr>
        <w:t>partnerskiego sposobu rozdysponowywania środków europejskich przez przedstawiciela Instytucji Wdrażającej PROW w woj. Śląskim;- mechanizmy realizacji zasady partnerstwa w perspektywie finansowania 2014-20</w:t>
      </w:r>
      <w:r>
        <w:rPr>
          <w:iCs/>
        </w:rPr>
        <w:t>20 w województwie śląskim m.in.</w:t>
      </w:r>
    </w:p>
    <w:p w14:paraId="7046B927" w14:textId="6FCCFFB2" w:rsidR="00C12A1F" w:rsidRPr="0080108E" w:rsidRDefault="0080108E" w:rsidP="004914D8">
      <w:pPr>
        <w:pStyle w:val="Akapitzlist"/>
        <w:numPr>
          <w:ilvl w:val="0"/>
          <w:numId w:val="55"/>
        </w:numPr>
        <w:ind w:left="709"/>
        <w:jc w:val="both"/>
        <w:rPr>
          <w:b/>
          <w:bCs/>
        </w:rPr>
      </w:pPr>
      <w:r w:rsidRPr="0080108E">
        <w:rPr>
          <w:iCs/>
        </w:rPr>
        <w:t>Zasad partnerstwa w regulacjach prawnych dot. polityki s</w:t>
      </w:r>
      <w:r>
        <w:rPr>
          <w:iCs/>
        </w:rPr>
        <w:t>pójności 2014-2020.</w:t>
      </w:r>
    </w:p>
    <w:p w14:paraId="62097F4C" w14:textId="77777777" w:rsidR="00B341CC" w:rsidRPr="0094320D" w:rsidRDefault="00B341CC" w:rsidP="0094320D">
      <w:pPr>
        <w:spacing w:after="0"/>
        <w:jc w:val="both"/>
        <w:rPr>
          <w:b/>
          <w:szCs w:val="24"/>
        </w:rPr>
      </w:pPr>
      <w:r w:rsidRPr="007D40E5">
        <w:rPr>
          <w:b/>
          <w:szCs w:val="24"/>
        </w:rPr>
        <w:lastRenderedPageBreak/>
        <w:t>Ewaluacj</w:t>
      </w:r>
      <w:r w:rsidR="00EE724E" w:rsidRPr="007D40E5">
        <w:rPr>
          <w:b/>
          <w:szCs w:val="24"/>
        </w:rPr>
        <w:t>a</w:t>
      </w:r>
    </w:p>
    <w:p w14:paraId="1035B855" w14:textId="2D59EC68" w:rsidR="00160DC0" w:rsidRPr="007D40E5" w:rsidRDefault="007D40E5" w:rsidP="00160DC0">
      <w:pPr>
        <w:tabs>
          <w:tab w:val="left" w:pos="426"/>
        </w:tabs>
        <w:spacing w:before="120" w:after="120"/>
        <w:jc w:val="both"/>
        <w:rPr>
          <w:szCs w:val="24"/>
        </w:rPr>
      </w:pPr>
      <w:r w:rsidRPr="007D40E5">
        <w:rPr>
          <w:szCs w:val="24"/>
        </w:rPr>
        <w:t>W trakcie realizacji Programu, aby zapewnić ewaluatorom dostęp do danych pochodzących z realizowanych projektów, zmodyfikowano wzór umowy o dofinansowanie tak, aby zawierała odpowiednie zapisy pozwalające na wykorzystanie danych w procesie ewaluacji. Uzupełniono również zapisy umów zawieranych z ekspertami oceniającymi wnioski o dofinansowanie tak, aby zawierały zapisy zobowiązujące ekspertów do udzia</w:t>
      </w:r>
      <w:r w:rsidR="00241FA0">
        <w:rPr>
          <w:szCs w:val="24"/>
        </w:rPr>
        <w:t xml:space="preserve">łu w badaniach. Ponadto w celu </w:t>
      </w:r>
      <w:r w:rsidRPr="007D40E5">
        <w:rPr>
          <w:szCs w:val="24"/>
        </w:rPr>
        <w:t xml:space="preserve">zagwarantowania jak najwyższego poziomu badań i analiz realizowanych przez zewnętrznych ewaluatorów udoskonalano kwestie związane z wyborem wykonawców badań. Modyfikacji uległy kryteria merytoryczne wyboru wykonawcy poprzez zwiększenie precyzyjności i jasności </w:t>
      </w:r>
      <w:r w:rsidR="00160DC0" w:rsidRPr="007D40E5">
        <w:rPr>
          <w:szCs w:val="24"/>
        </w:rPr>
        <w:t>opisu, w jaki</w:t>
      </w:r>
      <w:r w:rsidRPr="007D40E5">
        <w:rPr>
          <w:szCs w:val="24"/>
        </w:rPr>
        <w:t xml:space="preserve"> sposób będą oceniane dodatkowo punktowane elementy oferty, co miało swoje </w:t>
      </w:r>
      <w:r w:rsidR="001241D1">
        <w:rPr>
          <w:szCs w:val="24"/>
        </w:rPr>
        <w:t>przełożenie</w:t>
      </w:r>
      <w:r w:rsidR="00160DC0" w:rsidRPr="007D40E5">
        <w:rPr>
          <w:szCs w:val="24"/>
        </w:rPr>
        <w:t xml:space="preserve"> na jakość</w:t>
      </w:r>
      <w:r w:rsidR="00160DC0">
        <w:rPr>
          <w:szCs w:val="24"/>
        </w:rPr>
        <w:t xml:space="preserve"> składanych ofert. </w:t>
      </w:r>
      <w:r w:rsidRPr="007D40E5">
        <w:rPr>
          <w:szCs w:val="24"/>
        </w:rPr>
        <w:t>Ponadto</w:t>
      </w:r>
      <w:r w:rsidR="001241D1">
        <w:rPr>
          <w:szCs w:val="24"/>
        </w:rPr>
        <w:t>,</w:t>
      </w:r>
      <w:r w:rsidRPr="007D40E5">
        <w:rPr>
          <w:szCs w:val="24"/>
        </w:rPr>
        <w:t xml:space="preserve"> wraz z kolejnymi realizowanymi badaniami oraz wzrostem wiedzy i potencjału Jednostki ewaluacyjnej</w:t>
      </w:r>
      <w:r w:rsidR="001241D1">
        <w:rPr>
          <w:szCs w:val="24"/>
        </w:rPr>
        <w:t>,</w:t>
      </w:r>
      <w:r w:rsidRPr="007D40E5">
        <w:rPr>
          <w:szCs w:val="24"/>
        </w:rPr>
        <w:t xml:space="preserve"> następował rozwój i udoskonalanie metod badawczych wykorzystywanych w kolejnych badaniach.</w:t>
      </w:r>
    </w:p>
    <w:p w14:paraId="6F5D7BFD" w14:textId="603AD50A" w:rsidR="007D40E5" w:rsidRPr="007D40E5" w:rsidRDefault="007D40E5" w:rsidP="007D40E5">
      <w:pPr>
        <w:jc w:val="both"/>
        <w:rPr>
          <w:szCs w:val="24"/>
        </w:rPr>
      </w:pPr>
      <w:r w:rsidRPr="007D40E5">
        <w:rPr>
          <w:szCs w:val="24"/>
        </w:rPr>
        <w:t xml:space="preserve">W trakcie realizacji </w:t>
      </w:r>
      <w:r w:rsidR="00F41B2B">
        <w:rPr>
          <w:szCs w:val="24"/>
        </w:rPr>
        <w:t>RPO WSL</w:t>
      </w:r>
      <w:r w:rsidRPr="007D40E5">
        <w:rPr>
          <w:szCs w:val="24"/>
        </w:rPr>
        <w:t xml:space="preserve"> 2007-2013 w latach 2008-2015 przeprowadzono 26 badań ewaluacyjnych. Zrealizowane ewaluacje można pogrupować na następujące grupy: ewalua</w:t>
      </w:r>
      <w:r w:rsidR="00160DC0">
        <w:rPr>
          <w:szCs w:val="24"/>
        </w:rPr>
        <w:t>cje ex-post okresu 2004-2006 (2 </w:t>
      </w:r>
      <w:r w:rsidRPr="007D40E5">
        <w:rPr>
          <w:szCs w:val="24"/>
        </w:rPr>
        <w:t>badania ewaluacyjne), ewaluacje bieżące okresu 2007-2013 (5 badań ewaluacyjnych), ex-post, tj. podsumowujące działania w ramach wybranych obszarów tematycznych RPO WSL 2007-2013 lub podsumowujące efekty Programu (13 ewaluacji) oraz badania o charakterze ex-ante dla perspektywy 2014-2020 (6 badań). Poniżej zostaną przytocz</w:t>
      </w:r>
      <w:r w:rsidR="00241FA0">
        <w:rPr>
          <w:szCs w:val="24"/>
        </w:rPr>
        <w:t>one najważniejsze informacje na </w:t>
      </w:r>
      <w:r w:rsidRPr="007D40E5">
        <w:rPr>
          <w:szCs w:val="24"/>
        </w:rPr>
        <w:t xml:space="preserve">temat zrealizowanych badań oraz najbardziej istotne wnioski i rekomendacje będące efektem ewaluacji wraz z informacją o wykorzystaniu wyników badań, gdzie to miało miejsce. </w:t>
      </w:r>
    </w:p>
    <w:p w14:paraId="706A92E4" w14:textId="0FD102A6" w:rsidR="007D40E5" w:rsidRPr="007D40E5" w:rsidRDefault="007D40E5" w:rsidP="007D40E5">
      <w:pPr>
        <w:jc w:val="both"/>
        <w:rPr>
          <w:szCs w:val="24"/>
        </w:rPr>
      </w:pPr>
      <w:r w:rsidRPr="007D40E5">
        <w:rPr>
          <w:szCs w:val="24"/>
        </w:rPr>
        <w:t>W ramach ewaluacji o charakterze ex-post Zintegrowanego Programu Operacyjny Rozwoju Regionalnego (2004-2006) zrealizowano badanie „</w:t>
      </w:r>
      <w:r w:rsidR="00160DC0">
        <w:rPr>
          <w:i/>
          <w:szCs w:val="24"/>
        </w:rPr>
        <w:t>Ocena działań informacyjnych i </w:t>
      </w:r>
      <w:r w:rsidRPr="007D40E5">
        <w:rPr>
          <w:i/>
          <w:szCs w:val="24"/>
        </w:rPr>
        <w:t xml:space="preserve">promocyjnych dotyczących programu ZPORR w województwie śląskim w latach 2004-2006” </w:t>
      </w:r>
      <w:r w:rsidRPr="007D40E5">
        <w:rPr>
          <w:szCs w:val="24"/>
        </w:rPr>
        <w:t>(2008 r.)</w:t>
      </w:r>
      <w:r w:rsidRPr="007D40E5">
        <w:rPr>
          <w:i/>
          <w:szCs w:val="24"/>
        </w:rPr>
        <w:t xml:space="preserve">. </w:t>
      </w:r>
      <w:r w:rsidRPr="007D40E5">
        <w:rPr>
          <w:szCs w:val="24"/>
        </w:rPr>
        <w:t xml:space="preserve">Efektem badania były rekomendacje, które zostały wykorzystane na potrzeby działań prowadzonych w ramach RPO WSL 2007-2013. Dotyczyły one m.in. zalecanych instrumentów informacyjno-promocyjnych skierowanych do podmiotów </w:t>
      </w:r>
      <w:r w:rsidR="00211520">
        <w:rPr>
          <w:szCs w:val="24"/>
        </w:rPr>
        <w:t>zainteresowanych aplikowaniem o </w:t>
      </w:r>
      <w:r w:rsidRPr="007D40E5">
        <w:rPr>
          <w:szCs w:val="24"/>
        </w:rPr>
        <w:t xml:space="preserve">środki Programu, jak również prowadzenia działań skierowanych do podmiotów, które </w:t>
      </w:r>
      <w:r w:rsidR="00211520">
        <w:rPr>
          <w:szCs w:val="24"/>
        </w:rPr>
        <w:t>nie </w:t>
      </w:r>
      <w:r w:rsidRPr="007D40E5">
        <w:rPr>
          <w:szCs w:val="24"/>
        </w:rPr>
        <w:t>posiadały wiedzy o możliwości ubiegania się o wsparci</w:t>
      </w:r>
      <w:r w:rsidR="00211520">
        <w:rPr>
          <w:szCs w:val="24"/>
        </w:rPr>
        <w:t>e. Badanie pozwoliło również na </w:t>
      </w:r>
      <w:r w:rsidRPr="007D40E5">
        <w:rPr>
          <w:szCs w:val="24"/>
        </w:rPr>
        <w:t xml:space="preserve">ulepszenie sposobu oceny prowadzonych działań informacyjno-promocyjnych. Drugim badaniem o charakterze ex-post perspektywy 2004-2006 było badanie </w:t>
      </w:r>
      <w:r w:rsidRPr="007D40E5">
        <w:rPr>
          <w:i/>
          <w:szCs w:val="24"/>
        </w:rPr>
        <w:t>„Analiza wpływu inwestycji w infrastrukturę kultury i turystyki dofinansowany</w:t>
      </w:r>
      <w:r w:rsidR="00241FA0">
        <w:rPr>
          <w:i/>
          <w:szCs w:val="24"/>
        </w:rPr>
        <w:t>ch z funduszy strukturalnych na </w:t>
      </w:r>
      <w:r w:rsidRPr="007D40E5">
        <w:rPr>
          <w:i/>
          <w:szCs w:val="24"/>
        </w:rPr>
        <w:t>rozwój społeczno-gospodarczy poszczególnych gmin/powiatów województwa śląskiego</w:t>
      </w:r>
      <w:r w:rsidR="00211520">
        <w:rPr>
          <w:szCs w:val="24"/>
        </w:rPr>
        <w:t xml:space="preserve">” (2010r.). </w:t>
      </w:r>
      <w:r w:rsidRPr="007D40E5">
        <w:rPr>
          <w:szCs w:val="24"/>
        </w:rPr>
        <w:t xml:space="preserve">Badanie miało wskazać przyczyny powodzeń lub niepowodzeń analizowanych projektów, biorąc pod uwagę ich wpływ na rozwój społeczno-gospodarczy, oraz typy projektów, które w największym stopniu przyczyniają się do poprawy sytuacji społeczno-gospodarczej gminy/powiatu, i których wspieranie w przyszłości jest uzasadnione ze względu na najbardziej skuteczne wydatkowanie środków unijnych. Na potrzeby realizacji RPO WSL 2007-2013 wdrożono rekomendacje dotyczące oceny projektów z zakresu turystyki i kultury tak, aby premiować te, które charakteryzują się jak najwyższym potencjałem rozwojowym. Część wniosków i rekomendacji z badania dotyczyło kierunków i sposobów wspierania </w:t>
      </w:r>
      <w:r w:rsidRPr="007D40E5">
        <w:rPr>
          <w:szCs w:val="24"/>
        </w:rPr>
        <w:lastRenderedPageBreak/>
        <w:t xml:space="preserve">interwencji z zakresu turystyki i kultury po 2013 roku, jednak ze względu na zakres interwencji w ramach pespektywy 2014-2020 zostały one wykorzystane w ograniczonym zakresie. Wnioski z badania zostały także wykorzystane w Umowie Partnerstwa. </w:t>
      </w:r>
    </w:p>
    <w:p w14:paraId="439229F1" w14:textId="4490B3CF" w:rsidR="007D40E5" w:rsidRPr="007D40E5" w:rsidRDefault="007D40E5" w:rsidP="007D40E5">
      <w:pPr>
        <w:jc w:val="both"/>
        <w:rPr>
          <w:szCs w:val="24"/>
        </w:rPr>
      </w:pPr>
      <w:r w:rsidRPr="007D40E5">
        <w:rPr>
          <w:szCs w:val="24"/>
        </w:rPr>
        <w:t>W ramach procesu ewaluacji RPO WSL 2007-2013 zrealizowano badania o charakterze ewaluacji bieżących, które miały przyczynić się do sprawniejszego i bardzie</w:t>
      </w:r>
      <w:r w:rsidR="00AA4921">
        <w:rPr>
          <w:szCs w:val="24"/>
        </w:rPr>
        <w:t>j</w:t>
      </w:r>
      <w:r w:rsidRPr="007D40E5">
        <w:rPr>
          <w:szCs w:val="24"/>
        </w:rPr>
        <w:t xml:space="preserve"> efektywnego wdrażania Programu poprzez niwelowanie istniejących barier. Badanie </w:t>
      </w:r>
      <w:r w:rsidRPr="007D40E5">
        <w:rPr>
          <w:i/>
          <w:szCs w:val="24"/>
        </w:rPr>
        <w:t xml:space="preserve">„Analiza systemu wskaźników w ramach Regionalnego Programu Operacyjnego Województwa Śląskiego na lata 2007-2013” </w:t>
      </w:r>
      <w:r w:rsidRPr="007D40E5">
        <w:rPr>
          <w:szCs w:val="24"/>
        </w:rPr>
        <w:t>(2008/2009 r.)</w:t>
      </w:r>
      <w:r w:rsidRPr="007D40E5">
        <w:rPr>
          <w:i/>
          <w:szCs w:val="24"/>
        </w:rPr>
        <w:t xml:space="preserve"> </w:t>
      </w:r>
      <w:r w:rsidRPr="007D40E5">
        <w:rPr>
          <w:szCs w:val="24"/>
        </w:rPr>
        <w:t>pozwoliło na</w:t>
      </w:r>
      <w:r w:rsidRPr="007D40E5">
        <w:rPr>
          <w:i/>
          <w:szCs w:val="24"/>
        </w:rPr>
        <w:t xml:space="preserve"> </w:t>
      </w:r>
      <w:r w:rsidRPr="007D40E5">
        <w:rPr>
          <w:szCs w:val="24"/>
        </w:rPr>
        <w:t xml:space="preserve">dokonanie oceny istniejącego systemu wskaźników pod kątem użyteczności, kompletności i wewnętrznej spójności. W efekcie zostały zaproponowane i </w:t>
      </w:r>
      <w:r w:rsidR="00211520">
        <w:rPr>
          <w:szCs w:val="24"/>
        </w:rPr>
        <w:t>wdrożone rekomendacje dotyczące</w:t>
      </w:r>
      <w:r w:rsidRPr="007D40E5">
        <w:rPr>
          <w:szCs w:val="24"/>
        </w:rPr>
        <w:t xml:space="preserve"> jakości wskaźników (doprecyzowanie definicji, sposobów pomiaru wskaźników, usuniecie wskaźników), agregacji danych (zapewnienie rozłączności wskaźników, prawidłowe zlic</w:t>
      </w:r>
      <w:r w:rsidR="00241FA0">
        <w:rPr>
          <w:szCs w:val="24"/>
        </w:rPr>
        <w:t>zanie identycznych wskaźników w </w:t>
      </w:r>
      <w:r w:rsidRPr="007D40E5">
        <w:rPr>
          <w:szCs w:val="24"/>
        </w:rPr>
        <w:t xml:space="preserve">ramach rożnych typów projektów), zasilania wskaźników KSI (ujednolicenie wskaźników URPO WSL 2007 – 2013 z systemem wskaźników KSI, dodanie wskaźników odpowiadających zakresem wskaźnikom KSI, możliwych do monitorowania w ramach RPO), w zakresie pomiaru celów (wyrażenie wartości w wartościach względnych).  Ewaluacja </w:t>
      </w:r>
      <w:r w:rsidRPr="007D40E5">
        <w:rPr>
          <w:i/>
          <w:szCs w:val="24"/>
        </w:rPr>
        <w:t>„Ocena systemu kryteriów wyboru projektów w ramach RPO WSL na lata 2007-2013”</w:t>
      </w:r>
      <w:r w:rsidRPr="007D40E5">
        <w:rPr>
          <w:szCs w:val="24"/>
        </w:rPr>
        <w:t xml:space="preserve"> (2008/2009 r.) pozwoliła na sprawdzenie jakości przyjętego systemu kryteriów wyboru projektów oraz ocenę funkcjonalną, czyli zdolności do zapewnienia wyboru optymalnych projektów z punktu widzenia realizacji celów RPO WSL. Rekomendacje z badania pozwoliły na wdrożenie zmian w zakresie zapewnienia jednolitego sposobu interpretacji kryteriów oceny, szkoleń dla przedstawicieli KOP i pracowników zaangażowanych w ocenę wniosków, korzystania z opinii ekspertów branżowych, uproszczeń list sprawdzających. Kolejnym badaniem o charakterze on-going była ewaluacja </w:t>
      </w:r>
      <w:r w:rsidRPr="007D40E5">
        <w:rPr>
          <w:i/>
          <w:szCs w:val="24"/>
        </w:rPr>
        <w:t>„Analiza zapisów Szczegółowego Opisu Priorytetów Regionalnego Programu Operacyjnego Województwa Śląskiego na lata 2007-2013”</w:t>
      </w:r>
      <w:r w:rsidRPr="007D40E5">
        <w:rPr>
          <w:szCs w:val="24"/>
        </w:rPr>
        <w:t xml:space="preserve"> (2009). Rekomendacje z badania dotyczyły modyfikacji zapisów Uszczegółowienia tak, by w optymalny sposób przyczyniało się ono do osiągnięcia celów RPO WSL. Wdrożono rekomendacje dotyczące modyfikacji katalogu kosztów kwalifikowalnych oraz doprecyzowania stosowanych pojęć i wprowadzenia słowniczków. </w:t>
      </w:r>
    </w:p>
    <w:p w14:paraId="595FD8CB" w14:textId="461B5596" w:rsidR="007D40E5" w:rsidRPr="007D40E5" w:rsidRDefault="007D40E5" w:rsidP="007D40E5">
      <w:pPr>
        <w:jc w:val="both"/>
        <w:rPr>
          <w:szCs w:val="24"/>
        </w:rPr>
      </w:pPr>
      <w:r w:rsidRPr="007D40E5">
        <w:rPr>
          <w:szCs w:val="24"/>
        </w:rPr>
        <w:t xml:space="preserve">Ewaluacja </w:t>
      </w:r>
      <w:r w:rsidRPr="007D40E5">
        <w:rPr>
          <w:i/>
          <w:szCs w:val="24"/>
        </w:rPr>
        <w:t xml:space="preserve">„Komplementarność działań realizowanych w ramach Regionalnego Programu Operacyjnego Województwa Śląskiego na lata 2007-2013” </w:t>
      </w:r>
      <w:r w:rsidRPr="007D40E5">
        <w:rPr>
          <w:szCs w:val="24"/>
        </w:rPr>
        <w:t>(2010)</w:t>
      </w:r>
      <w:r w:rsidRPr="007D40E5">
        <w:rPr>
          <w:i/>
          <w:szCs w:val="24"/>
        </w:rPr>
        <w:t xml:space="preserve"> </w:t>
      </w:r>
      <w:r w:rsidR="00241FA0">
        <w:rPr>
          <w:szCs w:val="24"/>
        </w:rPr>
        <w:t>pozwoliła na </w:t>
      </w:r>
      <w:r w:rsidRPr="007D40E5">
        <w:rPr>
          <w:szCs w:val="24"/>
        </w:rPr>
        <w:t>zidentyfikowanie obszarów, w ramach których realizacja projektów komplementarnych skutkuje najwyższą efektywnością wdrażania RPO WSL oraz zaproponowano mechanizmy, zwiększające szansę na realizację projektów komplementarnych we wskazanych obszarach. Wdrożono rekomendacje dotyczące sposobów</w:t>
      </w:r>
      <w:r w:rsidR="00241FA0">
        <w:rPr>
          <w:szCs w:val="24"/>
        </w:rPr>
        <w:t xml:space="preserve"> opisywania komplementarności w </w:t>
      </w:r>
      <w:r w:rsidRPr="007D40E5">
        <w:rPr>
          <w:szCs w:val="24"/>
        </w:rPr>
        <w:t xml:space="preserve">dokumentach, co miało pomóc wnioskodawcom w zidentyfikowaniu projektów komplementarnych (w Uszczegółowieniu, instrukcji wypełniania wniosków), sformułowania odpowiednich wytycznych dla ekspertów oceniających wnioski, odnośnie sposobu oceniania kryterium dotyczącego komplementarności, promowania problematyki komplementarności w ramach działań informacyjno-promocyjnych (zarówno w zakresie realizacji projektów komplementarnych, jak i oceny komplementarności w trakcie oceny projektów). Ostatnim z badań, które można zaliczyć do grupy ewaluacji o charakterze bieżącym, realizowanych </w:t>
      </w:r>
      <w:r w:rsidRPr="007D40E5">
        <w:rPr>
          <w:szCs w:val="24"/>
        </w:rPr>
        <w:lastRenderedPageBreak/>
        <w:t>w ramach procesu ewaluacji perspektywy 2007-2013, była „</w:t>
      </w:r>
      <w:r w:rsidRPr="007D40E5">
        <w:rPr>
          <w:i/>
          <w:szCs w:val="24"/>
        </w:rPr>
        <w:t xml:space="preserve">Ocena działań informacyjnych i promocyjnych podejmowanych w ramach RPO WSL na lata 2007-2013 w latach 2007-2010” </w:t>
      </w:r>
      <w:r w:rsidRPr="007D40E5">
        <w:rPr>
          <w:szCs w:val="24"/>
        </w:rPr>
        <w:t>(2010)</w:t>
      </w:r>
      <w:r w:rsidRPr="007D40E5">
        <w:rPr>
          <w:i/>
          <w:szCs w:val="24"/>
        </w:rPr>
        <w:t xml:space="preserve">. </w:t>
      </w:r>
      <w:r w:rsidRPr="007D40E5">
        <w:rPr>
          <w:szCs w:val="24"/>
        </w:rPr>
        <w:t>W ramach ewaluacji sprawdzono, na ile prowadzone działania informacyjno-promocyjne przyczyniły się do podniesienia wiedzy i świadomości wśród potencjalnych beneficjentów RPO WSL oraz wśród społeczności regionu. Na skutek badania wdrożono rekomendacje, które miały na celu lepsze poinformowanie beneficjentów o zasadach realizacji i rozliczania projektów, poprzez odpowiednie zaangażowanie pracowników merytorycznych IZ i IP2 oraz ekspertów zewnętrznych, zwiększenie wiedzy mieszkańców województwa śląskiego na temat wspierania przedsiębiorstw przez</w:t>
      </w:r>
      <w:r w:rsidR="00241FA0">
        <w:rPr>
          <w:szCs w:val="24"/>
        </w:rPr>
        <w:t xml:space="preserve"> środki unijne. Wdrożono też </w:t>
      </w:r>
      <w:r w:rsidRPr="007D40E5">
        <w:rPr>
          <w:szCs w:val="24"/>
        </w:rPr>
        <w:t xml:space="preserve">rekomendacje dotyczące sposobów współpracy z dziennikarzami, rozwoju działań informacyjno-promocyjnych w Internecie, podniesienia kompetencji pracowników realizujących działania informacyjno-promocyjne. </w:t>
      </w:r>
    </w:p>
    <w:p w14:paraId="4D0CC035" w14:textId="3FCE92A9" w:rsidR="007D40E5" w:rsidRPr="007D40E5" w:rsidRDefault="007D40E5" w:rsidP="007D40E5">
      <w:pPr>
        <w:jc w:val="both"/>
        <w:rPr>
          <w:szCs w:val="24"/>
        </w:rPr>
      </w:pPr>
      <w:r w:rsidRPr="007D40E5">
        <w:rPr>
          <w:szCs w:val="24"/>
        </w:rPr>
        <w:t>Wraz z zaawansowaniem wdrażania RPO WSL 2007-20</w:t>
      </w:r>
      <w:r w:rsidR="00160DC0">
        <w:rPr>
          <w:szCs w:val="24"/>
        </w:rPr>
        <w:t>13 zaczęto realizować badania o </w:t>
      </w:r>
      <w:r w:rsidRPr="007D40E5">
        <w:rPr>
          <w:szCs w:val="24"/>
        </w:rPr>
        <w:t>charakterze ex-post. Pierwszą grupą ewaluacji tego typu były badania poświęcone poszczególnym obszarom wsparcia w ramach Programu. W 2010 roku  zostało przeprowadzone badanie „</w:t>
      </w:r>
      <w:r w:rsidRPr="007D40E5">
        <w:rPr>
          <w:i/>
          <w:szCs w:val="24"/>
        </w:rPr>
        <w:t>Wpływ inwestycji w sprzęt medyczny w ramach Regionalnego Programu Operacyjnego Województwa Śląskiego na lata 2007-2013 na popraw</w:t>
      </w:r>
      <w:r w:rsidR="00160DC0">
        <w:rPr>
          <w:i/>
          <w:szCs w:val="24"/>
        </w:rPr>
        <w:t>ę jakości i </w:t>
      </w:r>
      <w:r w:rsidRPr="007D40E5">
        <w:rPr>
          <w:i/>
          <w:szCs w:val="24"/>
        </w:rPr>
        <w:t>zwiększenie dostępności świadczeń zdrowotnych na terenie województwa śląskiego”</w:t>
      </w:r>
      <w:r w:rsidRPr="007D40E5">
        <w:rPr>
          <w:szCs w:val="24"/>
        </w:rPr>
        <w:t>. Badanie miało na celu ocenę wpływu zakupu sprzętu medycznego w ramach zrealizowanych projektów na zwiększenie dostępności i poprawę jakości usług medycznych w województwie śląskim. W</w:t>
      </w:r>
      <w:r w:rsidR="00241FA0">
        <w:rPr>
          <w:szCs w:val="24"/>
        </w:rPr>
        <w:t> </w:t>
      </w:r>
      <w:r w:rsidRPr="007D40E5">
        <w:rPr>
          <w:szCs w:val="24"/>
        </w:rPr>
        <w:t xml:space="preserve">wyniku analizy funkcjonującej wówczas formy dofinansowania zakupu sprzętu medycznego w ramach RPO WSL zaproponowane zostały rekomendacje promujące odpowiednie kryteria oceny projektów w programie. Wzięto pod uwagę premiowanie podjętej przez Wnioskodawców współpracy pomiędzy kilkoma podmiotami jak również konieczność wdrożenia odpowiednich wskaźników produktu i rezultatu. Kolejnym badaniem tego rodzaju była ewaluacja </w:t>
      </w:r>
      <w:r w:rsidRPr="007D40E5">
        <w:rPr>
          <w:i/>
          <w:szCs w:val="24"/>
        </w:rPr>
        <w:t>„Ocena wsparcia udzielanego przedsiębiorcom w ramach Regionalnego Programu Operacyjnego Województwa Śląskiego na lata 2007-2013”</w:t>
      </w:r>
      <w:r w:rsidR="00241FA0">
        <w:rPr>
          <w:szCs w:val="24"/>
        </w:rPr>
        <w:t>, przeprowadzona w </w:t>
      </w:r>
      <w:r w:rsidRPr="007D40E5">
        <w:rPr>
          <w:szCs w:val="24"/>
        </w:rPr>
        <w:t>2011 roku. W ramach badania dokonano analizy funkcjonującej w poprzedniej perspektywie w województwie śląskim formy wsparcia sektora małych i średnich przedsiębiorstw. Uzyskano rekomendacje zalecające promowanie w przyszłym okresie programowania rozszerzenia instrumentów wsparcia o charakterze zwrotnym. Dotacje powinny zgodnie z wn</w:t>
      </w:r>
      <w:r w:rsidR="00241FA0">
        <w:rPr>
          <w:szCs w:val="24"/>
        </w:rPr>
        <w:t>ioskami z </w:t>
      </w:r>
      <w:r w:rsidRPr="007D40E5">
        <w:rPr>
          <w:szCs w:val="24"/>
        </w:rPr>
        <w:t xml:space="preserve">badania dominować w typach projektów o charakterze nieinwestycyjnym. Wnioski płynące z badania dotyczyły również tworzenia mechanizmów hybrydowych, łączących finansowanie zwrotne z dotacją, jak również podwyższenia maksymalnych kwot dofinansowania do limitów wskazanych w Linii demarkacyjnej następnego okresu programowania. Wykazano, że poziom wsparcia projektów w przyszłym okresie finansowania oprócz uwzględnienia wielkości firmy powinien dotyczyć również zróżnicowania na typy przedsięwzięć. W przyszłym okresie programowania należy ukierunkować wsparcie w oparciu o wskaźniki oraz cele polityki strategicznej regionu. Ponadto kryteria oceny projektów powinny zostać powiązane ze wskaźnikami zdefiniowanymi dla Programu. Pojawił się również szereg rekomendacji wspierających projekty promocyjne. </w:t>
      </w:r>
    </w:p>
    <w:p w14:paraId="7D3690A2" w14:textId="30C7929C" w:rsidR="007D40E5" w:rsidRPr="007D40E5" w:rsidRDefault="007D40E5" w:rsidP="007D40E5">
      <w:pPr>
        <w:jc w:val="both"/>
        <w:rPr>
          <w:iCs/>
          <w:szCs w:val="24"/>
        </w:rPr>
      </w:pPr>
      <w:r w:rsidRPr="007D40E5">
        <w:rPr>
          <w:szCs w:val="24"/>
        </w:rPr>
        <w:lastRenderedPageBreak/>
        <w:t xml:space="preserve">Obszarowi innowacyjności poświęcone było badanie </w:t>
      </w:r>
      <w:r w:rsidRPr="007D40E5">
        <w:rPr>
          <w:i/>
          <w:szCs w:val="24"/>
        </w:rPr>
        <w:t>„Ocena wsparcia działalności innowacyjnej w ramach Regionalnego Programu Operac</w:t>
      </w:r>
      <w:r w:rsidR="00241FA0">
        <w:rPr>
          <w:i/>
          <w:szCs w:val="24"/>
        </w:rPr>
        <w:t>yjnego Województwa Śląskiego na </w:t>
      </w:r>
      <w:r w:rsidRPr="007D40E5">
        <w:rPr>
          <w:i/>
          <w:szCs w:val="24"/>
        </w:rPr>
        <w:t>lata 2007-2013”</w:t>
      </w:r>
      <w:r w:rsidRPr="007D40E5">
        <w:rPr>
          <w:szCs w:val="24"/>
        </w:rPr>
        <w:t>, przeprowadzone w 2011 roku. Wyniki badania były podstawą wskazania rekomendacji mających ułatwić programowanie nowego okresu wsparcia, takich jak uwzględnienie zwrotnych instrumenty wsparcia, zachowanie równowagi między wsparciem przedsiębiorstw wysokiej techniki a przedsiębiorstw innych se</w:t>
      </w:r>
      <w:r w:rsidR="00241FA0">
        <w:rPr>
          <w:szCs w:val="24"/>
        </w:rPr>
        <w:t>ktorów, czy też włączenie w </w:t>
      </w:r>
      <w:r w:rsidRPr="007D40E5">
        <w:rPr>
          <w:szCs w:val="24"/>
        </w:rPr>
        <w:t>działania doradcze Instytucji Otoczenia Biznesu. Szereg rekomendacji dotyczyło również Działania 1.3 (lub jego odpowiedników w przyszłym okresie</w:t>
      </w:r>
      <w:r w:rsidR="00241FA0">
        <w:rPr>
          <w:szCs w:val="24"/>
        </w:rPr>
        <w:t xml:space="preserve"> programowania), które mówiły o </w:t>
      </w:r>
      <w:r w:rsidRPr="007D40E5">
        <w:rPr>
          <w:szCs w:val="24"/>
        </w:rPr>
        <w:t>dopuszczeniu możliwości łączenia różnych typów projektów oraz uporządkowaniu systemu finansowania działalności innowacyjnej, jak również konieczności zachowania większej przejrzystości finansowania poprzez podział projektów na rożne typy interwencji. Rekomendowane zostały działania związane z propagowaniem wiedzy na temat zarządzania własnością intelektualną przez przedsiębiorstwa oraz na temat szeroko rozumianej ochrony własności intelektualnej. Rekomendowane było przeprowadzenie działań informujących instytucje otoczenia biznesu o zasadach pomocy publicznej oraz ujednolicenie terminologii stosowanej w dokumentach programowych, w szczególności w zakresie rozumienia terminu wysokiej techniki i dostosowanie jego zakresu do obowiązujących obecnie systemów klasyfikacji. Obszar technologii informacyjnych został podsumowany w badaniu „</w:t>
      </w:r>
      <w:r w:rsidRPr="007D40E5">
        <w:rPr>
          <w:i/>
          <w:szCs w:val="24"/>
        </w:rPr>
        <w:t xml:space="preserve">Wpływ Regionalnego Programu Operacyjnego Województwa Śląskiego na lata 2007-2013 na rozwój społeczeństwa informacyjnego w regionie” </w:t>
      </w:r>
      <w:r w:rsidRPr="007D40E5">
        <w:rPr>
          <w:szCs w:val="24"/>
        </w:rPr>
        <w:t xml:space="preserve">(2012). W wyniku ewaluacji rekomendowano utrzymanie w nowym okresie programowania możliwości wsparcia projektów w zakresie społeczeństwa informacyjnego. Badanie wykazało konieczność likwidacji podziału na systemy front-office i back-office w głównym działaniu dotyczącym społeczeństwa informacyjnego oraz dopuszczenie realizacji projektów zintegrowanych bez określania kategorii przeważającej. Dodanie dziedzinowych działań w zakresie zarządzania energią (lub ochrony środowiska) i bezpieczeństwa publicznego to kolejna ze wskazanych rekomendacji. Ponadto w ramach badania wnioskowano o nadanie rangi kryterium ogólnego dla projektów teleinformatycznych dotyczącego zgodności ze standardami i uzupełnienie go o zgodność z platformami regionalnymi i centralnymi. Zalecano również wprowadzenie preferencji dla projektów realizowanych przez konsorcja/porozumienia jednostek oraz projektów dotyczących e-usług na poziomie 3 i 4. Kolejnym wnioskiem było tworzenie systemów automatycznie komunikujących się z innymi systemami informatycznymi beneficjenta. W 2012 roku zrealizowano również badanie </w:t>
      </w:r>
      <w:r w:rsidRPr="007D40E5">
        <w:rPr>
          <w:i/>
          <w:szCs w:val="24"/>
        </w:rPr>
        <w:t>„Realizacja celów i priorytetów Strategii Lizbońskiej oraz Strategii Europa 2020 w ramach Regionalnego Programu Operacyjnego Województwa Śląskiego na lata 2007-2013</w:t>
      </w:r>
      <w:r w:rsidRPr="007D40E5">
        <w:rPr>
          <w:szCs w:val="24"/>
        </w:rPr>
        <w:t xml:space="preserve">”. </w:t>
      </w:r>
      <w:r w:rsidR="00A44293" w:rsidRPr="007D40E5">
        <w:rPr>
          <w:szCs w:val="24"/>
        </w:rPr>
        <w:t>Ewaluatorzy, jako</w:t>
      </w:r>
      <w:r w:rsidRPr="007D40E5">
        <w:rPr>
          <w:szCs w:val="24"/>
        </w:rPr>
        <w:t xml:space="preserve"> alternatywę dla dedykowanych naborów zaproponowali utworzenie odrębnych poddziałań w przypadku inwestycji </w:t>
      </w:r>
      <w:r w:rsidR="00241FA0">
        <w:rPr>
          <w:szCs w:val="24"/>
        </w:rPr>
        <w:t>kluczowych ze </w:t>
      </w:r>
      <w:r w:rsidRPr="007D40E5">
        <w:rPr>
          <w:szCs w:val="24"/>
        </w:rPr>
        <w:t xml:space="preserve">względu na realizację priorytetów województwa i Strategii EU2020. Ponadto w kontekście nowego RPO rekomendowano rozważenie uwzględnienia w kryteriach merytorycznych bezpośrednio wpływu projektów na osiągnięcie skwantyfikowanych celów, które sformułowano w Strategii, jak również rozważenie stworzenia podręcznika kryteriów. Rekomendacje płynące z badania dotyczyły również uzupełnienie </w:t>
      </w:r>
      <w:r w:rsidRPr="007D40E5">
        <w:rPr>
          <w:iCs/>
          <w:szCs w:val="24"/>
        </w:rPr>
        <w:t>systemu monitoringu RPO WSL w zakresie wskaźników programowych.</w:t>
      </w:r>
    </w:p>
    <w:p w14:paraId="31579FD2" w14:textId="02FC9CDA" w:rsidR="007D40E5" w:rsidRPr="007D40E5" w:rsidRDefault="007D40E5" w:rsidP="007D40E5">
      <w:pPr>
        <w:jc w:val="both"/>
        <w:rPr>
          <w:szCs w:val="24"/>
        </w:rPr>
      </w:pPr>
      <w:r w:rsidRPr="007D40E5">
        <w:rPr>
          <w:szCs w:val="24"/>
        </w:rPr>
        <w:lastRenderedPageBreak/>
        <w:t xml:space="preserve">W ramach ewaluacji podsumowujących realizowanych przed Jednostkę ewaluacyjną RPO WSL 2007-2013 analizie poddano również stosowane rozwiązania oraz działania o charakterze systemowym. W 2010 przeprowadzono ewaluację </w:t>
      </w:r>
      <w:r w:rsidRPr="007D40E5">
        <w:rPr>
          <w:i/>
          <w:szCs w:val="24"/>
        </w:rPr>
        <w:t>„Pozakonkursowe ścieżki wyboru projektów w ramach Regionalnego Programu Operacyjnego Województwa Śląskiego na lata 2007-2013: Indykatywny Wykaz Projektów Kluczowych oraz Programy Rozwoju Subregionów”</w:t>
      </w:r>
      <w:r w:rsidRPr="007D40E5">
        <w:rPr>
          <w:szCs w:val="24"/>
        </w:rPr>
        <w:t>. Badanie miało za zadanie ocenić zasadność zastosowania pozakonkursowych ścieżek wyboru projektów oraz poddać analizie elementy, które należy poprawić w pr</w:t>
      </w:r>
      <w:r w:rsidR="00241FA0">
        <w:rPr>
          <w:szCs w:val="24"/>
        </w:rPr>
        <w:t>zyszłym okresie programowania w </w:t>
      </w:r>
      <w:r w:rsidRPr="007D40E5">
        <w:rPr>
          <w:szCs w:val="24"/>
        </w:rPr>
        <w:t>ramach zastosowanych mechanizmów. Wynikiem badania był otrzymany ze</w:t>
      </w:r>
      <w:r w:rsidR="00A44293">
        <w:rPr>
          <w:szCs w:val="24"/>
        </w:rPr>
        <w:t>staw rekomendacji, w których mię</w:t>
      </w:r>
      <w:r w:rsidRPr="007D40E5">
        <w:rPr>
          <w:szCs w:val="24"/>
        </w:rPr>
        <w:t xml:space="preserve">dzy innymi zalecana była kontynuacja wyboru części projektów w trybie pozakonkursowym oraz skrócenie okresu przygotowania projektów. Zalecana była również weryfikacja zasadności wprowadzenia wstępnego etapu oceny projektów, jak również zwiększenie znaczenia kryterium strategiczności w kryteriach oceny oraz upowszechnienie rozwiązania, gdzie rolę Lidera Subregionu pełni podmiot inny niż jednostka samorządu terytorialnego, będąca jednym z potencjalnych beneficjentów wsparcia. Wskazane rekomendacje mają przełożenie oraz szerokie zastosowanie w obecnym okresie programowania. W 2013 roku zrealizowano badanie </w:t>
      </w:r>
      <w:r w:rsidRPr="007D40E5">
        <w:rPr>
          <w:i/>
          <w:szCs w:val="24"/>
        </w:rPr>
        <w:t>„Ocena realizacji i efektów projektów partnerskich i zintegrowanych w ramach RPO WSL 2007-2013 w kontekście zastosowania Zintegrowanych Inwestycji Terytorialnych w przyszłym okresie programowania”</w:t>
      </w:r>
      <w:r w:rsidRPr="007D40E5">
        <w:rPr>
          <w:szCs w:val="24"/>
        </w:rPr>
        <w:t>. W ramach badania wypracowano rekomendacje, które wówczas zostały wskazane do wdrożenia dla IZ RPO WSL 2014-2020: zapewnienie realizatorom projektów odpowiedniego wsparcia informacyjnego i doradczego oraz wsparcia merytorycznego IZ RPO WSL, wprowadzenie uproszczeń dla niektórych procedur w przypadku partnerstwa. Na etapie konstruowania katalogu kryteriów wyboru projektów realizowanych w ramach RPO WSL 2014-2020 stworzenie odpowiedniego katalogu kryteriów wyboru projektów, które pozwolą identyfikować i promować najbardziej funkcjonalne przedsięwzięcia partnerskie. W badaniu wskazano również, że partnerstwo należy premiować tylko w odniesieniu do tych obszarów wsparcia, w których generują one określoną wartość dodaną. Chodzi tu przede wszystkim o</w:t>
      </w:r>
      <w:r w:rsidR="00241FA0">
        <w:rPr>
          <w:szCs w:val="24"/>
        </w:rPr>
        <w:t> </w:t>
      </w:r>
      <w:r w:rsidRPr="007D40E5">
        <w:rPr>
          <w:szCs w:val="24"/>
        </w:rPr>
        <w:t>obszar interwencji współfinansowanych z EFS, gdzie specyfika realizowanych projektów uzasadnia, lub wręcz wymaga, zastosowania formuły partnerskiej. Rekomendowano również prowadzenie działań promocyjnych</w:t>
      </w:r>
      <w:r w:rsidRPr="007D40E5">
        <w:rPr>
          <w:rFonts w:eastAsia="Calibri"/>
          <w:szCs w:val="24"/>
        </w:rPr>
        <w:t xml:space="preserve"> </w:t>
      </w:r>
      <w:r w:rsidRPr="007D40E5">
        <w:rPr>
          <w:szCs w:val="24"/>
        </w:rPr>
        <w:t xml:space="preserve">skierowanych do potencjalnych realizatorów projektów partnerskich, zorientowanych na promocję korzyści, jakie daje dobrze funkcjonujące partnerstwo oraz rozwiązań, które zapewniają funkcjonalność modelu partnerskiego, a także działań szkoleniowych, adresowanych do podmiotów realizujących projekty partnerskie. Wskazano, że w ramach formuły ZIT nie należy uwzględniać wsparcia o charakterze zwrotnym. </w:t>
      </w:r>
    </w:p>
    <w:p w14:paraId="099B16A1" w14:textId="7A2488A1" w:rsidR="007D40E5" w:rsidRPr="007D40E5" w:rsidRDefault="007D40E5" w:rsidP="007D40E5">
      <w:pPr>
        <w:jc w:val="both"/>
        <w:rPr>
          <w:szCs w:val="24"/>
        </w:rPr>
      </w:pPr>
      <w:r w:rsidRPr="007D40E5">
        <w:rPr>
          <w:szCs w:val="24"/>
        </w:rPr>
        <w:t xml:space="preserve">Kolejnym aspektem poddanym ocenie w ramach badań ewaluacyjnych były działania szkoleniowe i informacyjne kierowane do beneficjentów Programu. W 2013 zrealizowano badanie </w:t>
      </w:r>
      <w:r w:rsidRPr="007D40E5">
        <w:rPr>
          <w:i/>
          <w:szCs w:val="24"/>
        </w:rPr>
        <w:t>„Ocena efektywności działań szkoleniowych dla beneficjentów RPO WSL 2007-2013”</w:t>
      </w:r>
      <w:r w:rsidRPr="007D40E5">
        <w:rPr>
          <w:szCs w:val="24"/>
        </w:rPr>
        <w:t xml:space="preserve">, w </w:t>
      </w:r>
      <w:r w:rsidR="00A44293" w:rsidRPr="007D40E5">
        <w:rPr>
          <w:szCs w:val="24"/>
        </w:rPr>
        <w:t>ramach, którego</w:t>
      </w:r>
      <w:r w:rsidRPr="007D40E5">
        <w:rPr>
          <w:szCs w:val="24"/>
        </w:rPr>
        <w:t xml:space="preserve"> wskazano rekomendacje mające na celu ulepszenie prowadzonych działań poprzez zwiększenie ilości szkoleń współprowadzonych przez pracowników Urzędu Marszałkowskiego, umożliwienie uczestnikom przesyłania pytań jeszcze przed przeprowadzeniem szkolenia/warsztatu, podawanie stopnia zaawansowania szkolenia, przekazywania beneficjentom materiałów szkoleniowych jeszcze przed organizacją szkolenia, </w:t>
      </w:r>
      <w:r w:rsidRPr="007D40E5">
        <w:rPr>
          <w:szCs w:val="24"/>
        </w:rPr>
        <w:lastRenderedPageBreak/>
        <w:t>wykorzystanie alternatywnej formy szkoleniowej o</w:t>
      </w:r>
      <w:r w:rsidR="00241FA0">
        <w:rPr>
          <w:szCs w:val="24"/>
        </w:rPr>
        <w:t>raz powiadamianie uczestników o </w:t>
      </w:r>
      <w:r w:rsidRPr="007D40E5">
        <w:rPr>
          <w:szCs w:val="24"/>
        </w:rPr>
        <w:t>dostępności na stronie internetowej materiałów poszkoleniowych. Badanie „</w:t>
      </w:r>
      <w:r w:rsidRPr="007D40E5">
        <w:rPr>
          <w:i/>
          <w:szCs w:val="24"/>
        </w:rPr>
        <w:t>Ocena działań informacyjnych i promocyjnych podejmowanych w ramach Regionalnego Programu Operacyjnego Województwa Śląskiego na lata 2007-2013 w latach 2007-2013</w:t>
      </w:r>
      <w:r w:rsidRPr="007D40E5">
        <w:rPr>
          <w:szCs w:val="24"/>
        </w:rPr>
        <w:t>” zostało zrealizowane w 2014. Efektem badania były wypracowane rekomendacje, które dotyczyły: promowania RPO WSL wśród mieszkańców województwa śląskiego przy zastosowaniu zestawu komplementarnych mediów, zwiększenia intensywności kierowanych do dziennikarzy działań z zakresu public relations, dostępności szkoleń oraz zwiększenie grupy przedsiębiorstw świadomych możliwości ubiegania się o środki z RPO WSL. Rekomendacje przewidywały również zwiększenie liczby pracowników UMW</w:t>
      </w:r>
      <w:r w:rsidR="00241FA0">
        <w:rPr>
          <w:szCs w:val="24"/>
        </w:rPr>
        <w:t>SL oraz ŚCP odpowiedzialnych za </w:t>
      </w:r>
      <w:r w:rsidRPr="007D40E5">
        <w:rPr>
          <w:szCs w:val="24"/>
        </w:rPr>
        <w:t>prowadzenie działań informacyjnych i promocyjnych dotyczących RPO WSL oraz sporządzenie Strategii komunikacji RPO WSL 2014-2020 pozbawionej wad ocenianego Planu Komunikacji.</w:t>
      </w:r>
    </w:p>
    <w:p w14:paraId="1DBFE213" w14:textId="50CE47CE" w:rsidR="007D40E5" w:rsidRPr="007D40E5" w:rsidRDefault="007D40E5" w:rsidP="007D40E5">
      <w:pPr>
        <w:jc w:val="both"/>
        <w:rPr>
          <w:szCs w:val="24"/>
        </w:rPr>
      </w:pPr>
      <w:r w:rsidRPr="007D40E5">
        <w:rPr>
          <w:szCs w:val="24"/>
        </w:rPr>
        <w:t xml:space="preserve">Ostatnią grupą ewaluacji podsumowujących wsparcie w ramach RPO WSL 2007-2013 były badania oceniające efekty </w:t>
      </w:r>
      <w:r w:rsidR="00A44293" w:rsidRPr="007D40E5">
        <w:rPr>
          <w:szCs w:val="24"/>
        </w:rPr>
        <w:t>Programu, jako</w:t>
      </w:r>
      <w:r w:rsidRPr="007D40E5">
        <w:rPr>
          <w:szCs w:val="24"/>
        </w:rPr>
        <w:t xml:space="preserve"> całości. Badanie „</w:t>
      </w:r>
      <w:r w:rsidRPr="007D40E5">
        <w:rPr>
          <w:i/>
          <w:szCs w:val="24"/>
        </w:rPr>
        <w:t>Wstępna ocena realizacji i efektów Regionalnego Programu Operacyjnego  Województwa Śląskiego na lata 2007-2013</w:t>
      </w:r>
      <w:r w:rsidRPr="007D40E5">
        <w:rPr>
          <w:szCs w:val="24"/>
        </w:rPr>
        <w:t>” zostało zrealizowane w 2012 r. Wypracowane rekomendacje dotyczyły: zintegrowania procesu tworzenia wskaźników z całym procesem tworzenia logiki interwencji i zaplanowania logiki zasilania wskaźników wyższego rzędu. Wnioskowano również o wprowadzenie dla każdego typ projektu przynajmniej po jednym wskaźniku produktu i rezultatu. W ramach badania przeprowadzona została analiza wskaźników oddziaływania, w </w:t>
      </w:r>
      <w:r w:rsidR="00A44293" w:rsidRPr="007D40E5">
        <w:rPr>
          <w:szCs w:val="24"/>
        </w:rPr>
        <w:t>wyniku, której</w:t>
      </w:r>
      <w:r w:rsidR="00241FA0">
        <w:rPr>
          <w:szCs w:val="24"/>
        </w:rPr>
        <w:t xml:space="preserve"> wskazano, że </w:t>
      </w:r>
      <w:r w:rsidRPr="007D40E5">
        <w:rPr>
          <w:szCs w:val="24"/>
        </w:rPr>
        <w:t xml:space="preserve">powinny one stanowić wskaźniki celu głównego, dzięki czemu wpływ RPO na realizację celu głównego będzie bardziej przejrzysty i lepiej mierzalny. Ponadto wykazano, że przy wskaźnikach oddziaływania Programu sfera zainteresowań powinna obracać się wokół efektów działań zapisanych w Programie, a nie całego regionu. Kolejna z rekomendacji dotyczyła dążenia do osiągnięcia jak największych efektów synergii z realizowanych projektów. Rekomendowane było również wspieranie typów projektów, które realizują najwięcej wskaźników programowych za jak najmniejsze nakłady finansowe oraz wykorzystywanie poszczególnych ścieżek wyboru w tych typach projektów, w których są one najbardziej efektywne. Dla nowej perspektywy rekomendowane było zintegrowanie mechanizmów wyrównywania szans raczej na poziomie projektów i kryteriów wyboru niż na poziomie Działań i priorytetów. Rekomendowane było również stworzenie takiego zestawu kryteriów, które pozwolą wnioskodawcom na wstępna ocenę swoich projektów, jak również zwiększenie zakresu i poziomu zastosowania cross-financingu oraz poprawienie sposobu realizacji zasady partnerstwa podczas fazy programowania, wdrażania oraz monitorowania Programu. Rekomendowane było także wspieranie i premiowanie realizacji projektów w partnerstwie. </w:t>
      </w:r>
    </w:p>
    <w:p w14:paraId="6550C698" w14:textId="7CA97E22" w:rsidR="007D40E5" w:rsidRPr="007D40E5" w:rsidRDefault="007D40E5" w:rsidP="007D40E5">
      <w:pPr>
        <w:jc w:val="both"/>
        <w:rPr>
          <w:szCs w:val="24"/>
        </w:rPr>
      </w:pPr>
      <w:r w:rsidRPr="007D40E5">
        <w:rPr>
          <w:szCs w:val="24"/>
        </w:rPr>
        <w:t xml:space="preserve">W 2014 roku przeprowadzono badanie </w:t>
      </w:r>
      <w:r w:rsidRPr="007D40E5">
        <w:rPr>
          <w:i/>
          <w:szCs w:val="24"/>
        </w:rPr>
        <w:t>„Ewaluacja ex post Regionalnego Programu Operacyjnego Województwa Śląskiego na lata 2007-2013”</w:t>
      </w:r>
      <w:r w:rsidRPr="007D40E5">
        <w:rPr>
          <w:szCs w:val="24"/>
        </w:rPr>
        <w:t xml:space="preserve">. Zarekomendowano wówczas włączenie do celów priorytetowych regionu dalszych inwestycji w obszarze infrastruktury gospodarczej ze szczególnym uwzględnieniem wsparcia infrastrukturalnego parków przemysłowo-technologicznych także uwzględnienie w przyszłym okresie programowania wskaźnika monitorującego wartość inwestycji zrealizowanych na wspartych terenach w celu </w:t>
      </w:r>
      <w:r w:rsidRPr="007D40E5">
        <w:rPr>
          <w:szCs w:val="24"/>
        </w:rPr>
        <w:lastRenderedPageBreak/>
        <w:t>pomiaru skuteczności wsparcia. Rekomendowano również wspieranie projektów łączących wsparcie inwestycyjne z wprowadzaniem narzędzi budow</w:t>
      </w:r>
      <w:r w:rsidR="00241FA0">
        <w:rPr>
          <w:szCs w:val="24"/>
        </w:rPr>
        <w:t>ania przewagi konkurencyjnej. W </w:t>
      </w:r>
      <w:r w:rsidRPr="007D40E5">
        <w:rPr>
          <w:szCs w:val="24"/>
        </w:rPr>
        <w:t xml:space="preserve">przypadku wspierania klastrów zalecano terytorializację interwencji w sposób zwiększający dostępność narzędzia dla poszczególnych subregionów. Zalecono również promocję usług IOB w środowisku przedsiębiorców oraz promocję systemu certyfikatów jakości produktu, który najszybciej skłania przedsiębiorców do korzystania z usług IOB. Wynikiem badania był otrzymany zestaw rekomendacji działań obejmujących </w:t>
      </w:r>
      <w:r w:rsidR="00241FA0">
        <w:rPr>
          <w:szCs w:val="24"/>
        </w:rPr>
        <w:t>współpracę na linii IOB-MMSP, w </w:t>
      </w:r>
      <w:r w:rsidRPr="007D40E5">
        <w:rPr>
          <w:szCs w:val="24"/>
        </w:rPr>
        <w:t xml:space="preserve">których miedzy innymi zalecany był Pakiet minimum wsparcia IOB, zwiększenie skali udziału przedsiębiorstw w strukturach klastrowych, realizowanie projektów informacyjno-promocyjnych pokazujących korzyści dla przedsiębiorstw z funkcjonowania w trójsektorowej sieci współpracy. W obszarze społeczeństwa informacyjnego wnioskowano o rozwijanie usług online w kierunku zagwarantowania ich kompatybilności </w:t>
      </w:r>
      <w:r w:rsidR="00241FA0">
        <w:rPr>
          <w:szCs w:val="24"/>
        </w:rPr>
        <w:t>z systemami regionalnymi i </w:t>
      </w:r>
      <w:r w:rsidRPr="007D40E5">
        <w:rPr>
          <w:szCs w:val="24"/>
        </w:rPr>
        <w:t>krajowymi (SEKAP, ePUAP). Wskazano również na potrzeb</w:t>
      </w:r>
      <w:r w:rsidR="00241FA0">
        <w:rPr>
          <w:szCs w:val="24"/>
        </w:rPr>
        <w:t>ę priorytetyzacji interwencji w </w:t>
      </w:r>
      <w:r w:rsidRPr="007D40E5">
        <w:rPr>
          <w:szCs w:val="24"/>
        </w:rPr>
        <w:t>obszarze kultury i ukierunkowanie wsparcia na wybrane obszary oraz realizację projektów na obszarze całego regionu, we wszystkich powiatach, aby budować kapitał społeczny równomiernie na obszarze całego województwa. W obszarze ochrony środowiska rekomendowane była między innymi kontynuacja działań skierowanych na poprawę jakości powietrza. Wskazywano również na potrzebę wspierania potencjalnych beneficjentów spoza sektora JST w uzyskaniu dofinansowania na rewitalizację terenów poprzemysłowych leżących w ich kompetencji i kontynuacji dalszej modernizacji i przebudowy dróg wojewódzkich, powiatowych i gminnych.  W zakresie transportu wskazano na konieczność wsparcia projektów z zakresu integracji transportu publicznego z uwzględnieniem transportu kolejowego, zwiększenie taboru komunikacji miejskiej. Wnioskowano o zwiększenie nakładów na transport kolejowy wraz z przeznaczeniem dedykowanej alokacji na ten obszar z uwzględnieniem intermodalności transportu, zintegrowanego systemu transportu publicznego ze szczególnym uwzględnieniem miast Aglomeracji Górnośląskiej. Wskazywano również na konieczność wspierania powstawania nowych miejsc edukacji przedszkolnej, szczególnie na terenie gmin, gdzie dostępność do placówek jest niższa. W przypadku szkół o profilu zawodowym chciano ukierunkowania inwestycji przede wszystkim na unowocześ</w:t>
      </w:r>
      <w:r w:rsidR="00241FA0">
        <w:rPr>
          <w:szCs w:val="24"/>
        </w:rPr>
        <w:t>nienie pracowni. Rekomendację z </w:t>
      </w:r>
      <w:r w:rsidRPr="007D40E5">
        <w:rPr>
          <w:szCs w:val="24"/>
        </w:rPr>
        <w:t>badania wskazywały na konieczność wsparcia kierunków technicznych, połączenie wdrażania z biznesem, komercjalizacja oraz zwiększeniu potencjału uczelni wyższych. Rekomendowano wspieranie efektywności systemu kształcenia ustawicznego poprzez tworzenie nowych placówek, wykorzystując dostępną infrastrukturę szkolnictwa ogólnego na obszarach, gdzie występuje deficyt. Wskazywano również na konieczność zorientowania systemu kształcenia ustawicznego na potrzeby i oczekiwania różnych grup wiekowych ludności. W przypadku infrastruktury zdrowotnej postulowano realizacje inwestycji dotyczących remontów i modernizacji budynków oraz wypo</w:t>
      </w:r>
      <w:r w:rsidR="00241FA0">
        <w:rPr>
          <w:szCs w:val="24"/>
        </w:rPr>
        <w:t>sażenia w aparaturę medyczną. W </w:t>
      </w:r>
      <w:r w:rsidRPr="007D40E5">
        <w:rPr>
          <w:szCs w:val="24"/>
        </w:rPr>
        <w:t>obszarze zdrowia natomiast chciano wspierania leczenia osób starszych, rozwijania usług opieki domowej, leczenia paliatywnego oraz usług pielęgnacyjno-op</w:t>
      </w:r>
      <w:r w:rsidR="00241FA0">
        <w:rPr>
          <w:szCs w:val="24"/>
        </w:rPr>
        <w:t>iekuńczych, rehabilitacji i </w:t>
      </w:r>
      <w:r w:rsidRPr="007D40E5">
        <w:rPr>
          <w:szCs w:val="24"/>
        </w:rPr>
        <w:t>profilaktyki, psychiatrii, a także telemedycyny.</w:t>
      </w:r>
    </w:p>
    <w:p w14:paraId="66DFB14C" w14:textId="2408AEA6" w:rsidR="007D40E5" w:rsidRPr="007D40E5" w:rsidRDefault="007D40E5" w:rsidP="007D40E5">
      <w:pPr>
        <w:jc w:val="both"/>
        <w:rPr>
          <w:szCs w:val="24"/>
        </w:rPr>
      </w:pPr>
      <w:r w:rsidRPr="007D40E5">
        <w:rPr>
          <w:szCs w:val="24"/>
        </w:rPr>
        <w:t>W 2013 i 2015 przeprowadzono badania dotyczące wpływu RPO WSL 2007-2013 na wybrane wskaźniki społeczno-ekonomiczne za pomocą modelu</w:t>
      </w:r>
      <w:r w:rsidR="00241FA0">
        <w:rPr>
          <w:szCs w:val="24"/>
        </w:rPr>
        <w:t xml:space="preserve"> HERMIN.  W 2013 wykazano, że w </w:t>
      </w:r>
      <w:r w:rsidRPr="007D40E5">
        <w:rPr>
          <w:szCs w:val="24"/>
        </w:rPr>
        <w:t xml:space="preserve">całym regionie średnioroczna wartość wpływu Programu na zmianę PKB okresie </w:t>
      </w:r>
      <w:r w:rsidRPr="007D40E5">
        <w:rPr>
          <w:szCs w:val="24"/>
        </w:rPr>
        <w:lastRenderedPageBreak/>
        <w:t>finansowania Programu powinna wynosić ok. 1%. Natomiast liczba dodatkowych miejsc pracy utworzonych dzięki wsparciu w okresie 2008-2016 kształtuje się na poziomie średnio od 2,0 tys. do 7,1 tys. rocznie.  Program przyczynił się również do zmniejszenia dystansu dzielącego województwo śląskie od przeciętnej wartości PKB per capita w PPS dla Unii Europejskiej. Wykazano pozytywne oddziaływanie funduszy dostępnych w ramach Programu, co widoczne było przede wszystkim w przypadku w wskaźnika wydajności pracy i poziomu nakładów brutto na środki trwałe. Kolejny wniosek, który został uzyskany w ramach badania dotyczył rozkładu środków finansowych w ramach RPO, WSL 2014-2020, który jak wskazano powinien skłaniać się do większego udziału wydatków na działalność B+R. Ponadto wskazano, że w przypadku zastosowania w nowym okresie programowania ekono</w:t>
      </w:r>
      <w:r w:rsidR="00211520">
        <w:rPr>
          <w:szCs w:val="24"/>
        </w:rPr>
        <w:t>micznej struktury interwencji w </w:t>
      </w:r>
      <w:r w:rsidRPr="007D40E5">
        <w:rPr>
          <w:szCs w:val="24"/>
        </w:rPr>
        <w:t>kształcie zbliżonym do tej funkcjonującej w poprzedniej perspektywie może to generować relatywnie słabsze efekty niż w latach 2007-2013. Przeprowadzone w 2015 badanie ponownie wykazało pozytywne oddziaływanie RPO WSL na rozwój gospodarczy województwa śląskiego i każdego z czterech subregionów w całym an</w:t>
      </w:r>
      <w:r w:rsidR="00211520">
        <w:rPr>
          <w:szCs w:val="24"/>
        </w:rPr>
        <w:t>alizowanym okresie 2007-2020. W </w:t>
      </w:r>
      <w:r w:rsidRPr="007D40E5">
        <w:rPr>
          <w:szCs w:val="24"/>
        </w:rPr>
        <w:t>okresie finansowania Programu (2008-2020) wykazano, że w całym regionie średnioroczna wartość wpływu Programu na zmianę PKB ma wynosić we wspomnianym okresie ok. 1,1 %. Łącznie w całym województwie śląskim liczba dodatkowych miejsc pracy miała być wyższa w 2015 r. o 1,4% (25,1 tys.). Wnioski z badania ponownie wskazywały zmniejszenie dystansu dzielącego województwo śląskie od przeciętnej wartości PKB per capita w PPS dla Unii Europejskiej dzięki wsparciu finansowemu w ramach Progra</w:t>
      </w:r>
      <w:r w:rsidR="00211520">
        <w:rPr>
          <w:szCs w:val="24"/>
        </w:rPr>
        <w:t>mu. W 2015 roku, podobnie jak w </w:t>
      </w:r>
      <w:r w:rsidRPr="007D40E5">
        <w:rPr>
          <w:szCs w:val="24"/>
        </w:rPr>
        <w:t xml:space="preserve">badaniu z roku 2013, stwierdzono pozytywne oddziaływanie funduszy dostępnych w ramach Programu na wartości innych wskaźników analizowanych w ramach badania, ponownie szczególnie w przypadku wskaźnika wydajności pracy i poziomu nakładów brutto na środki trwałe. </w:t>
      </w:r>
    </w:p>
    <w:p w14:paraId="2EA1A905" w14:textId="2C7B8659" w:rsidR="007D40E5" w:rsidRPr="007D40E5" w:rsidRDefault="007D40E5" w:rsidP="007D40E5">
      <w:pPr>
        <w:jc w:val="both"/>
        <w:rPr>
          <w:szCs w:val="24"/>
        </w:rPr>
      </w:pPr>
      <w:r w:rsidRPr="007D40E5">
        <w:rPr>
          <w:szCs w:val="24"/>
        </w:rPr>
        <w:t>Na późniejszym etapie wdrażania RPO WSL 2007-2013 Jednostka ewaluacyjna zaczęła realizować badania o charakterze ex-ante, które miały posłużyć do przygotowania działań po 2013 roku. W 2012 zrealizowano badanie „</w:t>
      </w:r>
      <w:r w:rsidRPr="007D40E5">
        <w:rPr>
          <w:i/>
          <w:szCs w:val="24"/>
        </w:rPr>
        <w:t>Analiza potrzeb infrastrukturalnych w ramach środowiska w województwie śląskim</w:t>
      </w:r>
      <w:r w:rsidRPr="007D40E5">
        <w:rPr>
          <w:szCs w:val="24"/>
        </w:rPr>
        <w:t xml:space="preserve">”, które pozwoliło na określenie optymalnych zasad wsparcia inwestycji w obszarze środowiska w okresie programowania 2014-2020. Rekomendacje z badania pozwoliły określić pożądane kierunki wsparcia w ramach celów tematycznych 4 i 6, wprowadzić modyfikacje w zasadach prowadzenia naborów wniosków (wydłużono termin składania wniosków, zrezygnowano z części załączników, zabezpieczenie środków wymagane jest na etapie umowy o dofinansowanie), wprowadzić zmiany w dokumentach opisujących zasady naboru i oceny projektów pozakonkursowych, zintensyfikowano działania szkoleniowe przeznaczone dla wnioskodawców. Inną tematyczną ewaluacją zrealizowaną na potrzeby okresu programowania 2014-2020 było badanie </w:t>
      </w:r>
      <w:r w:rsidRPr="007D40E5">
        <w:rPr>
          <w:i/>
          <w:szCs w:val="24"/>
        </w:rPr>
        <w:t xml:space="preserve">„Analiza możliwości wsparcia projektów z zakresu diagnostyki i profilaktyki zdrowotnej w ramach wsparcia z Europejskiego Funduszu Społecznego w latach 2014-2020 w województwie śląskim”, </w:t>
      </w:r>
      <w:r w:rsidRPr="007D40E5">
        <w:rPr>
          <w:szCs w:val="24"/>
        </w:rPr>
        <w:t>zrealizowane w 2014 r. Rekomendacje w ramach tego badania dotyczyły rozwiązań pozwalających na bardziej skuteczne dotarcie do grup docelowych programów zdrowotnych, takiej konstrukcji programów zdrowotnych, aby obejmował</w:t>
      </w:r>
      <w:r w:rsidR="00241FA0">
        <w:rPr>
          <w:szCs w:val="24"/>
        </w:rPr>
        <w:t>y przedsięwzięcia wpływające na </w:t>
      </w:r>
      <w:r w:rsidRPr="007D40E5">
        <w:rPr>
          <w:szCs w:val="24"/>
        </w:rPr>
        <w:t>zmiany pośrednio dotyczące obszaru zdrowia (nawyki żywieniowe, sposób spędzania wolnego czasu), zapewnienia możliwości skorzystania z l</w:t>
      </w:r>
      <w:r w:rsidR="00241FA0">
        <w:rPr>
          <w:szCs w:val="24"/>
        </w:rPr>
        <w:t xml:space="preserve">eczenia w wyniku uczestnictwa </w:t>
      </w:r>
      <w:r w:rsidR="00241FA0">
        <w:rPr>
          <w:szCs w:val="24"/>
        </w:rPr>
        <w:lastRenderedPageBreak/>
        <w:t>w </w:t>
      </w:r>
      <w:r w:rsidRPr="007D40E5">
        <w:rPr>
          <w:szCs w:val="24"/>
        </w:rPr>
        <w:t>programie zdrowotnym, jeśli wystąpi taka potrzeba, bar</w:t>
      </w:r>
      <w:r w:rsidR="00241FA0">
        <w:rPr>
          <w:szCs w:val="24"/>
        </w:rPr>
        <w:t>dziej optymalnego monitoringu i </w:t>
      </w:r>
      <w:r w:rsidRPr="007D40E5">
        <w:rPr>
          <w:szCs w:val="24"/>
        </w:rPr>
        <w:t>oceny działań prowadzonych w ramach programów zdro</w:t>
      </w:r>
      <w:r w:rsidR="00241FA0">
        <w:rPr>
          <w:szCs w:val="24"/>
        </w:rPr>
        <w:t>wotnych. Ze względu na fakt, że </w:t>
      </w:r>
      <w:r w:rsidRPr="007D40E5">
        <w:rPr>
          <w:szCs w:val="24"/>
        </w:rPr>
        <w:t>działania związane z realizacją programów zdrowotnych w ramach programów operacyjnych są wdrażane obecnie, rekomendacje z tego obszaru są jeszcze wdrażane.</w:t>
      </w:r>
    </w:p>
    <w:p w14:paraId="0ADDFAB0" w14:textId="714E1CAD" w:rsidR="007D40E5" w:rsidRPr="007D40E5" w:rsidRDefault="007D40E5" w:rsidP="007D40E5">
      <w:pPr>
        <w:jc w:val="both"/>
        <w:rPr>
          <w:szCs w:val="24"/>
        </w:rPr>
      </w:pPr>
      <w:r w:rsidRPr="007D40E5">
        <w:rPr>
          <w:szCs w:val="24"/>
        </w:rPr>
        <w:t>Na potrzeby przygotowania Regionalnego Programu Operacyjnego Województwa Śląskiego na lata 2014-2020 zrealizowano przede wszystkim badanie „</w:t>
      </w:r>
      <w:r w:rsidRPr="007D40E5">
        <w:rPr>
          <w:i/>
          <w:szCs w:val="24"/>
        </w:rPr>
        <w:t xml:space="preserve">Ewaluacja ex-ante regionalnego programu operacyjnego na lata 2014-2020” </w:t>
      </w:r>
      <w:r w:rsidRPr="007D40E5">
        <w:rPr>
          <w:szCs w:val="24"/>
        </w:rPr>
        <w:t>(2013-2014r)</w:t>
      </w:r>
      <w:r w:rsidRPr="007D40E5">
        <w:rPr>
          <w:i/>
          <w:szCs w:val="24"/>
        </w:rPr>
        <w:t xml:space="preserve">. </w:t>
      </w:r>
      <w:r w:rsidRPr="007D40E5">
        <w:rPr>
          <w:szCs w:val="24"/>
        </w:rPr>
        <w:t>W ramach badania oceniono projekty Programu a także zaproponowano rekomendacj</w:t>
      </w:r>
      <w:r w:rsidR="00241FA0">
        <w:rPr>
          <w:szCs w:val="24"/>
        </w:rPr>
        <w:t>e, które zostały wprowadzone do </w:t>
      </w:r>
      <w:r w:rsidRPr="007D40E5">
        <w:rPr>
          <w:szCs w:val="24"/>
        </w:rPr>
        <w:t xml:space="preserve">ostatecznej wersji Programu, przedstawionej Komisji Europejskiej. Zakres dokonanych zmian dotyczył m.in przedstawionej w programie diagnozy, logiki planowanej interwencji, systemu wskaźników, wyboru wskaźników do ram wykonania. Ponadto realizowano badania, które miały przyczynić się do prawidłowego zaprogramowania wsparcia z wykorzystaniem instrumentów finansowych w ramach regionalnego programu operacyjnego perspektywy 2014-2020. Badanie </w:t>
      </w:r>
      <w:r w:rsidRPr="007D40E5">
        <w:rPr>
          <w:i/>
          <w:szCs w:val="24"/>
        </w:rPr>
        <w:t xml:space="preserve">„Analiza możliwości zastosowania zwrotnych mechanizmów finansowania inwestycji w perspektywie 2014-2020 w województwie śląskim” </w:t>
      </w:r>
      <w:r w:rsidRPr="007D40E5">
        <w:rPr>
          <w:szCs w:val="24"/>
        </w:rPr>
        <w:t>(2012 r.) wstępnie wskazywało rodzaje instrumentów, które powinny być wykorzystywane, obszary, w ramach których powinny być zastosowane instrumenty finansowe, p</w:t>
      </w:r>
      <w:r w:rsidR="00241FA0">
        <w:rPr>
          <w:szCs w:val="24"/>
        </w:rPr>
        <w:t>roponowane modele wdrażania. Po </w:t>
      </w:r>
      <w:r w:rsidRPr="007D40E5">
        <w:rPr>
          <w:szCs w:val="24"/>
        </w:rPr>
        <w:t>opublikowaniu rozporządzeń określających zasady wsparcia w ramach funduszy unijnych w perspektywie 2014-2020, nastąpiła konieczność realizacji badania ex-ante instrumentów finansowych w ramach przyszłego RPO zgodn</w:t>
      </w:r>
      <w:r w:rsidR="00241FA0">
        <w:rPr>
          <w:szCs w:val="24"/>
        </w:rPr>
        <w:t>ego z wymaganiami określonymi w </w:t>
      </w:r>
      <w:r w:rsidRPr="007D40E5">
        <w:rPr>
          <w:szCs w:val="24"/>
        </w:rPr>
        <w:t>rozporządzeniu 1303/2013. Zrealizowano więc badanie (</w:t>
      </w:r>
      <w:r w:rsidRPr="007D40E5">
        <w:rPr>
          <w:i/>
          <w:szCs w:val="24"/>
        </w:rPr>
        <w:t>Ocena ex-ante instrumentów finansowych w ramach Regionalnego Programu Operacyjnego Województwa Śląskiego lata 2014-2020</w:t>
      </w:r>
      <w:r w:rsidRPr="007D40E5">
        <w:rPr>
          <w:szCs w:val="24"/>
        </w:rPr>
        <w:t>, 2014 r.), które wskazywało zakres interwencji wdrażanej za pomocą instrumentów finansowych. Z związku z badaniami prowadzonymi na poziomie krajowym i rozbieżności odnośnie zasadności zastosowania instrumentów finansowych w ramach priorytetu inwestycyjnego 4c IZ RPO WSL zdecydowała o zleceniu badania ponownie analizującego zastosowanie instrumentów finansowych w tym priorytecie inwestycyjnym (</w:t>
      </w:r>
      <w:r w:rsidRPr="007D40E5">
        <w:rPr>
          <w:i/>
          <w:szCs w:val="24"/>
        </w:rPr>
        <w:t xml:space="preserve">„Ocena ex ante zastosowania instrumentów finansowych w ramach priorytetu inwestycyjnego 4c -wspieranie efektywności energetycznej, inteligentnego zarządzania energią i wykorzystania odnawialnych źródeł energii w infrastrukturze publicznej, w tym w budynkach publicznych i sektorze mieszkaniowym RPO WSL 2014-2020”, </w:t>
      </w:r>
      <w:r w:rsidRPr="007D40E5">
        <w:rPr>
          <w:szCs w:val="24"/>
        </w:rPr>
        <w:t>2015 r.</w:t>
      </w:r>
      <w:r w:rsidRPr="007D40E5">
        <w:rPr>
          <w:i/>
          <w:szCs w:val="24"/>
        </w:rPr>
        <w:t>)</w:t>
      </w:r>
      <w:r w:rsidRPr="007D40E5">
        <w:rPr>
          <w:szCs w:val="24"/>
        </w:rPr>
        <w:t xml:space="preserve">. W związku z toczącymi się pracami nad ostatecznym kształtem wdrażania instrumentów finansowych w ramach RPO WSL 2014-2020 nie można jeszcze wskazać sposobu wykorzystania rekomendacji z badań. </w:t>
      </w:r>
    </w:p>
    <w:p w14:paraId="00E6EB90" w14:textId="292C93A2" w:rsidR="007D40E5" w:rsidRPr="007D40E5" w:rsidRDefault="007D40E5" w:rsidP="007D40E5">
      <w:pPr>
        <w:tabs>
          <w:tab w:val="left" w:pos="2127"/>
        </w:tabs>
        <w:jc w:val="both"/>
        <w:rPr>
          <w:szCs w:val="24"/>
        </w:rPr>
      </w:pPr>
      <w:r w:rsidRPr="007D40E5">
        <w:rPr>
          <w:szCs w:val="24"/>
        </w:rPr>
        <w:t xml:space="preserve">Ostatnią grupą badań wykorzystanych do przygotowania wdrażania Regionalnego Programu Operacyjnego Województwa Śląskiego na lata 2014-2020 były badania poświęcone wykorzystanym w ramach programu wskaźnikom. </w:t>
      </w:r>
      <w:r w:rsidRPr="007D40E5">
        <w:rPr>
          <w:i/>
          <w:szCs w:val="24"/>
        </w:rPr>
        <w:t>„Ekspertyza dotycząca opracowania metodologii i oszacowania wartości wskaźników Regionalnego Programu Operacyjnego Województwa Śląskiego na lata 2014-2020 w zakresie EFRR”</w:t>
      </w:r>
      <w:r w:rsidR="00241FA0">
        <w:rPr>
          <w:szCs w:val="24"/>
        </w:rPr>
        <w:t xml:space="preserve"> (2014 r.) pozwoliła na </w:t>
      </w:r>
      <w:r w:rsidRPr="007D40E5">
        <w:rPr>
          <w:szCs w:val="24"/>
        </w:rPr>
        <w:t>weryfikację listy wskaźników rezultatu strategicznego i produktu wraz z opracowaniem rekomendacji, opracowanie metodologii wyliczania wartości poszczególnych wskaźników produktu i rezultatu wraz z uzasadnieniem wybor</w:t>
      </w:r>
      <w:r w:rsidR="00241FA0">
        <w:rPr>
          <w:szCs w:val="24"/>
        </w:rPr>
        <w:t>u, oszacowanie realistycznych i </w:t>
      </w:r>
      <w:r w:rsidRPr="007D40E5">
        <w:rPr>
          <w:szCs w:val="24"/>
        </w:rPr>
        <w:t xml:space="preserve">weryfikowalnych wartości bazowych, pośrednich i docelowych dla wskaźników RPO WSL </w:t>
      </w:r>
      <w:r w:rsidRPr="007D40E5">
        <w:rPr>
          <w:szCs w:val="24"/>
        </w:rPr>
        <w:lastRenderedPageBreak/>
        <w:t xml:space="preserve">2014-2020 oraz wyznaczenie wskaźników oceny wykonania dla osi priorytetowych. Z kolei w 2015 roku w związku z zaistniałą koniecznością weryfikacji metodologii oraz wartości wybranych wskaźników oraz koniecznością oszacowania wartości wskaźników, dla których taki obowiązek przewidziano w ramach RPO WSL 2014-2020,  zrealizowano badanie </w:t>
      </w:r>
      <w:r w:rsidRPr="007D40E5">
        <w:rPr>
          <w:i/>
          <w:szCs w:val="24"/>
        </w:rPr>
        <w:t>Weryfikacja i oszacowanie wartości wybranych wskaźników Regionalnego Programu Operacyjnego Województwa Śląskiego na lata 2014-2020.</w:t>
      </w:r>
      <w:r w:rsidRPr="007D40E5">
        <w:rPr>
          <w:szCs w:val="24"/>
        </w:rPr>
        <w:t>.</w:t>
      </w:r>
    </w:p>
    <w:p w14:paraId="1121DA24" w14:textId="26A1FD65" w:rsidR="007D40E5" w:rsidRPr="009449F6" w:rsidRDefault="007D40E5" w:rsidP="009449F6">
      <w:pPr>
        <w:jc w:val="both"/>
        <w:rPr>
          <w:szCs w:val="24"/>
        </w:rPr>
      </w:pPr>
      <w:r w:rsidRPr="007D40E5">
        <w:rPr>
          <w:bCs/>
          <w:szCs w:val="24"/>
        </w:rPr>
        <w:t xml:space="preserve">Przedmiot badania dotyczył łącznie 20 wskaźników </w:t>
      </w:r>
      <w:r w:rsidRPr="007D40E5">
        <w:rPr>
          <w:szCs w:val="24"/>
        </w:rPr>
        <w:t>RPO WSL 2014-2020 przy czym dla</w:t>
      </w:r>
      <w:r w:rsidR="00241FA0">
        <w:rPr>
          <w:szCs w:val="24"/>
        </w:rPr>
        <w:t xml:space="preserve"> 9 </w:t>
      </w:r>
      <w:r w:rsidRPr="007D40E5">
        <w:rPr>
          <w:szCs w:val="24"/>
        </w:rPr>
        <w:t>wskaźników (4 wskaźników rezultatu i 5 wskaźników produktu) dokonana została  korekta lub zaproponowana nowa metodologia wyliczania w</w:t>
      </w:r>
      <w:r w:rsidR="00241FA0">
        <w:rPr>
          <w:szCs w:val="24"/>
        </w:rPr>
        <w:t>artości docelowej wskaźników. W </w:t>
      </w:r>
      <w:r w:rsidRPr="007D40E5">
        <w:rPr>
          <w:szCs w:val="24"/>
        </w:rPr>
        <w:t>przypadku 10 wskaźników rezultatu zweryfikowana została ich wartość docelowa, natomiast w przypadku 7 wskaźników została dokonana korekta opracowanej przez UM WSL metodologii. Ponadto dla jednego wskaźnika rezultatu opracowana została nowa metodologia, na podstawie, której obliczona została wartość docelowa na 2023 rok.</w:t>
      </w:r>
    </w:p>
    <w:p w14:paraId="2F0B7BFF" w14:textId="0349473B" w:rsidR="0005410E" w:rsidRPr="00BD7939" w:rsidRDefault="00613F08" w:rsidP="00705601">
      <w:pPr>
        <w:pStyle w:val="Nagwek1"/>
        <w:numPr>
          <w:ilvl w:val="0"/>
          <w:numId w:val="72"/>
        </w:numPr>
        <w:spacing w:before="120" w:after="120"/>
        <w:ind w:left="357" w:hanging="357"/>
      </w:pPr>
      <w:bookmarkStart w:id="244" w:name="_Toc292789271"/>
      <w:bookmarkStart w:id="245" w:name="_Toc292793563"/>
      <w:bookmarkStart w:id="246" w:name="_Toc391466362"/>
      <w:bookmarkStart w:id="247" w:name="_Toc423351778"/>
      <w:bookmarkStart w:id="248" w:name="_Toc477779771"/>
      <w:r w:rsidRPr="00BD7939">
        <w:t>REALIZACJA W PODZIALE NA PRIORYTETY, POSTĘP WDRAŻANIA PROGRAMU WG PRIORYTETÓW/OSI</w:t>
      </w:r>
      <w:bookmarkStart w:id="249" w:name="_Toc391466363"/>
      <w:bookmarkEnd w:id="244"/>
      <w:bookmarkEnd w:id="245"/>
      <w:bookmarkEnd w:id="246"/>
      <w:bookmarkEnd w:id="247"/>
      <w:bookmarkEnd w:id="248"/>
    </w:p>
    <w:p w14:paraId="7D7005E8" w14:textId="0518D166" w:rsidR="004C3F97" w:rsidRPr="004C3F97" w:rsidRDefault="004C3F97" w:rsidP="004C3F97">
      <w:pPr>
        <w:spacing w:after="120"/>
        <w:jc w:val="both"/>
        <w:rPr>
          <w:szCs w:val="24"/>
        </w:rPr>
      </w:pPr>
      <w:r w:rsidRPr="004C3F97">
        <w:rPr>
          <w:szCs w:val="24"/>
        </w:rPr>
        <w:t>Poniżej został przedstawiony postęp wdrażania RPO WSL</w:t>
      </w:r>
      <w:r>
        <w:rPr>
          <w:szCs w:val="24"/>
        </w:rPr>
        <w:t xml:space="preserve"> w podziale na priorytety</w:t>
      </w:r>
      <w:r w:rsidRPr="004C3F97">
        <w:rPr>
          <w:szCs w:val="24"/>
        </w:rPr>
        <w:t>. Wszystkie dane finansowe przedstawione zostały w euro (przy zastosowaniu stałego kursu 1 EUR =4,4141 PLN), za wyjątkiem certyfikacji, której wartość wynika z kursów obowiązujących każdorazowo w momencie złożenia deklaracji IZ do IC.</w:t>
      </w:r>
    </w:p>
    <w:p w14:paraId="22856EB9" w14:textId="25DCCAAC" w:rsidR="003515EE" w:rsidRPr="00241FA0" w:rsidRDefault="0005410E" w:rsidP="00241FA0">
      <w:pPr>
        <w:spacing w:before="120" w:after="120"/>
        <w:jc w:val="both"/>
        <w:rPr>
          <w:rFonts w:eastAsia="CenturyGothic"/>
          <w:szCs w:val="24"/>
        </w:rPr>
      </w:pPr>
      <w:r w:rsidRPr="0094320D">
        <w:rPr>
          <w:szCs w:val="24"/>
        </w:rPr>
        <w:t>Zaprezentowane dane dotyczą postępów rzeczowych</w:t>
      </w:r>
      <w:r w:rsidR="001359CC" w:rsidRPr="0094320D">
        <w:rPr>
          <w:szCs w:val="24"/>
        </w:rPr>
        <w:t xml:space="preserve"> i finansowych w ramach każdego</w:t>
      </w:r>
      <w:r w:rsidR="003515EE" w:rsidRPr="0094320D">
        <w:rPr>
          <w:szCs w:val="24"/>
        </w:rPr>
        <w:t xml:space="preserve"> </w:t>
      </w:r>
      <w:r w:rsidR="001359CC" w:rsidRPr="0094320D">
        <w:rPr>
          <w:szCs w:val="24"/>
        </w:rPr>
        <w:t>priorytetu</w:t>
      </w:r>
      <w:r w:rsidR="003515EE" w:rsidRPr="0094320D">
        <w:rPr>
          <w:szCs w:val="24"/>
        </w:rPr>
        <w:t xml:space="preserve"> </w:t>
      </w:r>
      <w:r w:rsidRPr="0094320D">
        <w:rPr>
          <w:szCs w:val="24"/>
        </w:rPr>
        <w:t xml:space="preserve">od uruchomienia </w:t>
      </w:r>
      <w:r w:rsidRPr="0094320D">
        <w:rPr>
          <w:i/>
          <w:szCs w:val="24"/>
        </w:rPr>
        <w:t>Programu</w:t>
      </w:r>
      <w:r w:rsidR="00BD7939">
        <w:rPr>
          <w:i/>
          <w:szCs w:val="24"/>
        </w:rPr>
        <w:t xml:space="preserve"> </w:t>
      </w:r>
      <w:r w:rsidR="00BD7939" w:rsidRPr="00BD7939">
        <w:rPr>
          <w:szCs w:val="24"/>
        </w:rPr>
        <w:t>do 31 grudnia 2016 roku</w:t>
      </w:r>
      <w:r w:rsidRPr="00BD7939">
        <w:rPr>
          <w:szCs w:val="24"/>
        </w:rPr>
        <w:t>.</w:t>
      </w:r>
      <w:r w:rsidRPr="0094320D">
        <w:rPr>
          <w:szCs w:val="24"/>
        </w:rPr>
        <w:t xml:space="preserve"> </w:t>
      </w:r>
      <w:r w:rsidR="009449F6">
        <w:rPr>
          <w:szCs w:val="24"/>
        </w:rPr>
        <w:t xml:space="preserve">W poniższej analizie została wykorzystana alokacja z ostatniej wersji </w:t>
      </w:r>
      <w:r w:rsidR="009449F6" w:rsidRPr="009449F6">
        <w:rPr>
          <w:i/>
          <w:szCs w:val="24"/>
        </w:rPr>
        <w:t>Programu</w:t>
      </w:r>
      <w:r w:rsidR="009449F6">
        <w:rPr>
          <w:szCs w:val="24"/>
        </w:rPr>
        <w:t>, która została zatwierdzona przez KE w 2011 r. Ponadto</w:t>
      </w:r>
      <w:r w:rsidR="00F66151" w:rsidRPr="0094320D">
        <w:rPr>
          <w:szCs w:val="24"/>
        </w:rPr>
        <w:t xml:space="preserve"> </w:t>
      </w:r>
      <w:r w:rsidR="00F66151" w:rsidRPr="0094320D">
        <w:rPr>
          <w:i/>
          <w:szCs w:val="24"/>
        </w:rPr>
        <w:t>wartość dofinansowania</w:t>
      </w:r>
      <w:r w:rsidR="003515EE" w:rsidRPr="0094320D">
        <w:rPr>
          <w:rFonts w:eastAsia="CenturyGothic"/>
          <w:szCs w:val="24"/>
        </w:rPr>
        <w:t xml:space="preserve"> dotyczy dofinansowania ogółem (środki UE +dofinansowanie z budżetu państwa dla projektów w ramach pomocy publicznej). </w:t>
      </w:r>
    </w:p>
    <w:p w14:paraId="73F56959" w14:textId="1266CCE7" w:rsidR="008F1FC2" w:rsidRDefault="008F1FC2" w:rsidP="00241FA0">
      <w:pPr>
        <w:widowControl w:val="0"/>
        <w:autoSpaceDE w:val="0"/>
        <w:autoSpaceDN w:val="0"/>
        <w:adjustRightInd w:val="0"/>
        <w:spacing w:before="120" w:after="120"/>
        <w:jc w:val="both"/>
        <w:rPr>
          <w:szCs w:val="24"/>
        </w:rPr>
      </w:pPr>
      <w:r w:rsidRPr="0094320D">
        <w:rPr>
          <w:szCs w:val="24"/>
        </w:rPr>
        <w:t xml:space="preserve">Informacje dotyczące postępu rzeczowego </w:t>
      </w:r>
      <w:r w:rsidR="009449F6" w:rsidRPr="0094320D">
        <w:rPr>
          <w:i/>
          <w:szCs w:val="24"/>
        </w:rPr>
        <w:t>priorytetów</w:t>
      </w:r>
      <w:r w:rsidR="009449F6" w:rsidRPr="0094320D">
        <w:rPr>
          <w:szCs w:val="24"/>
        </w:rPr>
        <w:t>, czyli</w:t>
      </w:r>
      <w:r w:rsidRPr="0094320D">
        <w:rPr>
          <w:szCs w:val="24"/>
        </w:rPr>
        <w:t xml:space="preserve"> wskaźniki programowe w podziale na działania i poddzi</w:t>
      </w:r>
      <w:r w:rsidR="00B30BCA" w:rsidRPr="0094320D">
        <w:rPr>
          <w:szCs w:val="24"/>
        </w:rPr>
        <w:t xml:space="preserve">ałania zostały przedstawione w </w:t>
      </w:r>
      <w:r w:rsidRPr="0094320D">
        <w:rPr>
          <w:szCs w:val="24"/>
        </w:rPr>
        <w:t>załączniku I</w:t>
      </w:r>
      <w:r w:rsidR="00F66151" w:rsidRPr="0094320D">
        <w:rPr>
          <w:szCs w:val="24"/>
        </w:rPr>
        <w:t>V</w:t>
      </w:r>
      <w:r w:rsidRPr="0094320D">
        <w:rPr>
          <w:szCs w:val="24"/>
        </w:rPr>
        <w:t xml:space="preserve"> do niniejszego </w:t>
      </w:r>
      <w:r w:rsidRPr="0094320D">
        <w:rPr>
          <w:i/>
          <w:szCs w:val="24"/>
        </w:rPr>
        <w:t>Sprawozdania</w:t>
      </w:r>
      <w:r w:rsidRPr="0094320D">
        <w:rPr>
          <w:szCs w:val="24"/>
        </w:rPr>
        <w:t xml:space="preserve">. W treści opracowania została przedstawiona analiza </w:t>
      </w:r>
      <w:r w:rsidR="001359CC" w:rsidRPr="0094320D">
        <w:rPr>
          <w:szCs w:val="24"/>
        </w:rPr>
        <w:t>postępu rzeczowego</w:t>
      </w:r>
      <w:r w:rsidRPr="0094320D">
        <w:rPr>
          <w:szCs w:val="24"/>
        </w:rPr>
        <w:t>.</w:t>
      </w:r>
    </w:p>
    <w:p w14:paraId="7B5D44AF" w14:textId="52F3F86B" w:rsidR="009449F6" w:rsidRPr="0094320D" w:rsidRDefault="009449F6" w:rsidP="00241FA0">
      <w:pPr>
        <w:widowControl w:val="0"/>
        <w:autoSpaceDE w:val="0"/>
        <w:autoSpaceDN w:val="0"/>
        <w:adjustRightInd w:val="0"/>
        <w:spacing w:before="120" w:after="120"/>
        <w:jc w:val="both"/>
        <w:rPr>
          <w:szCs w:val="24"/>
        </w:rPr>
      </w:pPr>
      <w:r>
        <w:rPr>
          <w:szCs w:val="24"/>
        </w:rPr>
        <w:t xml:space="preserve">W celu zoptymalizowania realizacji programu i wykorzystania alokacji, IZ RPO WSL od listopada 2014 roku stosowała przesunięcia środków pomiędzy priorytetami </w:t>
      </w:r>
      <w:r w:rsidRPr="009449F6">
        <w:rPr>
          <w:i/>
          <w:szCs w:val="24"/>
        </w:rPr>
        <w:t>Programu</w:t>
      </w:r>
      <w:r>
        <w:rPr>
          <w:szCs w:val="24"/>
        </w:rPr>
        <w:t xml:space="preserve"> zgodnie z art. 77 rozporządzenia 1083/2006 poprzez wykorzystanie tzw. „mechanizmu elastyczności”.   </w:t>
      </w:r>
    </w:p>
    <w:p w14:paraId="27ADA842" w14:textId="60337804" w:rsidR="00BD7939" w:rsidRPr="00271FE6" w:rsidRDefault="00682C29" w:rsidP="00271FE6">
      <w:pPr>
        <w:pStyle w:val="Akapitzlist"/>
        <w:spacing w:after="120"/>
        <w:ind w:left="0"/>
        <w:jc w:val="both"/>
        <w:rPr>
          <w:szCs w:val="24"/>
          <w:lang w:eastAsia="ar-SA"/>
        </w:rPr>
      </w:pPr>
      <w:r w:rsidRPr="0094320D">
        <w:rPr>
          <w:szCs w:val="24"/>
          <w:lang w:eastAsia="ar-SA"/>
        </w:rPr>
        <w:t xml:space="preserve">W ramach RPO WSL nie zostały określone obszary defaworyzowane, w związku z powyższym nie ma możliwości zaprezentowania w </w:t>
      </w:r>
      <w:r w:rsidRPr="0094320D">
        <w:rPr>
          <w:i/>
          <w:szCs w:val="24"/>
          <w:lang w:eastAsia="ar-SA"/>
        </w:rPr>
        <w:t xml:space="preserve">Sprawozdaniu </w:t>
      </w:r>
      <w:bookmarkStart w:id="250" w:name="_Toc292793565"/>
      <w:bookmarkStart w:id="251" w:name="_Toc327259243"/>
      <w:r w:rsidR="00271FE6">
        <w:rPr>
          <w:szCs w:val="24"/>
          <w:lang w:eastAsia="ar-SA"/>
        </w:rPr>
        <w:t>danych w tym zakresie.</w:t>
      </w:r>
    </w:p>
    <w:p w14:paraId="2F7DEFEA" w14:textId="10A0BE45" w:rsidR="00222CD3" w:rsidRPr="00705601" w:rsidRDefault="00BD7939" w:rsidP="00271FE6">
      <w:pPr>
        <w:pStyle w:val="Nagwek1"/>
        <w:rPr>
          <w:color w:val="538135" w:themeColor="accent6" w:themeShade="BF"/>
        </w:rPr>
      </w:pPr>
      <w:bookmarkStart w:id="252" w:name="_Toc473117332"/>
      <w:bookmarkStart w:id="253" w:name="_Toc477779772"/>
      <w:r w:rsidRPr="00705601">
        <w:rPr>
          <w:color w:val="538135" w:themeColor="accent6" w:themeShade="BF"/>
        </w:rPr>
        <w:lastRenderedPageBreak/>
        <w:t>PRIORYTET I – BADANIA I ROZWOJ TECHNOLOGICZNY (B+R), INNOWACJE I PRZEDSIĘBIORCZOŚĆ</w:t>
      </w:r>
      <w:bookmarkEnd w:id="252"/>
      <w:bookmarkEnd w:id="253"/>
    </w:p>
    <w:p w14:paraId="0576FED7" w14:textId="23F44FC5" w:rsidR="00CF10B6" w:rsidRPr="00C462FD" w:rsidRDefault="00CF10B6" w:rsidP="00CF10B6">
      <w:pPr>
        <w:pStyle w:val="Akapitzlist"/>
        <w:ind w:left="357"/>
        <w:jc w:val="both"/>
        <w:rPr>
          <w:b/>
          <w:color w:val="0070C0"/>
          <w:szCs w:val="24"/>
        </w:rPr>
      </w:pPr>
      <w:r w:rsidRPr="00CF10B6">
        <w:rPr>
          <w:b/>
          <w:noProof/>
          <w:color w:val="0070C0"/>
          <w:szCs w:val="24"/>
        </w:rPr>
        <w:drawing>
          <wp:anchor distT="0" distB="0" distL="114300" distR="114300" simplePos="0" relativeHeight="251698176" behindDoc="1" locked="0" layoutInCell="1" allowOverlap="1" wp14:anchorId="2ACCD10B" wp14:editId="117FE07C">
            <wp:simplePos x="0" y="0"/>
            <wp:positionH relativeFrom="column">
              <wp:posOffset>223520</wp:posOffset>
            </wp:positionH>
            <wp:positionV relativeFrom="paragraph">
              <wp:posOffset>3810</wp:posOffset>
            </wp:positionV>
            <wp:extent cx="5113020" cy="2238375"/>
            <wp:effectExtent l="0" t="0" r="0" b="9525"/>
            <wp:wrapTight wrapText="bothSides">
              <wp:wrapPolygon edited="0">
                <wp:start x="322" y="0"/>
                <wp:lineTo x="0" y="368"/>
                <wp:lineTo x="0" y="20957"/>
                <wp:lineTo x="161" y="21508"/>
                <wp:lineTo x="322" y="21508"/>
                <wp:lineTo x="21165" y="21508"/>
                <wp:lineTo x="21326" y="21508"/>
                <wp:lineTo x="21487" y="20957"/>
                <wp:lineTo x="21487" y="368"/>
                <wp:lineTo x="21165" y="0"/>
                <wp:lineTo x="322" y="0"/>
              </wp:wrapPolygon>
            </wp:wrapTight>
            <wp:docPr id="21506" name="Picture 23" descr="http://rpo.slaskie.pl/zalaczniki/2013/03/21/big/136387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23" descr="http://rpo.slaskie.pl/zalaczniki/2013/03/21/big/1363872503.jpg"/>
                    <pic:cNvPicPr>
                      <a:picLocks noChangeAspect="1" noChangeArrowheads="1"/>
                    </pic:cNvPicPr>
                  </pic:nvPicPr>
                  <pic:blipFill>
                    <a:blip r:embed="rId71">
                      <a:extLst>
                        <a:ext uri="{28A0092B-C50C-407E-A947-70E740481C1C}">
                          <a14:useLocalDpi xmlns:a14="http://schemas.microsoft.com/office/drawing/2010/main" val="0"/>
                        </a:ext>
                      </a:extLst>
                    </a:blip>
                    <a:srcRect t="12296"/>
                    <a:stretch>
                      <a:fillRect/>
                    </a:stretch>
                  </pic:blipFill>
                  <pic:spPr bwMode="auto">
                    <a:xfrm>
                      <a:off x="0" y="0"/>
                      <a:ext cx="5113020" cy="2238375"/>
                    </a:xfrm>
                    <a:prstGeom prst="rect">
                      <a:avLst/>
                    </a:prstGeom>
                    <a:ln>
                      <a:noFill/>
                    </a:ln>
                    <a:effectLst>
                      <a:softEdge rad="112500"/>
                    </a:effectLst>
                    <a:extLst/>
                  </pic:spPr>
                </pic:pic>
              </a:graphicData>
            </a:graphic>
            <wp14:sizeRelH relativeFrom="page">
              <wp14:pctWidth>0</wp14:pctWidth>
            </wp14:sizeRelH>
            <wp14:sizeRelV relativeFrom="page">
              <wp14:pctHeight>0</wp14:pctHeight>
            </wp14:sizeRelV>
          </wp:anchor>
        </w:drawing>
      </w:r>
    </w:p>
    <w:p w14:paraId="7F966B00" w14:textId="05B4B37B" w:rsidR="00222CD3" w:rsidRPr="00BB42FA" w:rsidRDefault="00222CD3" w:rsidP="00222CD3">
      <w:pPr>
        <w:pStyle w:val="Akapitzlist"/>
        <w:ind w:left="360"/>
        <w:jc w:val="both"/>
        <w:rPr>
          <w:b/>
          <w:color w:val="0070C0"/>
          <w:szCs w:val="24"/>
        </w:rPr>
      </w:pPr>
    </w:p>
    <w:p w14:paraId="4ABDB21F" w14:textId="77777777" w:rsidR="007C2EE9" w:rsidRPr="007320CA" w:rsidRDefault="00F85FF2" w:rsidP="004914D8">
      <w:pPr>
        <w:pStyle w:val="Akapitzlist"/>
        <w:numPr>
          <w:ilvl w:val="2"/>
          <w:numId w:val="50"/>
        </w:numPr>
        <w:jc w:val="both"/>
        <w:rPr>
          <w:b/>
          <w:szCs w:val="24"/>
        </w:rPr>
      </w:pPr>
      <w:bookmarkStart w:id="254" w:name="_Toc386571825"/>
      <w:bookmarkStart w:id="255" w:name="_Toc386572250"/>
      <w:bookmarkStart w:id="256" w:name="_Toc292793575"/>
      <w:bookmarkStart w:id="257" w:name="_Toc324853899"/>
      <w:bookmarkStart w:id="258" w:name="_Toc327259251"/>
      <w:bookmarkEnd w:id="250"/>
      <w:bookmarkEnd w:id="251"/>
      <w:r w:rsidRPr="007320CA">
        <w:rPr>
          <w:b/>
          <w:szCs w:val="24"/>
        </w:rPr>
        <w:t>OSIĄGNIĘCIE CELÓW I ANALIZA POSTĘPÓW</w:t>
      </w:r>
    </w:p>
    <w:p w14:paraId="6A671F95" w14:textId="15C3D2A9" w:rsidR="007C2EE9" w:rsidRPr="0094320D" w:rsidRDefault="00F85FF2" w:rsidP="0094320D">
      <w:pPr>
        <w:jc w:val="both"/>
        <w:rPr>
          <w:b/>
          <w:szCs w:val="24"/>
        </w:rPr>
      </w:pPr>
      <w:r w:rsidRPr="0094320D">
        <w:rPr>
          <w:b/>
          <w:szCs w:val="24"/>
        </w:rPr>
        <w:t>I</w:t>
      </w:r>
      <w:r w:rsidR="007320CA" w:rsidRPr="0094320D">
        <w:rPr>
          <w:b/>
          <w:szCs w:val="24"/>
        </w:rPr>
        <w:t>nformacje ogólne</w:t>
      </w:r>
    </w:p>
    <w:p w14:paraId="11338C8B" w14:textId="7DD82D37" w:rsidR="007C2EE9" w:rsidRPr="0094320D" w:rsidRDefault="007C2EE9" w:rsidP="0094320D">
      <w:pPr>
        <w:contextualSpacing/>
        <w:jc w:val="both"/>
        <w:rPr>
          <w:szCs w:val="24"/>
        </w:rPr>
      </w:pPr>
      <w:bookmarkStart w:id="259" w:name="_Toc292789276"/>
      <w:bookmarkStart w:id="260" w:name="_Toc292793569"/>
      <w:bookmarkStart w:id="261" w:name="_Toc292888951"/>
      <w:r w:rsidRPr="0094320D">
        <w:rPr>
          <w:szCs w:val="24"/>
        </w:rPr>
        <w:t xml:space="preserve">Celem głównym przedmiotowego priorytetu </w:t>
      </w:r>
      <w:r w:rsidR="003D04D5">
        <w:rPr>
          <w:szCs w:val="24"/>
        </w:rPr>
        <w:t>był</w:t>
      </w:r>
      <w:r w:rsidRPr="0094320D">
        <w:rPr>
          <w:szCs w:val="24"/>
        </w:rPr>
        <w:t xml:space="preserve"> wzrost konkurencyjności regionalnej gospodarki opartej na wiedzy. </w:t>
      </w:r>
      <w:bookmarkEnd w:id="259"/>
      <w:bookmarkEnd w:id="260"/>
      <w:bookmarkEnd w:id="261"/>
    </w:p>
    <w:p w14:paraId="01A37C2E" w14:textId="4A579376" w:rsidR="007C2EE9" w:rsidRPr="0094320D" w:rsidRDefault="007C2EE9" w:rsidP="0094320D">
      <w:pPr>
        <w:spacing w:after="0"/>
        <w:jc w:val="both"/>
        <w:rPr>
          <w:szCs w:val="24"/>
        </w:rPr>
      </w:pPr>
      <w:r w:rsidRPr="0094320D">
        <w:rPr>
          <w:szCs w:val="24"/>
        </w:rPr>
        <w:t>R</w:t>
      </w:r>
      <w:r w:rsidR="007320CA">
        <w:rPr>
          <w:szCs w:val="24"/>
        </w:rPr>
        <w:t>ealizacji priorytetu służyć miały</w:t>
      </w:r>
      <w:r w:rsidRPr="0094320D">
        <w:rPr>
          <w:szCs w:val="24"/>
        </w:rPr>
        <w:t xml:space="preserve"> trzy działania:</w:t>
      </w:r>
    </w:p>
    <w:p w14:paraId="77DF8F5B" w14:textId="77777777" w:rsidR="007C2EE9" w:rsidRPr="0094320D" w:rsidRDefault="007C2EE9" w:rsidP="004914D8">
      <w:pPr>
        <w:numPr>
          <w:ilvl w:val="1"/>
          <w:numId w:val="43"/>
        </w:numPr>
        <w:spacing w:after="0"/>
        <w:ind w:left="851"/>
        <w:contextualSpacing/>
        <w:jc w:val="both"/>
        <w:rPr>
          <w:i/>
          <w:szCs w:val="24"/>
        </w:rPr>
      </w:pPr>
      <w:r w:rsidRPr="0094320D">
        <w:rPr>
          <w:i/>
          <w:szCs w:val="24"/>
        </w:rPr>
        <w:t>1.1 Wzmocnienie atrakcyjności inwestycyjnej regionu,</w:t>
      </w:r>
    </w:p>
    <w:p w14:paraId="568B7B10" w14:textId="77777777" w:rsidR="007C2EE9" w:rsidRPr="0094320D" w:rsidRDefault="007C2EE9" w:rsidP="004914D8">
      <w:pPr>
        <w:numPr>
          <w:ilvl w:val="1"/>
          <w:numId w:val="43"/>
        </w:numPr>
        <w:spacing w:after="0"/>
        <w:ind w:left="851"/>
        <w:contextualSpacing/>
        <w:jc w:val="both"/>
        <w:rPr>
          <w:i/>
          <w:szCs w:val="24"/>
        </w:rPr>
      </w:pPr>
      <w:r w:rsidRPr="0094320D">
        <w:rPr>
          <w:i/>
          <w:szCs w:val="24"/>
        </w:rPr>
        <w:t>1.2 Mikroprzedsiębiorstwa i MSP,</w:t>
      </w:r>
    </w:p>
    <w:p w14:paraId="3FFCF47F" w14:textId="77777777" w:rsidR="007C2EE9" w:rsidRPr="0094320D" w:rsidRDefault="007C2EE9" w:rsidP="004914D8">
      <w:pPr>
        <w:numPr>
          <w:ilvl w:val="1"/>
          <w:numId w:val="43"/>
        </w:numPr>
        <w:spacing w:before="120" w:after="360"/>
        <w:ind w:left="850" w:hanging="357"/>
        <w:contextualSpacing/>
        <w:jc w:val="both"/>
        <w:rPr>
          <w:i/>
          <w:szCs w:val="24"/>
        </w:rPr>
      </w:pPr>
      <w:r w:rsidRPr="0094320D">
        <w:rPr>
          <w:i/>
          <w:szCs w:val="24"/>
        </w:rPr>
        <w:t>1.3 Transfer technologii i innowacji.</w:t>
      </w:r>
    </w:p>
    <w:p w14:paraId="663C8440" w14:textId="77777777" w:rsidR="007C2EE9" w:rsidRPr="0094320D" w:rsidRDefault="007C2EE9" w:rsidP="005A05B6">
      <w:pPr>
        <w:spacing w:before="240" w:after="120"/>
        <w:jc w:val="both"/>
        <w:rPr>
          <w:szCs w:val="24"/>
        </w:rPr>
      </w:pPr>
      <w:r w:rsidRPr="0094320D">
        <w:rPr>
          <w:szCs w:val="24"/>
        </w:rPr>
        <w:t xml:space="preserve">Na realizację priorytetu I alokowano 296 238 553 EUR pochodzących z EFRR, co stanowi 16,96% wartości </w:t>
      </w:r>
      <w:r w:rsidRPr="0094320D">
        <w:rPr>
          <w:i/>
          <w:szCs w:val="24"/>
        </w:rPr>
        <w:t>Programu</w:t>
      </w:r>
      <w:r w:rsidRPr="0094320D">
        <w:rPr>
          <w:szCs w:val="24"/>
        </w:rPr>
        <w:t xml:space="preserve">. </w:t>
      </w:r>
      <w:r w:rsidRPr="0094320D">
        <w:rPr>
          <w:rFonts w:eastAsia="Calibri"/>
          <w:szCs w:val="24"/>
        </w:rPr>
        <w:t xml:space="preserve">Na wykonanie Strategii Europa 2020 przeznaczono środki EFRR stanowiące </w:t>
      </w:r>
      <w:r w:rsidRPr="0094320D">
        <w:rPr>
          <w:rFonts w:eastAsia="Calibri"/>
          <w:bCs/>
          <w:szCs w:val="24"/>
        </w:rPr>
        <w:t>100%</w:t>
      </w:r>
      <w:r w:rsidRPr="0094320D">
        <w:rPr>
          <w:rFonts w:eastAsia="Calibri"/>
          <w:b/>
          <w:bCs/>
          <w:szCs w:val="24"/>
        </w:rPr>
        <w:t xml:space="preserve"> </w:t>
      </w:r>
      <w:r w:rsidRPr="0094320D">
        <w:rPr>
          <w:rFonts w:eastAsia="Calibri"/>
          <w:szCs w:val="24"/>
        </w:rPr>
        <w:t>alokacji w ramach całego priorytetu I.</w:t>
      </w:r>
    </w:p>
    <w:p w14:paraId="3AAA7C78" w14:textId="234FAEBF" w:rsidR="007C2EE9" w:rsidRPr="0094320D" w:rsidRDefault="007C2EE9" w:rsidP="0094320D">
      <w:pPr>
        <w:widowControl w:val="0"/>
        <w:autoSpaceDE w:val="0"/>
        <w:autoSpaceDN w:val="0"/>
        <w:adjustRightInd w:val="0"/>
        <w:spacing w:after="120"/>
        <w:ind w:right="-23"/>
        <w:jc w:val="both"/>
        <w:rPr>
          <w:szCs w:val="24"/>
        </w:rPr>
      </w:pPr>
      <w:r w:rsidRPr="0094320D">
        <w:rPr>
          <w:szCs w:val="24"/>
        </w:rPr>
        <w:t>Opis wkładu osi priorytetowej w promowanie równości szans k</w:t>
      </w:r>
      <w:r w:rsidR="008622B0">
        <w:rPr>
          <w:szCs w:val="24"/>
        </w:rPr>
        <w:t>obiet i mężczyzn znajduje się w </w:t>
      </w:r>
      <w:r w:rsidRPr="0094320D">
        <w:rPr>
          <w:szCs w:val="24"/>
        </w:rPr>
        <w:t xml:space="preserve">pkt. 2.2.1 </w:t>
      </w:r>
      <w:r w:rsidRPr="0094320D">
        <w:rPr>
          <w:i/>
          <w:szCs w:val="24"/>
        </w:rPr>
        <w:t>Sprawozdania.</w:t>
      </w:r>
    </w:p>
    <w:p w14:paraId="3975CCAE" w14:textId="77777777" w:rsidR="007C2EE9" w:rsidRPr="0094320D" w:rsidRDefault="007C2EE9" w:rsidP="0094320D">
      <w:pPr>
        <w:widowControl w:val="0"/>
        <w:autoSpaceDE w:val="0"/>
        <w:autoSpaceDN w:val="0"/>
        <w:adjustRightInd w:val="0"/>
        <w:spacing w:after="120"/>
        <w:ind w:right="-23"/>
        <w:jc w:val="both"/>
        <w:rPr>
          <w:szCs w:val="24"/>
        </w:rPr>
      </w:pPr>
      <w:r w:rsidRPr="0094320D">
        <w:rPr>
          <w:szCs w:val="24"/>
        </w:rPr>
        <w:t>W ramach priorytetu nie przewidziano finansowania krzyżowego.</w:t>
      </w:r>
    </w:p>
    <w:p w14:paraId="260E6007" w14:textId="77D99C92" w:rsidR="007C2EE9" w:rsidRDefault="007320CA" w:rsidP="001F059C">
      <w:pPr>
        <w:spacing w:after="0"/>
        <w:jc w:val="both"/>
        <w:rPr>
          <w:b/>
          <w:szCs w:val="24"/>
        </w:rPr>
      </w:pPr>
      <w:r w:rsidRPr="0094320D">
        <w:rPr>
          <w:b/>
          <w:szCs w:val="24"/>
        </w:rPr>
        <w:t>Analiza postępu finansowego</w:t>
      </w:r>
    </w:p>
    <w:p w14:paraId="0856248A" w14:textId="0BF4CAF4" w:rsidR="008622B0" w:rsidRPr="002A27E1" w:rsidRDefault="008622B0" w:rsidP="001F059C">
      <w:pPr>
        <w:spacing w:after="0"/>
        <w:jc w:val="both"/>
        <w:rPr>
          <w:szCs w:val="24"/>
        </w:rPr>
      </w:pPr>
      <w:r w:rsidRPr="002A27E1">
        <w:rPr>
          <w:szCs w:val="24"/>
        </w:rPr>
        <w:t xml:space="preserve">W ramach przedmiotowego priorytetu do końca 2016 roku złożono </w:t>
      </w:r>
      <w:r w:rsidR="00713456">
        <w:rPr>
          <w:szCs w:val="24"/>
        </w:rPr>
        <w:t>6</w:t>
      </w:r>
      <w:r w:rsidRPr="002A27E1">
        <w:rPr>
          <w:szCs w:val="24"/>
        </w:rPr>
        <w:t xml:space="preserve">134 wniosków o dofinansowanie poprawnych formalnie, na kwotę wnioskowanego dofinansowania 564,38 mln EUR, co stanowi </w:t>
      </w:r>
      <w:r>
        <w:rPr>
          <w:szCs w:val="24"/>
        </w:rPr>
        <w:t>191</w:t>
      </w:r>
      <w:r w:rsidRPr="002A27E1">
        <w:rPr>
          <w:szCs w:val="24"/>
        </w:rPr>
        <w:t xml:space="preserve">% alokacji priorytetu. Do dofinansowania </w:t>
      </w:r>
      <w:r w:rsidR="001F059C" w:rsidRPr="002A27E1">
        <w:rPr>
          <w:szCs w:val="24"/>
        </w:rPr>
        <w:t>wybrano</w:t>
      </w:r>
      <w:r w:rsidR="001F059C">
        <w:rPr>
          <w:szCs w:val="24"/>
        </w:rPr>
        <w:t xml:space="preserve"> </w:t>
      </w:r>
      <w:r w:rsidR="001F059C" w:rsidRPr="002A27E1">
        <w:rPr>
          <w:szCs w:val="24"/>
        </w:rPr>
        <w:t>3 695 projektów</w:t>
      </w:r>
      <w:r w:rsidRPr="002A27E1">
        <w:rPr>
          <w:szCs w:val="24"/>
        </w:rPr>
        <w:t xml:space="preserve">, w których zatwierdzone dofinansowanie to 395,47 mln EUR. </w:t>
      </w:r>
    </w:p>
    <w:p w14:paraId="69EC5E56" w14:textId="21979393" w:rsidR="008622B0" w:rsidRPr="002A27E1" w:rsidRDefault="008622B0" w:rsidP="001F059C">
      <w:pPr>
        <w:spacing w:after="0"/>
        <w:jc w:val="both"/>
        <w:rPr>
          <w:szCs w:val="24"/>
        </w:rPr>
      </w:pPr>
      <w:r w:rsidRPr="002A27E1">
        <w:rPr>
          <w:szCs w:val="24"/>
        </w:rPr>
        <w:t xml:space="preserve">Podpisano </w:t>
      </w:r>
      <w:r w:rsidR="00C60D08">
        <w:rPr>
          <w:szCs w:val="24"/>
        </w:rPr>
        <w:t>3</w:t>
      </w:r>
      <w:r w:rsidR="00565B38">
        <w:rPr>
          <w:szCs w:val="24"/>
        </w:rPr>
        <w:t>260</w:t>
      </w:r>
      <w:r w:rsidRPr="002A27E1">
        <w:rPr>
          <w:szCs w:val="24"/>
        </w:rPr>
        <w:t xml:space="preserve"> umów o dofinansowanie</w:t>
      </w:r>
      <w:r w:rsidR="00713456">
        <w:rPr>
          <w:szCs w:val="24"/>
        </w:rPr>
        <w:t xml:space="preserve"> na łączną</w:t>
      </w:r>
      <w:r w:rsidR="00751CC3">
        <w:rPr>
          <w:szCs w:val="24"/>
        </w:rPr>
        <w:t xml:space="preserve"> wartość dofinansowania </w:t>
      </w:r>
      <w:r w:rsidR="00751CC3" w:rsidRPr="002A27E1">
        <w:rPr>
          <w:szCs w:val="24"/>
        </w:rPr>
        <w:t>273</w:t>
      </w:r>
      <w:r w:rsidR="001241D1">
        <w:rPr>
          <w:szCs w:val="24"/>
        </w:rPr>
        <w:t xml:space="preserve">, </w:t>
      </w:r>
      <w:r w:rsidR="00565B38">
        <w:rPr>
          <w:szCs w:val="24"/>
        </w:rPr>
        <w:t>51</w:t>
      </w:r>
      <w:r w:rsidR="00C825DF">
        <w:rPr>
          <w:szCs w:val="24"/>
        </w:rPr>
        <w:t xml:space="preserve"> mln EUR, co stanowi 94</w:t>
      </w:r>
      <w:r w:rsidRPr="002A27E1">
        <w:rPr>
          <w:szCs w:val="24"/>
        </w:rPr>
        <w:t xml:space="preserve"> % dostępnej alokacji na priorytet.</w:t>
      </w:r>
    </w:p>
    <w:p w14:paraId="1425A649" w14:textId="22DFD889" w:rsidR="008622B0" w:rsidRDefault="008622B0" w:rsidP="00367271">
      <w:pPr>
        <w:spacing w:after="120"/>
        <w:jc w:val="both"/>
        <w:rPr>
          <w:szCs w:val="24"/>
        </w:rPr>
      </w:pPr>
      <w:r w:rsidRPr="002A27E1">
        <w:rPr>
          <w:szCs w:val="24"/>
        </w:rPr>
        <w:t xml:space="preserve">Do końca 2016 roku certyfikowano wydatki na kwotę </w:t>
      </w:r>
      <w:r w:rsidR="00A91433">
        <w:rPr>
          <w:szCs w:val="24"/>
        </w:rPr>
        <w:t>288,84</w:t>
      </w:r>
      <w:r w:rsidR="00751CC3">
        <w:rPr>
          <w:szCs w:val="24"/>
        </w:rPr>
        <w:t xml:space="preserve"> mln</w:t>
      </w:r>
      <w:r w:rsidRPr="002A27E1">
        <w:rPr>
          <w:szCs w:val="24"/>
        </w:rPr>
        <w:t xml:space="preserve"> EUR</w:t>
      </w:r>
      <w:r w:rsidR="00713456">
        <w:rPr>
          <w:szCs w:val="24"/>
        </w:rPr>
        <w:t>,</w:t>
      </w:r>
      <w:r w:rsidRPr="002A27E1">
        <w:rPr>
          <w:szCs w:val="24"/>
        </w:rPr>
        <w:t xml:space="preserve"> co stanowi </w:t>
      </w:r>
      <w:r w:rsidR="00713456">
        <w:rPr>
          <w:szCs w:val="24"/>
        </w:rPr>
        <w:t>98</w:t>
      </w:r>
      <w:r>
        <w:rPr>
          <w:szCs w:val="24"/>
        </w:rPr>
        <w:t>%</w:t>
      </w:r>
      <w:r w:rsidRPr="002A27E1">
        <w:rPr>
          <w:szCs w:val="24"/>
        </w:rPr>
        <w:t xml:space="preserve"> dostępnej alokacji. </w:t>
      </w:r>
    </w:p>
    <w:p w14:paraId="491AAC1C" w14:textId="6B2E56BC" w:rsidR="001F059C" w:rsidRPr="00241FA0" w:rsidRDefault="00751CC3" w:rsidP="001F059C">
      <w:pPr>
        <w:spacing w:after="0"/>
        <w:jc w:val="both"/>
        <w:rPr>
          <w:vanish/>
          <w:szCs w:val="24"/>
          <w:specVanish/>
        </w:rPr>
      </w:pPr>
      <w:r>
        <w:rPr>
          <w:szCs w:val="24"/>
        </w:rPr>
        <w:t xml:space="preserve">Na poniższym wykresie przedstawiono ogólną informację dot. </w:t>
      </w:r>
      <w:r w:rsidR="00241FA0">
        <w:rPr>
          <w:szCs w:val="24"/>
        </w:rPr>
        <w:t>postępu realizacji priorytetu I na </w:t>
      </w:r>
      <w:r>
        <w:rPr>
          <w:szCs w:val="24"/>
        </w:rPr>
        <w:t xml:space="preserve">koniec 2016 roku </w:t>
      </w:r>
      <w:r w:rsidR="00C60D08">
        <w:rPr>
          <w:szCs w:val="24"/>
        </w:rPr>
        <w:t>oraz poziom wykorzystania alokacji.</w:t>
      </w:r>
    </w:p>
    <w:p w14:paraId="1669E994" w14:textId="15815C8C" w:rsidR="00807806" w:rsidRPr="002A27E1" w:rsidRDefault="00241FA0" w:rsidP="001F059C">
      <w:pPr>
        <w:spacing w:after="0"/>
        <w:jc w:val="both"/>
        <w:rPr>
          <w:szCs w:val="24"/>
        </w:rPr>
      </w:pPr>
      <w:r>
        <w:rPr>
          <w:szCs w:val="24"/>
        </w:rPr>
        <w:t xml:space="preserve"> </w:t>
      </w:r>
    </w:p>
    <w:p w14:paraId="014ABC4C" w14:textId="4D3384E5" w:rsidR="00713456" w:rsidRDefault="00713456" w:rsidP="00807806">
      <w:pPr>
        <w:spacing w:after="120"/>
        <w:ind w:left="-567"/>
        <w:contextualSpacing/>
        <w:rPr>
          <w:b/>
          <w:szCs w:val="24"/>
        </w:rPr>
      </w:pPr>
      <w:r>
        <w:rPr>
          <w:noProof/>
        </w:rPr>
        <w:lastRenderedPageBreak/>
        <w:drawing>
          <wp:inline distT="0" distB="0" distL="0" distR="0" wp14:anchorId="4C7E1A62" wp14:editId="028BB630">
            <wp:extent cx="6444000" cy="3538331"/>
            <wp:effectExtent l="0" t="0" r="0" b="508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2B265214" w14:textId="5B57B075" w:rsidR="00713456" w:rsidRPr="00807806" w:rsidRDefault="0091239F" w:rsidP="0091239F">
      <w:pPr>
        <w:pStyle w:val="Legenda"/>
        <w:rPr>
          <w:b w:val="0"/>
          <w:i/>
          <w:color w:val="auto"/>
          <w:sz w:val="20"/>
          <w:szCs w:val="20"/>
        </w:rPr>
      </w:pPr>
      <w:bookmarkStart w:id="262" w:name="_Toc476832944"/>
      <w:r w:rsidRPr="00A44293">
        <w:rPr>
          <w:color w:val="auto"/>
          <w:sz w:val="20"/>
          <w:szCs w:val="20"/>
        </w:rPr>
        <w:t xml:space="preserve">Rysunek </w:t>
      </w:r>
      <w:r w:rsidR="00A44293" w:rsidRPr="00A44293">
        <w:rPr>
          <w:color w:val="auto"/>
          <w:sz w:val="20"/>
          <w:szCs w:val="20"/>
        </w:rPr>
        <w:fldChar w:fldCharType="begin"/>
      </w:r>
      <w:r w:rsidR="00A44293" w:rsidRPr="00A44293">
        <w:rPr>
          <w:color w:val="auto"/>
          <w:sz w:val="20"/>
          <w:szCs w:val="20"/>
        </w:rPr>
        <w:instrText xml:space="preserve"> SEQ Rysunek \* ARABIC </w:instrText>
      </w:r>
      <w:r w:rsidR="00A44293" w:rsidRPr="00A44293">
        <w:rPr>
          <w:color w:val="auto"/>
          <w:sz w:val="20"/>
          <w:szCs w:val="20"/>
        </w:rPr>
        <w:fldChar w:fldCharType="separate"/>
      </w:r>
      <w:r w:rsidR="0050297D">
        <w:rPr>
          <w:noProof/>
          <w:color w:val="auto"/>
          <w:sz w:val="20"/>
          <w:szCs w:val="20"/>
        </w:rPr>
        <w:t>26</w:t>
      </w:r>
      <w:r w:rsidR="00A44293" w:rsidRPr="00A44293">
        <w:rPr>
          <w:noProof/>
          <w:color w:val="auto"/>
          <w:sz w:val="20"/>
          <w:szCs w:val="20"/>
        </w:rPr>
        <w:fldChar w:fldCharType="end"/>
      </w:r>
      <w:r w:rsidRPr="00A44293">
        <w:rPr>
          <w:color w:val="auto"/>
        </w:rPr>
        <w:t xml:space="preserve"> </w:t>
      </w:r>
      <w:r w:rsidR="00B15E47">
        <w:rPr>
          <w:b w:val="0"/>
          <w:i/>
          <w:color w:val="auto"/>
          <w:sz w:val="20"/>
          <w:szCs w:val="20"/>
        </w:rPr>
        <w:t>Postęp finansowy</w:t>
      </w:r>
      <w:r w:rsidR="00C60D08" w:rsidRPr="00C60D08">
        <w:rPr>
          <w:b w:val="0"/>
          <w:i/>
          <w:color w:val="auto"/>
          <w:sz w:val="20"/>
          <w:szCs w:val="20"/>
        </w:rPr>
        <w:t xml:space="preserve"> priorytetu I</w:t>
      </w:r>
      <w:bookmarkEnd w:id="262"/>
    </w:p>
    <w:p w14:paraId="078FF042" w14:textId="39A4CFA4" w:rsidR="001F059C" w:rsidRDefault="001F059C" w:rsidP="001F059C">
      <w:r w:rsidRPr="00B0267C">
        <w:t xml:space="preserve">Poniżej przedstawiono </w:t>
      </w:r>
      <w:r w:rsidR="00B0267C">
        <w:t xml:space="preserve">realizacje priorytetu w podziale </w:t>
      </w:r>
      <w:r w:rsidRPr="00B0267C">
        <w:t>na działania.</w:t>
      </w:r>
    </w:p>
    <w:p w14:paraId="43B3D9B8" w14:textId="78E2B578" w:rsidR="0098471F" w:rsidRPr="0098471F" w:rsidRDefault="0091239F" w:rsidP="0091239F">
      <w:pPr>
        <w:pStyle w:val="Legenda"/>
        <w:rPr>
          <w:color w:val="auto"/>
          <w:sz w:val="20"/>
          <w:szCs w:val="20"/>
        </w:rPr>
      </w:pPr>
      <w:bookmarkStart w:id="263" w:name="_Toc476131794"/>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11</w:t>
      </w:r>
      <w:r w:rsidR="00A44293" w:rsidRPr="00A44293">
        <w:rPr>
          <w:noProof/>
          <w:color w:val="auto"/>
        </w:rPr>
        <w:fldChar w:fldCharType="end"/>
      </w:r>
      <w:r w:rsidRPr="00A44293">
        <w:rPr>
          <w:color w:val="auto"/>
        </w:rPr>
        <w:t xml:space="preserve"> </w:t>
      </w:r>
      <w:r w:rsidR="0098471F" w:rsidRPr="0098471F">
        <w:rPr>
          <w:b w:val="0"/>
          <w:i/>
          <w:color w:val="auto"/>
          <w:sz w:val="20"/>
          <w:szCs w:val="20"/>
        </w:rPr>
        <w:t xml:space="preserve">Postęp </w:t>
      </w:r>
      <w:r w:rsidR="00B15E47">
        <w:rPr>
          <w:b w:val="0"/>
          <w:i/>
          <w:color w:val="auto"/>
          <w:sz w:val="20"/>
          <w:szCs w:val="20"/>
        </w:rPr>
        <w:t>finansowy</w:t>
      </w:r>
      <w:r w:rsidR="0098471F" w:rsidRPr="0098471F">
        <w:rPr>
          <w:b w:val="0"/>
          <w:i/>
          <w:color w:val="auto"/>
          <w:sz w:val="20"/>
          <w:szCs w:val="20"/>
        </w:rPr>
        <w:t xml:space="preserve"> priorytetu I w podziale na działania</w:t>
      </w:r>
      <w:bookmarkEnd w:id="263"/>
    </w:p>
    <w:tbl>
      <w:tblPr>
        <w:tblStyle w:val="Tabelalisty3akcent61"/>
        <w:tblW w:w="10338" w:type="dxa"/>
        <w:jc w:val="center"/>
        <w:tblLook w:val="04A0" w:firstRow="1" w:lastRow="0" w:firstColumn="1" w:lastColumn="0" w:noHBand="0" w:noVBand="1"/>
      </w:tblPr>
      <w:tblGrid>
        <w:gridCol w:w="1161"/>
        <w:gridCol w:w="1151"/>
        <w:gridCol w:w="992"/>
        <w:gridCol w:w="1134"/>
        <w:gridCol w:w="1134"/>
        <w:gridCol w:w="1019"/>
        <w:gridCol w:w="912"/>
        <w:gridCol w:w="851"/>
        <w:gridCol w:w="1220"/>
        <w:gridCol w:w="764"/>
      </w:tblGrid>
      <w:tr w:rsidR="001F059C" w:rsidRPr="007A458D" w14:paraId="1F42B646" w14:textId="77777777" w:rsidTr="00367271">
        <w:trPr>
          <w:cnfStyle w:val="100000000000" w:firstRow="1" w:lastRow="0" w:firstColumn="0" w:lastColumn="0" w:oddVBand="0" w:evenVBand="0" w:oddHBand="0" w:evenHBand="0" w:firstRowFirstColumn="0" w:firstRowLastColumn="0" w:lastRowFirstColumn="0" w:lastRowLastColumn="0"/>
          <w:trHeight w:val="1431"/>
          <w:jc w:val="center"/>
        </w:trPr>
        <w:tc>
          <w:tcPr>
            <w:cnfStyle w:val="001000000100" w:firstRow="0" w:lastRow="0" w:firstColumn="1" w:lastColumn="0" w:oddVBand="0" w:evenVBand="0" w:oddHBand="0" w:evenHBand="0" w:firstRowFirstColumn="1" w:firstRowLastColumn="0" w:lastRowFirstColumn="0" w:lastRowLastColumn="0"/>
            <w:tcW w:w="1161" w:type="dxa"/>
            <w:vMerge w:val="restart"/>
            <w:noWrap/>
            <w:textDirection w:val="btLr"/>
            <w:vAlign w:val="center"/>
            <w:hideMark/>
          </w:tcPr>
          <w:p w14:paraId="7A45E282" w14:textId="07615BA1" w:rsidR="00D4092E" w:rsidRPr="007A458D" w:rsidRDefault="00534A43" w:rsidP="007A458D">
            <w:pPr>
              <w:spacing w:after="0" w:line="240" w:lineRule="auto"/>
              <w:ind w:left="113" w:right="113"/>
              <w:jc w:val="center"/>
              <w:rPr>
                <w:bCs w:val="0"/>
                <w:color w:val="000000"/>
                <w:sz w:val="18"/>
                <w:szCs w:val="18"/>
              </w:rPr>
            </w:pPr>
            <w:r w:rsidRPr="007A458D">
              <w:rPr>
                <w:bCs w:val="0"/>
                <w:color w:val="000000"/>
                <w:sz w:val="18"/>
                <w:szCs w:val="18"/>
              </w:rPr>
              <w:t>DZIAŁANIE</w:t>
            </w:r>
          </w:p>
        </w:tc>
        <w:tc>
          <w:tcPr>
            <w:tcW w:w="1151" w:type="dxa"/>
            <w:vMerge w:val="restart"/>
            <w:textDirection w:val="btLr"/>
            <w:vAlign w:val="center"/>
            <w:hideMark/>
          </w:tcPr>
          <w:p w14:paraId="660F9281" w14:textId="3ADBBA35" w:rsidR="00D4092E" w:rsidRPr="007A458D" w:rsidRDefault="00534A43" w:rsidP="007A458D">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7A458D">
              <w:rPr>
                <w:bCs w:val="0"/>
                <w:color w:val="000000"/>
                <w:sz w:val="18"/>
                <w:szCs w:val="18"/>
              </w:rPr>
              <w:t>ALOKACJA (MLN EUR)</w:t>
            </w:r>
          </w:p>
        </w:tc>
        <w:tc>
          <w:tcPr>
            <w:tcW w:w="2126" w:type="dxa"/>
            <w:gridSpan w:val="2"/>
            <w:vAlign w:val="center"/>
            <w:hideMark/>
          </w:tcPr>
          <w:p w14:paraId="7E7453AC" w14:textId="3D41B372" w:rsidR="00D4092E" w:rsidRPr="007A458D" w:rsidRDefault="00534A43"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7A458D">
              <w:rPr>
                <w:bCs w:val="0"/>
                <w:color w:val="000000"/>
                <w:sz w:val="18"/>
                <w:szCs w:val="18"/>
              </w:rPr>
              <w:t>WNIOSKI WYBRANE DO DOFINANSOWANIA</w:t>
            </w:r>
          </w:p>
        </w:tc>
        <w:tc>
          <w:tcPr>
            <w:tcW w:w="2153" w:type="dxa"/>
            <w:gridSpan w:val="2"/>
            <w:vAlign w:val="center"/>
            <w:hideMark/>
          </w:tcPr>
          <w:p w14:paraId="4FBAF481" w14:textId="0CA2F37F" w:rsidR="00D4092E" w:rsidRPr="007A458D" w:rsidRDefault="00534A43"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7A458D">
              <w:rPr>
                <w:bCs w:val="0"/>
                <w:color w:val="000000"/>
                <w:sz w:val="18"/>
                <w:szCs w:val="18"/>
              </w:rPr>
              <w:t>KONTRAKTACJA</w:t>
            </w:r>
          </w:p>
        </w:tc>
        <w:tc>
          <w:tcPr>
            <w:tcW w:w="1763" w:type="dxa"/>
            <w:gridSpan w:val="2"/>
            <w:noWrap/>
            <w:vAlign w:val="center"/>
            <w:hideMark/>
          </w:tcPr>
          <w:p w14:paraId="5242DEFD" w14:textId="3299C923" w:rsidR="00D4092E" w:rsidRPr="007A458D" w:rsidRDefault="00534A43"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7A458D">
              <w:rPr>
                <w:bCs w:val="0"/>
                <w:color w:val="000000"/>
                <w:sz w:val="18"/>
                <w:szCs w:val="18"/>
              </w:rPr>
              <w:t>PŁATNOŚCI</w:t>
            </w:r>
          </w:p>
        </w:tc>
        <w:tc>
          <w:tcPr>
            <w:tcW w:w="1984" w:type="dxa"/>
            <w:gridSpan w:val="2"/>
            <w:noWrap/>
            <w:vAlign w:val="center"/>
            <w:hideMark/>
          </w:tcPr>
          <w:p w14:paraId="6A717FDA" w14:textId="5BA21FAB" w:rsidR="00D4092E" w:rsidRPr="007A458D" w:rsidRDefault="00534A43"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7A458D">
              <w:rPr>
                <w:bCs w:val="0"/>
                <w:color w:val="000000"/>
                <w:sz w:val="18"/>
                <w:szCs w:val="18"/>
              </w:rPr>
              <w:t>CERTYFIKACJA</w:t>
            </w:r>
          </w:p>
        </w:tc>
      </w:tr>
      <w:tr w:rsidR="001F059C" w:rsidRPr="007A458D" w14:paraId="418C2305" w14:textId="77777777" w:rsidTr="00367271">
        <w:trPr>
          <w:cnfStyle w:val="000000100000" w:firstRow="0" w:lastRow="0" w:firstColumn="0" w:lastColumn="0" w:oddVBand="0" w:evenVBand="0" w:oddHBand="1" w:evenHBand="0" w:firstRowFirstColumn="0" w:firstRowLastColumn="0" w:lastRowFirstColumn="0" w:lastRowLastColumn="0"/>
          <w:trHeight w:val="544"/>
          <w:jc w:val="center"/>
        </w:trPr>
        <w:tc>
          <w:tcPr>
            <w:cnfStyle w:val="001000000000" w:firstRow="0" w:lastRow="0" w:firstColumn="1" w:lastColumn="0" w:oddVBand="0" w:evenVBand="0" w:oddHBand="0" w:evenHBand="0" w:firstRowFirstColumn="0" w:firstRowLastColumn="0" w:lastRowFirstColumn="0" w:lastRowLastColumn="0"/>
            <w:tcW w:w="1161" w:type="dxa"/>
            <w:vMerge/>
            <w:vAlign w:val="center"/>
            <w:hideMark/>
          </w:tcPr>
          <w:p w14:paraId="5D575A5E" w14:textId="77777777" w:rsidR="00D4092E" w:rsidRPr="007A458D" w:rsidRDefault="00D4092E" w:rsidP="007A458D">
            <w:pPr>
              <w:spacing w:after="0" w:line="240" w:lineRule="auto"/>
              <w:jc w:val="center"/>
              <w:rPr>
                <w:bCs w:val="0"/>
                <w:color w:val="000000"/>
                <w:sz w:val="18"/>
                <w:szCs w:val="18"/>
              </w:rPr>
            </w:pPr>
          </w:p>
        </w:tc>
        <w:tc>
          <w:tcPr>
            <w:tcW w:w="1151" w:type="dxa"/>
            <w:vMerge/>
            <w:vAlign w:val="center"/>
            <w:hideMark/>
          </w:tcPr>
          <w:p w14:paraId="7B32B82A"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18"/>
                <w:szCs w:val="18"/>
              </w:rPr>
            </w:pPr>
          </w:p>
        </w:tc>
        <w:tc>
          <w:tcPr>
            <w:tcW w:w="992" w:type="dxa"/>
            <w:vAlign w:val="center"/>
            <w:hideMark/>
          </w:tcPr>
          <w:p w14:paraId="63D0124D"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mln EUR</w:t>
            </w:r>
          </w:p>
        </w:tc>
        <w:tc>
          <w:tcPr>
            <w:tcW w:w="1134" w:type="dxa"/>
            <w:vAlign w:val="center"/>
            <w:hideMark/>
          </w:tcPr>
          <w:p w14:paraId="405AF54E"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w:t>
            </w:r>
          </w:p>
        </w:tc>
        <w:tc>
          <w:tcPr>
            <w:tcW w:w="1134" w:type="dxa"/>
            <w:vAlign w:val="center"/>
            <w:hideMark/>
          </w:tcPr>
          <w:p w14:paraId="7C81894C"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mln EUR</w:t>
            </w:r>
          </w:p>
        </w:tc>
        <w:tc>
          <w:tcPr>
            <w:tcW w:w="1019" w:type="dxa"/>
            <w:vAlign w:val="center"/>
            <w:hideMark/>
          </w:tcPr>
          <w:p w14:paraId="107D3242"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w:t>
            </w:r>
          </w:p>
        </w:tc>
        <w:tc>
          <w:tcPr>
            <w:tcW w:w="912" w:type="dxa"/>
            <w:vAlign w:val="center"/>
            <w:hideMark/>
          </w:tcPr>
          <w:p w14:paraId="2DFDB504"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mln EUR</w:t>
            </w:r>
          </w:p>
        </w:tc>
        <w:tc>
          <w:tcPr>
            <w:tcW w:w="851" w:type="dxa"/>
            <w:vAlign w:val="center"/>
            <w:hideMark/>
          </w:tcPr>
          <w:p w14:paraId="79162647"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w:t>
            </w:r>
          </w:p>
        </w:tc>
        <w:tc>
          <w:tcPr>
            <w:tcW w:w="1220" w:type="dxa"/>
            <w:vAlign w:val="center"/>
            <w:hideMark/>
          </w:tcPr>
          <w:p w14:paraId="61C76B1A"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mln EUR</w:t>
            </w:r>
          </w:p>
        </w:tc>
        <w:tc>
          <w:tcPr>
            <w:tcW w:w="764" w:type="dxa"/>
            <w:vAlign w:val="center"/>
            <w:hideMark/>
          </w:tcPr>
          <w:p w14:paraId="3A64A148"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7A458D">
              <w:rPr>
                <w:b/>
                <w:bCs/>
                <w:sz w:val="18"/>
                <w:szCs w:val="18"/>
              </w:rPr>
              <w:t>%</w:t>
            </w:r>
          </w:p>
        </w:tc>
      </w:tr>
      <w:tr w:rsidR="001F059C" w:rsidRPr="007A458D" w14:paraId="3EDA95B2" w14:textId="77777777" w:rsidTr="00367271">
        <w:trPr>
          <w:trHeight w:val="315"/>
          <w:jc w:val="center"/>
        </w:trPr>
        <w:tc>
          <w:tcPr>
            <w:cnfStyle w:val="001000000000" w:firstRow="0" w:lastRow="0" w:firstColumn="1" w:lastColumn="0" w:oddVBand="0" w:evenVBand="0" w:oddHBand="0" w:evenHBand="0" w:firstRowFirstColumn="0" w:firstRowLastColumn="0" w:lastRowFirstColumn="0" w:lastRowLastColumn="0"/>
            <w:tcW w:w="1161" w:type="dxa"/>
            <w:noWrap/>
            <w:vAlign w:val="center"/>
            <w:hideMark/>
          </w:tcPr>
          <w:p w14:paraId="382844D1" w14:textId="77777777" w:rsidR="00D4092E" w:rsidRPr="007A458D" w:rsidRDefault="00D4092E" w:rsidP="007A458D">
            <w:pPr>
              <w:spacing w:after="0" w:line="240" w:lineRule="auto"/>
              <w:jc w:val="center"/>
              <w:rPr>
                <w:bCs w:val="0"/>
                <w:color w:val="000000"/>
                <w:sz w:val="18"/>
                <w:szCs w:val="18"/>
              </w:rPr>
            </w:pPr>
            <w:r w:rsidRPr="007A458D">
              <w:rPr>
                <w:bCs w:val="0"/>
                <w:color w:val="000000"/>
                <w:sz w:val="18"/>
                <w:szCs w:val="18"/>
              </w:rPr>
              <w:t>1.1</w:t>
            </w:r>
          </w:p>
        </w:tc>
        <w:tc>
          <w:tcPr>
            <w:tcW w:w="1151" w:type="dxa"/>
            <w:vAlign w:val="center"/>
            <w:hideMark/>
          </w:tcPr>
          <w:p w14:paraId="7BE4E322" w14:textId="35F19235" w:rsidR="00D4092E" w:rsidRPr="007A458D" w:rsidRDefault="00692C52"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7A458D">
              <w:rPr>
                <w:b/>
                <w:sz w:val="18"/>
                <w:szCs w:val="18"/>
              </w:rPr>
              <w:t>95,2</w:t>
            </w:r>
            <w:r w:rsidR="00141B0A" w:rsidRPr="007A458D">
              <w:rPr>
                <w:b/>
                <w:sz w:val="18"/>
                <w:szCs w:val="18"/>
              </w:rPr>
              <w:t>0</w:t>
            </w:r>
            <w:r w:rsidRPr="007A458D">
              <w:rPr>
                <w:b/>
                <w:sz w:val="18"/>
                <w:szCs w:val="18"/>
              </w:rPr>
              <w:t xml:space="preserve"> </w:t>
            </w:r>
          </w:p>
        </w:tc>
        <w:tc>
          <w:tcPr>
            <w:tcW w:w="992" w:type="dxa"/>
            <w:noWrap/>
            <w:vAlign w:val="center"/>
            <w:hideMark/>
          </w:tcPr>
          <w:p w14:paraId="16EA8E0F"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113,18</w:t>
            </w:r>
          </w:p>
        </w:tc>
        <w:tc>
          <w:tcPr>
            <w:tcW w:w="1134" w:type="dxa"/>
            <w:noWrap/>
            <w:vAlign w:val="center"/>
            <w:hideMark/>
          </w:tcPr>
          <w:p w14:paraId="3F588EEB" w14:textId="6913A568" w:rsidR="00D4092E" w:rsidRPr="007A458D" w:rsidRDefault="00CE39E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117,43</w:t>
            </w:r>
          </w:p>
        </w:tc>
        <w:tc>
          <w:tcPr>
            <w:tcW w:w="1134" w:type="dxa"/>
            <w:noWrap/>
            <w:vAlign w:val="center"/>
            <w:hideMark/>
          </w:tcPr>
          <w:p w14:paraId="436FB36C"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86,10</w:t>
            </w:r>
          </w:p>
        </w:tc>
        <w:tc>
          <w:tcPr>
            <w:tcW w:w="1019" w:type="dxa"/>
            <w:noWrap/>
            <w:vAlign w:val="center"/>
            <w:hideMark/>
          </w:tcPr>
          <w:p w14:paraId="2F431F36"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90,44</w:t>
            </w:r>
          </w:p>
        </w:tc>
        <w:tc>
          <w:tcPr>
            <w:tcW w:w="912" w:type="dxa"/>
            <w:noWrap/>
            <w:vAlign w:val="center"/>
            <w:hideMark/>
          </w:tcPr>
          <w:p w14:paraId="3D112073"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84,78</w:t>
            </w:r>
          </w:p>
        </w:tc>
        <w:tc>
          <w:tcPr>
            <w:tcW w:w="851" w:type="dxa"/>
            <w:noWrap/>
            <w:vAlign w:val="center"/>
            <w:hideMark/>
          </w:tcPr>
          <w:p w14:paraId="5516C0B4"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89,05</w:t>
            </w:r>
          </w:p>
        </w:tc>
        <w:tc>
          <w:tcPr>
            <w:tcW w:w="1220" w:type="dxa"/>
            <w:vAlign w:val="center"/>
            <w:hideMark/>
          </w:tcPr>
          <w:p w14:paraId="64EBACEE" w14:textId="29471615" w:rsidR="00D4092E" w:rsidRPr="007A458D" w:rsidRDefault="00692C52"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7A458D">
              <w:rPr>
                <w:b/>
                <w:sz w:val="18"/>
                <w:szCs w:val="18"/>
              </w:rPr>
              <w:t xml:space="preserve">89,43 </w:t>
            </w:r>
          </w:p>
        </w:tc>
        <w:tc>
          <w:tcPr>
            <w:tcW w:w="764" w:type="dxa"/>
            <w:noWrap/>
            <w:vAlign w:val="center"/>
            <w:hideMark/>
          </w:tcPr>
          <w:p w14:paraId="405603BF" w14:textId="13D06DCB" w:rsidR="00D4092E" w:rsidRPr="007A458D" w:rsidRDefault="00692C52"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93,94</w:t>
            </w:r>
          </w:p>
        </w:tc>
      </w:tr>
      <w:tr w:rsidR="001F059C" w:rsidRPr="007A458D" w14:paraId="11895882" w14:textId="77777777" w:rsidTr="00367271">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61" w:type="dxa"/>
            <w:noWrap/>
            <w:vAlign w:val="center"/>
            <w:hideMark/>
          </w:tcPr>
          <w:p w14:paraId="62ADA94D" w14:textId="77777777" w:rsidR="00D4092E" w:rsidRPr="007A458D" w:rsidRDefault="00D4092E" w:rsidP="007A458D">
            <w:pPr>
              <w:spacing w:after="0" w:line="240" w:lineRule="auto"/>
              <w:jc w:val="center"/>
              <w:rPr>
                <w:bCs w:val="0"/>
                <w:color w:val="000000"/>
                <w:sz w:val="18"/>
                <w:szCs w:val="18"/>
              </w:rPr>
            </w:pPr>
            <w:r w:rsidRPr="007A458D">
              <w:rPr>
                <w:bCs w:val="0"/>
                <w:color w:val="000000"/>
                <w:sz w:val="18"/>
                <w:szCs w:val="18"/>
              </w:rPr>
              <w:t>1.2</w:t>
            </w:r>
          </w:p>
        </w:tc>
        <w:tc>
          <w:tcPr>
            <w:tcW w:w="1151" w:type="dxa"/>
            <w:noWrap/>
            <w:vAlign w:val="center"/>
            <w:hideMark/>
          </w:tcPr>
          <w:p w14:paraId="3B44CE6F" w14:textId="2726DC47" w:rsidR="00D4092E" w:rsidRPr="007A458D" w:rsidRDefault="00692C52"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7A458D">
              <w:rPr>
                <w:b/>
                <w:sz w:val="18"/>
                <w:szCs w:val="18"/>
              </w:rPr>
              <w:t xml:space="preserve">169,49 </w:t>
            </w:r>
          </w:p>
        </w:tc>
        <w:tc>
          <w:tcPr>
            <w:tcW w:w="992" w:type="dxa"/>
            <w:noWrap/>
            <w:vAlign w:val="center"/>
            <w:hideMark/>
          </w:tcPr>
          <w:p w14:paraId="59B03B89"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sidRPr="007A458D">
              <w:rPr>
                <w:b/>
                <w:color w:val="000000"/>
                <w:sz w:val="18"/>
                <w:szCs w:val="18"/>
              </w:rPr>
              <w:t>235,83</w:t>
            </w:r>
          </w:p>
        </w:tc>
        <w:tc>
          <w:tcPr>
            <w:tcW w:w="1134" w:type="dxa"/>
            <w:noWrap/>
            <w:vAlign w:val="center"/>
            <w:hideMark/>
          </w:tcPr>
          <w:p w14:paraId="58E8CDFC" w14:textId="4D04B955" w:rsidR="00D4092E" w:rsidRPr="007A458D" w:rsidRDefault="00CE39E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sidRPr="007A458D">
              <w:rPr>
                <w:b/>
                <w:color w:val="000000"/>
                <w:sz w:val="18"/>
                <w:szCs w:val="18"/>
              </w:rPr>
              <w:t>140,34</w:t>
            </w:r>
          </w:p>
        </w:tc>
        <w:tc>
          <w:tcPr>
            <w:tcW w:w="1134" w:type="dxa"/>
            <w:noWrap/>
            <w:vAlign w:val="center"/>
            <w:hideMark/>
          </w:tcPr>
          <w:p w14:paraId="763326DE" w14:textId="38B58F84" w:rsidR="00D4092E" w:rsidRPr="007A458D" w:rsidRDefault="00565B38" w:rsidP="00C2389C">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Pr>
                <w:b/>
                <w:color w:val="000000"/>
                <w:sz w:val="18"/>
                <w:szCs w:val="18"/>
              </w:rPr>
              <w:t>160,</w:t>
            </w:r>
            <w:r w:rsidR="00C2389C">
              <w:rPr>
                <w:b/>
                <w:color w:val="000000"/>
                <w:sz w:val="18"/>
                <w:szCs w:val="18"/>
              </w:rPr>
              <w:t>59</w:t>
            </w:r>
          </w:p>
        </w:tc>
        <w:tc>
          <w:tcPr>
            <w:tcW w:w="1019" w:type="dxa"/>
            <w:noWrap/>
            <w:vAlign w:val="center"/>
            <w:hideMark/>
          </w:tcPr>
          <w:p w14:paraId="23670930"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sidRPr="007A458D">
              <w:rPr>
                <w:b/>
                <w:color w:val="000000"/>
                <w:sz w:val="18"/>
                <w:szCs w:val="18"/>
              </w:rPr>
              <w:t>94,91</w:t>
            </w:r>
          </w:p>
        </w:tc>
        <w:tc>
          <w:tcPr>
            <w:tcW w:w="912" w:type="dxa"/>
            <w:noWrap/>
            <w:vAlign w:val="center"/>
            <w:hideMark/>
          </w:tcPr>
          <w:p w14:paraId="42D837B3"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sidRPr="007A458D">
              <w:rPr>
                <w:b/>
                <w:color w:val="000000"/>
                <w:sz w:val="18"/>
                <w:szCs w:val="18"/>
              </w:rPr>
              <w:t>164,90</w:t>
            </w:r>
          </w:p>
        </w:tc>
        <w:tc>
          <w:tcPr>
            <w:tcW w:w="851" w:type="dxa"/>
            <w:noWrap/>
            <w:vAlign w:val="center"/>
            <w:hideMark/>
          </w:tcPr>
          <w:p w14:paraId="7BDDAFE1" w14:textId="77777777" w:rsidR="00D4092E" w:rsidRPr="007A458D" w:rsidRDefault="00D4092E"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sidRPr="007A458D">
              <w:rPr>
                <w:b/>
                <w:color w:val="000000"/>
                <w:sz w:val="18"/>
                <w:szCs w:val="18"/>
              </w:rPr>
              <w:t>97,29</w:t>
            </w:r>
          </w:p>
        </w:tc>
        <w:tc>
          <w:tcPr>
            <w:tcW w:w="1220" w:type="dxa"/>
            <w:vAlign w:val="center"/>
            <w:hideMark/>
          </w:tcPr>
          <w:p w14:paraId="02B1537D" w14:textId="64CF251E" w:rsidR="00D4092E" w:rsidRPr="007A458D" w:rsidRDefault="00692C52"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7A458D">
              <w:rPr>
                <w:b/>
                <w:sz w:val="18"/>
                <w:szCs w:val="18"/>
              </w:rPr>
              <w:t>172,3</w:t>
            </w:r>
            <w:r w:rsidR="00436FC7" w:rsidRPr="007A458D">
              <w:rPr>
                <w:b/>
                <w:sz w:val="18"/>
                <w:szCs w:val="18"/>
              </w:rPr>
              <w:t>4</w:t>
            </w:r>
          </w:p>
        </w:tc>
        <w:tc>
          <w:tcPr>
            <w:tcW w:w="764" w:type="dxa"/>
            <w:noWrap/>
            <w:vAlign w:val="center"/>
            <w:hideMark/>
          </w:tcPr>
          <w:p w14:paraId="67DC828D" w14:textId="79CFD546" w:rsidR="00D4092E" w:rsidRPr="007A458D" w:rsidRDefault="00692C52">
            <w:pPr>
              <w:spacing w:after="0" w:line="240" w:lineRule="auto"/>
              <w:jc w:val="center"/>
              <w:cnfStyle w:val="000000100000" w:firstRow="0" w:lastRow="0" w:firstColumn="0" w:lastColumn="0" w:oddVBand="0" w:evenVBand="0" w:oddHBand="1" w:evenHBand="0" w:firstRowFirstColumn="0" w:firstRowLastColumn="0" w:lastRowFirstColumn="0" w:lastRowLastColumn="0"/>
              <w:rPr>
                <w:b/>
                <w:color w:val="000000"/>
                <w:sz w:val="18"/>
                <w:szCs w:val="18"/>
              </w:rPr>
            </w:pPr>
            <w:r w:rsidRPr="007A458D">
              <w:rPr>
                <w:b/>
                <w:color w:val="000000"/>
                <w:sz w:val="18"/>
                <w:szCs w:val="18"/>
              </w:rPr>
              <w:t>101,68</w:t>
            </w:r>
          </w:p>
        </w:tc>
      </w:tr>
      <w:tr w:rsidR="001F059C" w:rsidRPr="007A458D" w14:paraId="0103EA9F" w14:textId="77777777" w:rsidTr="00367271">
        <w:trPr>
          <w:trHeight w:val="315"/>
          <w:jc w:val="center"/>
        </w:trPr>
        <w:tc>
          <w:tcPr>
            <w:cnfStyle w:val="001000000000" w:firstRow="0" w:lastRow="0" w:firstColumn="1" w:lastColumn="0" w:oddVBand="0" w:evenVBand="0" w:oddHBand="0" w:evenHBand="0" w:firstRowFirstColumn="0" w:firstRowLastColumn="0" w:lastRowFirstColumn="0" w:lastRowLastColumn="0"/>
            <w:tcW w:w="1161" w:type="dxa"/>
            <w:noWrap/>
            <w:vAlign w:val="center"/>
            <w:hideMark/>
          </w:tcPr>
          <w:p w14:paraId="5D153251" w14:textId="77777777" w:rsidR="00D4092E" w:rsidRPr="007A458D" w:rsidRDefault="00D4092E" w:rsidP="007A458D">
            <w:pPr>
              <w:spacing w:after="0" w:line="240" w:lineRule="auto"/>
              <w:jc w:val="center"/>
              <w:rPr>
                <w:bCs w:val="0"/>
                <w:color w:val="000000"/>
                <w:sz w:val="18"/>
                <w:szCs w:val="18"/>
              </w:rPr>
            </w:pPr>
            <w:r w:rsidRPr="007A458D">
              <w:rPr>
                <w:bCs w:val="0"/>
                <w:color w:val="000000"/>
                <w:sz w:val="18"/>
                <w:szCs w:val="18"/>
              </w:rPr>
              <w:t>1.3</w:t>
            </w:r>
          </w:p>
        </w:tc>
        <w:tc>
          <w:tcPr>
            <w:tcW w:w="1151" w:type="dxa"/>
            <w:noWrap/>
            <w:vAlign w:val="center"/>
            <w:hideMark/>
          </w:tcPr>
          <w:p w14:paraId="11382505" w14:textId="6D492E6E" w:rsidR="00D4092E" w:rsidRPr="007A458D" w:rsidRDefault="00692C52"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7A458D">
              <w:rPr>
                <w:b/>
                <w:sz w:val="18"/>
                <w:szCs w:val="18"/>
              </w:rPr>
              <w:t>31,5</w:t>
            </w:r>
            <w:r w:rsidR="00141B0A" w:rsidRPr="007A458D">
              <w:rPr>
                <w:b/>
                <w:sz w:val="18"/>
                <w:szCs w:val="18"/>
              </w:rPr>
              <w:t>5</w:t>
            </w:r>
            <w:r w:rsidRPr="007A458D">
              <w:rPr>
                <w:b/>
                <w:sz w:val="18"/>
                <w:szCs w:val="18"/>
              </w:rPr>
              <w:t xml:space="preserve"> </w:t>
            </w:r>
          </w:p>
        </w:tc>
        <w:tc>
          <w:tcPr>
            <w:tcW w:w="992" w:type="dxa"/>
            <w:noWrap/>
            <w:vAlign w:val="center"/>
            <w:hideMark/>
          </w:tcPr>
          <w:p w14:paraId="31F0F142"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46,46</w:t>
            </w:r>
          </w:p>
        </w:tc>
        <w:tc>
          <w:tcPr>
            <w:tcW w:w="1134" w:type="dxa"/>
            <w:noWrap/>
            <w:vAlign w:val="center"/>
            <w:hideMark/>
          </w:tcPr>
          <w:p w14:paraId="03642C8C" w14:textId="3E102BD9" w:rsidR="00D4092E" w:rsidRPr="007A458D" w:rsidRDefault="00CE39E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146,01</w:t>
            </w:r>
          </w:p>
        </w:tc>
        <w:tc>
          <w:tcPr>
            <w:tcW w:w="1134" w:type="dxa"/>
            <w:noWrap/>
            <w:vAlign w:val="center"/>
            <w:hideMark/>
          </w:tcPr>
          <w:p w14:paraId="350DB9D9" w14:textId="753A8B45" w:rsidR="00D4092E" w:rsidRPr="007A458D" w:rsidRDefault="00565B38"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Pr>
                <w:b/>
                <w:color w:val="000000"/>
                <w:sz w:val="18"/>
                <w:szCs w:val="18"/>
              </w:rPr>
              <w:t>26,82</w:t>
            </w:r>
          </w:p>
        </w:tc>
        <w:tc>
          <w:tcPr>
            <w:tcW w:w="1019" w:type="dxa"/>
            <w:noWrap/>
            <w:vAlign w:val="center"/>
            <w:hideMark/>
          </w:tcPr>
          <w:p w14:paraId="6A9F7C24"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85,36</w:t>
            </w:r>
          </w:p>
        </w:tc>
        <w:tc>
          <w:tcPr>
            <w:tcW w:w="912" w:type="dxa"/>
            <w:noWrap/>
            <w:vAlign w:val="center"/>
            <w:hideMark/>
          </w:tcPr>
          <w:p w14:paraId="036A67C5"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27,46</w:t>
            </w:r>
          </w:p>
        </w:tc>
        <w:tc>
          <w:tcPr>
            <w:tcW w:w="851" w:type="dxa"/>
            <w:noWrap/>
            <w:vAlign w:val="center"/>
            <w:hideMark/>
          </w:tcPr>
          <w:p w14:paraId="241B9941" w14:textId="77777777" w:rsidR="00D4092E" w:rsidRPr="007A458D" w:rsidRDefault="00D4092E"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87,04</w:t>
            </w:r>
          </w:p>
        </w:tc>
        <w:tc>
          <w:tcPr>
            <w:tcW w:w="1220" w:type="dxa"/>
            <w:vAlign w:val="center"/>
            <w:hideMark/>
          </w:tcPr>
          <w:p w14:paraId="51D31E4A" w14:textId="78049BF8" w:rsidR="00D4092E" w:rsidRPr="007A458D" w:rsidRDefault="00692C52"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7A458D">
              <w:rPr>
                <w:b/>
                <w:sz w:val="18"/>
                <w:szCs w:val="18"/>
              </w:rPr>
              <w:t xml:space="preserve">27,07 </w:t>
            </w:r>
          </w:p>
        </w:tc>
        <w:tc>
          <w:tcPr>
            <w:tcW w:w="764" w:type="dxa"/>
            <w:noWrap/>
            <w:vAlign w:val="center"/>
            <w:hideMark/>
          </w:tcPr>
          <w:p w14:paraId="2B3DE842" w14:textId="48C97337" w:rsidR="00D4092E" w:rsidRPr="007A458D" w:rsidRDefault="00692C52"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b/>
                <w:color w:val="000000"/>
                <w:sz w:val="18"/>
                <w:szCs w:val="18"/>
              </w:rPr>
            </w:pPr>
            <w:r w:rsidRPr="007A458D">
              <w:rPr>
                <w:b/>
                <w:color w:val="000000"/>
                <w:sz w:val="18"/>
                <w:szCs w:val="18"/>
              </w:rPr>
              <w:t>85,</w:t>
            </w:r>
            <w:r w:rsidR="00436FC7" w:rsidRPr="007A458D">
              <w:rPr>
                <w:b/>
                <w:color w:val="000000"/>
                <w:sz w:val="18"/>
                <w:szCs w:val="18"/>
              </w:rPr>
              <w:t>6</w:t>
            </w:r>
            <w:r w:rsidRPr="007A458D">
              <w:rPr>
                <w:b/>
                <w:color w:val="000000"/>
                <w:sz w:val="18"/>
                <w:szCs w:val="18"/>
              </w:rPr>
              <w:t xml:space="preserve">1 </w:t>
            </w:r>
          </w:p>
        </w:tc>
      </w:tr>
    </w:tbl>
    <w:p w14:paraId="122D69BF" w14:textId="77777777" w:rsidR="00D4092E" w:rsidRDefault="00D4092E" w:rsidP="00BA2CDA">
      <w:pPr>
        <w:spacing w:after="120"/>
        <w:contextualSpacing/>
        <w:jc w:val="both"/>
        <w:rPr>
          <w:b/>
          <w:szCs w:val="24"/>
        </w:rPr>
      </w:pPr>
    </w:p>
    <w:p w14:paraId="79AFCC61" w14:textId="6DA1992A" w:rsidR="00BA2CDA" w:rsidRPr="00BA2CDA" w:rsidRDefault="00BA2CDA" w:rsidP="00BA2CDA">
      <w:pPr>
        <w:spacing w:after="120"/>
        <w:contextualSpacing/>
        <w:jc w:val="both"/>
        <w:rPr>
          <w:b/>
          <w:szCs w:val="24"/>
        </w:rPr>
      </w:pPr>
      <w:r w:rsidRPr="00BA2CDA">
        <w:rPr>
          <w:b/>
          <w:szCs w:val="24"/>
        </w:rPr>
        <w:t>Projekty kluczowe</w:t>
      </w:r>
    </w:p>
    <w:p w14:paraId="68408DD6" w14:textId="0313351D" w:rsidR="00BA2CDA" w:rsidRPr="00BA2CDA" w:rsidRDefault="00BA2CDA" w:rsidP="00BA2CDA">
      <w:pPr>
        <w:spacing w:after="120"/>
        <w:jc w:val="both"/>
        <w:rPr>
          <w:szCs w:val="24"/>
        </w:rPr>
      </w:pPr>
      <w:r w:rsidRPr="00BA2CDA">
        <w:rPr>
          <w:szCs w:val="24"/>
        </w:rPr>
        <w:t xml:space="preserve">W ramach priorytetu realizowany </w:t>
      </w:r>
      <w:r w:rsidR="00770419">
        <w:rPr>
          <w:szCs w:val="24"/>
        </w:rPr>
        <w:t>był</w:t>
      </w:r>
      <w:r w:rsidRPr="00BA2CDA">
        <w:rPr>
          <w:szCs w:val="24"/>
        </w:rPr>
        <w:t xml:space="preserve"> jeden projekt kluczowy znajdujący się w IWIPK </w:t>
      </w:r>
      <w:r w:rsidRPr="00BA2CDA">
        <w:rPr>
          <w:i/>
          <w:szCs w:val="24"/>
        </w:rPr>
        <w:t>Gospodarcza Brama Śląska – etap I: Uruchomienie Zagłębiowskiej Strefy Gospodarczej</w:t>
      </w:r>
      <w:r w:rsidRPr="00BA2CDA">
        <w:rPr>
          <w:szCs w:val="24"/>
        </w:rPr>
        <w:t xml:space="preserve">. </w:t>
      </w:r>
    </w:p>
    <w:p w14:paraId="0F8E3A77" w14:textId="77777777" w:rsidR="00BA2CDA" w:rsidRPr="00BA2CDA" w:rsidRDefault="00BA2CDA" w:rsidP="00BA2CDA">
      <w:pPr>
        <w:spacing w:after="120"/>
        <w:contextualSpacing/>
        <w:jc w:val="both"/>
        <w:rPr>
          <w:b/>
          <w:szCs w:val="24"/>
          <w:lang w:eastAsia="ar-SA"/>
        </w:rPr>
      </w:pPr>
      <w:r w:rsidRPr="00BA2CDA">
        <w:rPr>
          <w:b/>
          <w:szCs w:val="24"/>
          <w:lang w:eastAsia="ar-SA"/>
        </w:rPr>
        <w:t>Harmonogram konkursów</w:t>
      </w:r>
    </w:p>
    <w:p w14:paraId="5E659409" w14:textId="16B0995A" w:rsidR="00BA2CDA" w:rsidRDefault="005547D1" w:rsidP="00BA2CDA">
      <w:pPr>
        <w:spacing w:after="120"/>
        <w:jc w:val="both"/>
        <w:rPr>
          <w:szCs w:val="24"/>
          <w:lang w:eastAsia="ar-SA"/>
        </w:rPr>
      </w:pPr>
      <w:r>
        <w:rPr>
          <w:szCs w:val="24"/>
          <w:lang w:eastAsia="ar-SA"/>
        </w:rPr>
        <w:t>W ramach priorytetu</w:t>
      </w:r>
      <w:r w:rsidR="00BA2CDA" w:rsidRPr="00BA2CDA">
        <w:rPr>
          <w:szCs w:val="24"/>
          <w:lang w:eastAsia="ar-SA"/>
        </w:rPr>
        <w:t xml:space="preserve"> ogłoszono 26 konkursów na kwotę 301 mln EUR, z czego IP2 RPO WSL ogłosiło 15 </w:t>
      </w:r>
      <w:r w:rsidR="00BA2CDA">
        <w:rPr>
          <w:szCs w:val="24"/>
          <w:lang w:eastAsia="ar-SA"/>
        </w:rPr>
        <w:t xml:space="preserve">konkursów </w:t>
      </w:r>
      <w:r w:rsidR="00BA2CDA" w:rsidRPr="00BA2CDA">
        <w:rPr>
          <w:szCs w:val="24"/>
          <w:lang w:eastAsia="ar-SA"/>
        </w:rPr>
        <w:t xml:space="preserve">na kwotę 185 mln EUR. </w:t>
      </w:r>
    </w:p>
    <w:p w14:paraId="44172D7F" w14:textId="78A779AD" w:rsidR="00C60D08" w:rsidRDefault="00BF2254" w:rsidP="007A458D">
      <w:pPr>
        <w:spacing w:before="240" w:after="120"/>
        <w:contextualSpacing/>
        <w:jc w:val="both"/>
        <w:rPr>
          <w:b/>
          <w:szCs w:val="24"/>
          <w:lang w:eastAsia="ar-SA"/>
        </w:rPr>
      </w:pPr>
      <w:r w:rsidRPr="005222FF">
        <w:rPr>
          <w:b/>
          <w:szCs w:val="24"/>
          <w:lang w:eastAsia="ar-SA"/>
        </w:rPr>
        <w:t>Rozkład projektów</w:t>
      </w:r>
    </w:p>
    <w:p w14:paraId="4A676488" w14:textId="445F591E" w:rsidR="007A458D" w:rsidRPr="001F484B" w:rsidRDefault="004E6046" w:rsidP="001F484B">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w:t>
      </w:r>
      <w:r w:rsidRPr="00D90934">
        <w:rPr>
          <w:szCs w:val="24"/>
          <w:lang w:eastAsia="ar-SA"/>
        </w:rPr>
        <w:t>w przypadkach braku danych w KS</w:t>
      </w:r>
      <w:r>
        <w:rPr>
          <w:szCs w:val="24"/>
          <w:lang w:eastAsia="ar-SA"/>
        </w:rPr>
        <w:t>I dane pochodzą z LSI.</w:t>
      </w:r>
    </w:p>
    <w:p w14:paraId="7977D0CE" w14:textId="04927809" w:rsidR="0001200E" w:rsidRPr="00126975" w:rsidRDefault="0001200E" w:rsidP="00126975">
      <w:pPr>
        <w:pStyle w:val="Akapitzlist"/>
        <w:numPr>
          <w:ilvl w:val="0"/>
          <w:numId w:val="106"/>
        </w:numPr>
        <w:spacing w:before="240" w:after="120"/>
        <w:jc w:val="both"/>
        <w:rPr>
          <w:b/>
          <w:szCs w:val="24"/>
          <w:lang w:eastAsia="ar-SA"/>
        </w:rPr>
      </w:pPr>
      <w:r w:rsidRPr="00126975">
        <w:rPr>
          <w:b/>
          <w:szCs w:val="24"/>
          <w:lang w:eastAsia="ar-SA"/>
        </w:rPr>
        <w:lastRenderedPageBreak/>
        <w:t>Projekty w podziale na sektory gospodarki</w:t>
      </w:r>
    </w:p>
    <w:p w14:paraId="496987B3" w14:textId="45F571B1" w:rsidR="00714CDB" w:rsidRPr="00A42DB0" w:rsidRDefault="00714CDB" w:rsidP="00714CDB">
      <w:pPr>
        <w:jc w:val="both"/>
      </w:pPr>
      <w:r>
        <w:t xml:space="preserve">Analizując </w:t>
      </w:r>
      <w:r w:rsidRPr="00E0086E">
        <w:t xml:space="preserve">rozkład projektów w podziale na sekcje w ramach priorytetu I należy podkreślić, że stosunkowo </w:t>
      </w:r>
      <w:r>
        <w:t>najwięcej projektów zostało</w:t>
      </w:r>
      <w:r w:rsidRPr="00772EC8">
        <w:t xml:space="preserve"> </w:t>
      </w:r>
      <w:r>
        <w:t>z</w:t>
      </w:r>
      <w:r w:rsidRPr="00772EC8">
        <w:t>realizowanych w ramach działalnoś</w:t>
      </w:r>
      <w:r>
        <w:t xml:space="preserve">ci dotyczących ochrony zdrowia: </w:t>
      </w:r>
      <w:r w:rsidRPr="00A42DB0">
        <w:t>86.22.Z Specjalistyczna praktyka lekarska – 66</w:t>
      </w:r>
      <w:r>
        <w:t xml:space="preserve"> projektów</w:t>
      </w:r>
      <w:r w:rsidRPr="00A42DB0">
        <w:t>, 86.23.Z Praktyka lekarska dentystyczna – 81 projektów, a także działań z tym związanych - 32.50.</w:t>
      </w:r>
      <w:r>
        <w:t xml:space="preserve"> </w:t>
      </w:r>
      <w:r w:rsidRPr="00A42DB0">
        <w:t xml:space="preserve">Z Produkcja urządzeń, instrumentów oraz wyrobów medycznych, włączając dentystyczne – 44 projekty, choć nie są to projekty o wysokim zaangażowaniu środków EFRR. Największą wartość EFRR można zaobserwować w projektach o PKD 25.62.Z Obróbka mechaniczna elementów metalowych, a także 22.22.Z Produkcja opakowań z tworzyw sztucznych. </w:t>
      </w:r>
    </w:p>
    <w:p w14:paraId="7087C2CE" w14:textId="7F7CF8AD" w:rsidR="00714CDB" w:rsidRPr="00A42DB0" w:rsidRDefault="00714CDB" w:rsidP="00714CDB">
      <w:pPr>
        <w:jc w:val="both"/>
      </w:pPr>
      <w:r w:rsidRPr="00A42DB0">
        <w:t>W ramach priorytetu I wiele projektów, choć o stosunkowo niskiej wartości EFRR</w:t>
      </w:r>
      <w:r w:rsidR="001241D1">
        <w:t>,</w:t>
      </w:r>
      <w:r w:rsidRPr="00A42DB0">
        <w:t xml:space="preserve"> dotyczy również działalności: 46.90.Z Sprzedaż hurtowa niewyspecjalizowana, 18.12.Z Pozostałe drukowanie, 22.29.Z Produkcja pozostałych wyrobó</w:t>
      </w:r>
      <w:r w:rsidR="00241FA0">
        <w:t>w z tworzyw sztucznych, 45.20.Z </w:t>
      </w:r>
      <w:r w:rsidRPr="00A42DB0">
        <w:t>Konserwacja i naprawa pojazdów samochodowych, z wyłączeniem motocykli oraz 25.24.Z Produkcja pozostałych wyrobów z tworzyw sztucznych.</w:t>
      </w:r>
    </w:p>
    <w:p w14:paraId="33D66DB4" w14:textId="461C75D8" w:rsidR="00714CDB" w:rsidRDefault="00714CDB" w:rsidP="00714CDB">
      <w:pPr>
        <w:jc w:val="both"/>
      </w:pPr>
      <w:r w:rsidRPr="00A42DB0">
        <w:t>Rozkład wartości EFRR na poszczególne PKD można rozpatrywać m. in. ze względu na specyfikę danej branży, w której beneficjentami są głównie mikroprzedsiębiorstwa o ograniczonym poziomie wsparcia (</w:t>
      </w:r>
      <w:r>
        <w:t>45 309 EUR</w:t>
      </w:r>
      <w:r w:rsidRPr="00A42DB0">
        <w:t>), np. w ramach działalności medycznej dominują mikro i małe przedsiębiorstwa – indyw</w:t>
      </w:r>
      <w:r>
        <w:t>idualne praktyki lekarskie itp.</w:t>
      </w:r>
    </w:p>
    <w:p w14:paraId="1FCCCF7F" w14:textId="5D5A77B2" w:rsidR="00EB75BE" w:rsidRDefault="00EB75BE" w:rsidP="00714CDB">
      <w:pPr>
        <w:jc w:val="both"/>
      </w:pPr>
      <w:r w:rsidRPr="00772EC8">
        <w:t xml:space="preserve">W priorytecie I </w:t>
      </w:r>
      <w:r>
        <w:t>zauważyć można duże</w:t>
      </w:r>
      <w:r w:rsidRPr="00772EC8">
        <w:t xml:space="preserve"> rozproszenie działalności, w </w:t>
      </w:r>
      <w:r w:rsidR="00B8015D" w:rsidRPr="00772EC8">
        <w:t>ramac</w:t>
      </w:r>
      <w:r w:rsidR="00B8015D">
        <w:t>h, których</w:t>
      </w:r>
      <w:r>
        <w:t xml:space="preserve"> beneficjenci realizowali</w:t>
      </w:r>
      <w:r w:rsidRPr="00772EC8">
        <w:t xml:space="preserve"> projekty</w:t>
      </w:r>
      <w:r w:rsidR="001241D1">
        <w:t>.</w:t>
      </w:r>
      <w:r w:rsidRPr="00772EC8">
        <w:t xml:space="preserve"> </w:t>
      </w:r>
      <w:r w:rsidR="001241D1">
        <w:t xml:space="preserve">Działo się tak </w:t>
      </w:r>
      <w:r w:rsidRPr="00772EC8">
        <w:t>z uwagi na fakt, że typy projektów możliwych do wsparcia w</w:t>
      </w:r>
      <w:r>
        <w:t> </w:t>
      </w:r>
      <w:r w:rsidRPr="00772EC8">
        <w:t>przypadku konkursów orga</w:t>
      </w:r>
      <w:r>
        <w:t>nizowanych dla priorytetu I dawały</w:t>
      </w:r>
      <w:r w:rsidRPr="00772EC8">
        <w:t xml:space="preserve"> możliwość realizowania projektów w ra</w:t>
      </w:r>
      <w:r>
        <w:t>mach wielu sektorów gospodarki.</w:t>
      </w:r>
    </w:p>
    <w:p w14:paraId="4CE1BBC8" w14:textId="665713F0" w:rsidR="00714CDB" w:rsidRDefault="00714CDB" w:rsidP="00714CDB">
      <w:pPr>
        <w:jc w:val="both"/>
      </w:pPr>
      <w:r>
        <w:t>Poniżej w tabeli przedstawiono rozkład projektów w podziale na sektory gospodarki.</w:t>
      </w:r>
    </w:p>
    <w:p w14:paraId="5DCB966F" w14:textId="227E1F06" w:rsidR="00714CDB" w:rsidRPr="00714CDB" w:rsidRDefault="000D34C2" w:rsidP="00714CDB">
      <w:pPr>
        <w:pStyle w:val="Legenda"/>
        <w:rPr>
          <w:b w:val="0"/>
          <w:color w:val="auto"/>
          <w:sz w:val="20"/>
          <w:szCs w:val="20"/>
        </w:rPr>
      </w:pPr>
      <w:bookmarkStart w:id="264" w:name="_Toc476131795"/>
      <w:r>
        <w:rPr>
          <w:color w:val="auto"/>
          <w:sz w:val="20"/>
          <w:szCs w:val="20"/>
        </w:rPr>
        <w:t>Tabela</w:t>
      </w:r>
      <w:r w:rsidR="00714CDB" w:rsidRPr="00714CDB">
        <w:rPr>
          <w:color w:val="auto"/>
          <w:sz w:val="20"/>
          <w:szCs w:val="20"/>
        </w:rPr>
        <w:t xml:space="preserve"> </w:t>
      </w:r>
      <w:r>
        <w:rPr>
          <w:color w:val="auto"/>
          <w:sz w:val="20"/>
          <w:szCs w:val="20"/>
        </w:rPr>
        <w:fldChar w:fldCharType="begin"/>
      </w:r>
      <w:r>
        <w:rPr>
          <w:color w:val="auto"/>
          <w:sz w:val="20"/>
          <w:szCs w:val="20"/>
        </w:rPr>
        <w:instrText xml:space="preserve"> SEQ Tabela \* ARABIC </w:instrText>
      </w:r>
      <w:r>
        <w:rPr>
          <w:color w:val="auto"/>
          <w:sz w:val="20"/>
          <w:szCs w:val="20"/>
        </w:rPr>
        <w:fldChar w:fldCharType="separate"/>
      </w:r>
      <w:r w:rsidR="0050297D">
        <w:rPr>
          <w:noProof/>
          <w:color w:val="auto"/>
          <w:sz w:val="20"/>
          <w:szCs w:val="20"/>
        </w:rPr>
        <w:t>12</w:t>
      </w:r>
      <w:r>
        <w:rPr>
          <w:color w:val="auto"/>
          <w:sz w:val="20"/>
          <w:szCs w:val="20"/>
        </w:rPr>
        <w:fldChar w:fldCharType="end"/>
      </w:r>
      <w:r w:rsidR="00714CDB" w:rsidRPr="00714CDB">
        <w:rPr>
          <w:color w:val="auto"/>
          <w:sz w:val="20"/>
          <w:szCs w:val="20"/>
        </w:rPr>
        <w:t xml:space="preserve"> </w:t>
      </w:r>
      <w:r w:rsidR="00714CDB" w:rsidRPr="00714CDB">
        <w:rPr>
          <w:b w:val="0"/>
          <w:i/>
          <w:color w:val="auto"/>
          <w:sz w:val="20"/>
          <w:szCs w:val="20"/>
        </w:rPr>
        <w:t>Rozkład projektów</w:t>
      </w:r>
      <w:r w:rsidR="00B15E47">
        <w:rPr>
          <w:b w:val="0"/>
          <w:i/>
          <w:color w:val="auto"/>
          <w:sz w:val="20"/>
          <w:szCs w:val="20"/>
        </w:rPr>
        <w:t xml:space="preserve"> w ramach priorytetu I</w:t>
      </w:r>
      <w:r w:rsidR="00714CDB" w:rsidRPr="00714CDB">
        <w:rPr>
          <w:b w:val="0"/>
          <w:i/>
          <w:color w:val="auto"/>
          <w:sz w:val="20"/>
          <w:szCs w:val="20"/>
        </w:rPr>
        <w:t xml:space="preserve"> w podziale na sektory gospodarki</w:t>
      </w:r>
      <w:bookmarkEnd w:id="264"/>
    </w:p>
    <w:tbl>
      <w:tblPr>
        <w:tblStyle w:val="Tabelalisty3akcent61"/>
        <w:tblW w:w="9634" w:type="dxa"/>
        <w:tblLook w:val="04A0" w:firstRow="1" w:lastRow="0" w:firstColumn="1" w:lastColumn="0" w:noHBand="0" w:noVBand="1"/>
      </w:tblPr>
      <w:tblGrid>
        <w:gridCol w:w="6232"/>
        <w:gridCol w:w="983"/>
        <w:gridCol w:w="2419"/>
      </w:tblGrid>
      <w:tr w:rsidR="00EB75BE" w:rsidRPr="00714CDB" w14:paraId="4B4309B8" w14:textId="77777777" w:rsidTr="007A458D">
        <w:trPr>
          <w:cnfStyle w:val="100000000000" w:firstRow="1" w:lastRow="0" w:firstColumn="0" w:lastColumn="0" w:oddVBand="0" w:evenVBand="0" w:oddHBand="0" w:evenHBand="0" w:firstRowFirstColumn="0" w:firstRowLastColumn="0" w:lastRowFirstColumn="0" w:lastRowLastColumn="0"/>
          <w:trHeight w:val="539"/>
        </w:trPr>
        <w:tc>
          <w:tcPr>
            <w:cnfStyle w:val="001000000100" w:firstRow="0" w:lastRow="0" w:firstColumn="1" w:lastColumn="0" w:oddVBand="0" w:evenVBand="0" w:oddHBand="0" w:evenHBand="0" w:firstRowFirstColumn="1" w:firstRowLastColumn="0" w:lastRowFirstColumn="0" w:lastRowLastColumn="0"/>
            <w:tcW w:w="6232" w:type="dxa"/>
            <w:vAlign w:val="center"/>
            <w:hideMark/>
          </w:tcPr>
          <w:p w14:paraId="4BF1155D" w14:textId="77777777" w:rsidR="00714CDB" w:rsidRPr="00714CDB" w:rsidRDefault="00714CDB" w:rsidP="007A458D">
            <w:pPr>
              <w:spacing w:after="0" w:line="240" w:lineRule="auto"/>
              <w:jc w:val="center"/>
              <w:rPr>
                <w:color w:val="000000"/>
                <w:sz w:val="20"/>
                <w:szCs w:val="20"/>
              </w:rPr>
            </w:pPr>
            <w:r w:rsidRPr="00714CDB">
              <w:rPr>
                <w:color w:val="000000"/>
                <w:sz w:val="20"/>
                <w:szCs w:val="20"/>
              </w:rPr>
              <w:t>SEKCJA</w:t>
            </w:r>
          </w:p>
        </w:tc>
        <w:tc>
          <w:tcPr>
            <w:tcW w:w="983" w:type="dxa"/>
            <w:noWrap/>
            <w:vAlign w:val="center"/>
            <w:hideMark/>
          </w:tcPr>
          <w:p w14:paraId="7ACD6F44" w14:textId="77777777" w:rsidR="00714CDB" w:rsidRPr="00714CDB" w:rsidRDefault="00714CDB"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LICZBA</w:t>
            </w:r>
          </w:p>
        </w:tc>
        <w:tc>
          <w:tcPr>
            <w:tcW w:w="2419" w:type="dxa"/>
            <w:noWrap/>
            <w:vAlign w:val="center"/>
            <w:hideMark/>
          </w:tcPr>
          <w:p w14:paraId="363285C8" w14:textId="77777777" w:rsidR="00714CDB" w:rsidRPr="00714CDB" w:rsidRDefault="00714CDB"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WARTOŚĆ UE W EUR</w:t>
            </w:r>
          </w:p>
        </w:tc>
      </w:tr>
      <w:tr w:rsidR="00EB75BE" w:rsidRPr="00714CDB" w14:paraId="44AAFB72" w14:textId="77777777" w:rsidTr="007A458D">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65D8BD4B"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A rolnictwo, leśnictwo, łowiectwo i rybactwo</w:t>
            </w:r>
          </w:p>
        </w:tc>
        <w:tc>
          <w:tcPr>
            <w:tcW w:w="983" w:type="dxa"/>
            <w:noWrap/>
            <w:vAlign w:val="center"/>
            <w:hideMark/>
          </w:tcPr>
          <w:p w14:paraId="46E2E433"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8</w:t>
            </w:r>
          </w:p>
        </w:tc>
        <w:tc>
          <w:tcPr>
            <w:tcW w:w="2419" w:type="dxa"/>
            <w:noWrap/>
            <w:vAlign w:val="center"/>
            <w:hideMark/>
          </w:tcPr>
          <w:p w14:paraId="09595F55" w14:textId="340D183A"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423 296,58</w:t>
            </w:r>
          </w:p>
        </w:tc>
      </w:tr>
      <w:tr w:rsidR="00714CDB" w:rsidRPr="00714CDB" w14:paraId="648C54B6" w14:textId="77777777" w:rsidTr="007A458D">
        <w:trPr>
          <w:trHeight w:val="52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6E7D2DC3"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B Górnictwo i wydobywanie</w:t>
            </w:r>
          </w:p>
        </w:tc>
        <w:tc>
          <w:tcPr>
            <w:tcW w:w="983" w:type="dxa"/>
            <w:noWrap/>
            <w:vAlign w:val="center"/>
            <w:hideMark/>
          </w:tcPr>
          <w:p w14:paraId="53517A84"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10</w:t>
            </w:r>
          </w:p>
        </w:tc>
        <w:tc>
          <w:tcPr>
            <w:tcW w:w="2419" w:type="dxa"/>
            <w:noWrap/>
            <w:vAlign w:val="center"/>
            <w:hideMark/>
          </w:tcPr>
          <w:p w14:paraId="77D5EA59" w14:textId="15DD920D"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1 144 620,56</w:t>
            </w:r>
          </w:p>
        </w:tc>
      </w:tr>
      <w:tr w:rsidR="00EB75BE" w:rsidRPr="00714CDB" w14:paraId="0A228D79" w14:textId="77777777" w:rsidTr="007A458D">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69AB809"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C Przetwórstwo przemysłowe</w:t>
            </w:r>
          </w:p>
        </w:tc>
        <w:tc>
          <w:tcPr>
            <w:tcW w:w="983" w:type="dxa"/>
            <w:noWrap/>
            <w:vAlign w:val="center"/>
            <w:hideMark/>
          </w:tcPr>
          <w:p w14:paraId="28931D05"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1655</w:t>
            </w:r>
          </w:p>
        </w:tc>
        <w:tc>
          <w:tcPr>
            <w:tcW w:w="2419" w:type="dxa"/>
            <w:noWrap/>
            <w:vAlign w:val="center"/>
            <w:hideMark/>
          </w:tcPr>
          <w:p w14:paraId="2ECD0416" w14:textId="4C5BC8B6"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104 700 018,16</w:t>
            </w:r>
          </w:p>
        </w:tc>
      </w:tr>
      <w:tr w:rsidR="00714CDB" w:rsidRPr="00714CDB" w14:paraId="29EDC8B6" w14:textId="77777777" w:rsidTr="007A458D">
        <w:trPr>
          <w:trHeight w:val="666"/>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6A9A0763"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D wytwarzanie i zaopatrywanie w energię elektryczną, gaz, parę wodną, gorącą wodę i powietrze do układów klimatyzacyjnych</w:t>
            </w:r>
          </w:p>
        </w:tc>
        <w:tc>
          <w:tcPr>
            <w:tcW w:w="983" w:type="dxa"/>
            <w:noWrap/>
            <w:vAlign w:val="center"/>
            <w:hideMark/>
          </w:tcPr>
          <w:p w14:paraId="321A5627"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7</w:t>
            </w:r>
          </w:p>
        </w:tc>
        <w:tc>
          <w:tcPr>
            <w:tcW w:w="2419" w:type="dxa"/>
            <w:noWrap/>
            <w:vAlign w:val="center"/>
            <w:hideMark/>
          </w:tcPr>
          <w:p w14:paraId="3767F34E" w14:textId="5EF6B291"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310 778,50</w:t>
            </w:r>
          </w:p>
        </w:tc>
      </w:tr>
      <w:tr w:rsidR="00EB75BE" w:rsidRPr="00714CDB" w14:paraId="11C61EBE" w14:textId="77777777" w:rsidTr="007A458D">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2239ABA3" w14:textId="392D5166" w:rsidR="00714CDB" w:rsidRPr="00534A43" w:rsidRDefault="00714CDB" w:rsidP="007A458D">
            <w:pPr>
              <w:spacing w:after="0" w:line="240" w:lineRule="auto"/>
              <w:rPr>
                <w:b w:val="0"/>
                <w:color w:val="000000"/>
                <w:sz w:val="20"/>
                <w:szCs w:val="20"/>
              </w:rPr>
            </w:pPr>
            <w:r w:rsidRPr="00534A43">
              <w:rPr>
                <w:b w:val="0"/>
                <w:color w:val="000000"/>
                <w:sz w:val="20"/>
                <w:szCs w:val="20"/>
              </w:rPr>
              <w:t>Sekcja E dostawa wody; gospodarowanie ściekami i odpadami oraz działalność związana z rekultywacją</w:t>
            </w:r>
          </w:p>
        </w:tc>
        <w:tc>
          <w:tcPr>
            <w:tcW w:w="983" w:type="dxa"/>
            <w:noWrap/>
            <w:vAlign w:val="center"/>
            <w:hideMark/>
          </w:tcPr>
          <w:p w14:paraId="197A4490"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66</w:t>
            </w:r>
          </w:p>
        </w:tc>
        <w:tc>
          <w:tcPr>
            <w:tcW w:w="2419" w:type="dxa"/>
            <w:noWrap/>
            <w:vAlign w:val="center"/>
            <w:hideMark/>
          </w:tcPr>
          <w:p w14:paraId="02A51292" w14:textId="674E52F6"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5 631 182,98</w:t>
            </w:r>
          </w:p>
        </w:tc>
      </w:tr>
      <w:tr w:rsidR="00714CDB" w:rsidRPr="00714CDB" w14:paraId="1E30B6E1" w14:textId="77777777" w:rsidTr="007A458D">
        <w:trPr>
          <w:trHeight w:val="43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8961F3C"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F Budownictwo</w:t>
            </w:r>
          </w:p>
        </w:tc>
        <w:tc>
          <w:tcPr>
            <w:tcW w:w="983" w:type="dxa"/>
            <w:noWrap/>
            <w:vAlign w:val="center"/>
            <w:hideMark/>
          </w:tcPr>
          <w:p w14:paraId="32394B31"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142</w:t>
            </w:r>
          </w:p>
        </w:tc>
        <w:tc>
          <w:tcPr>
            <w:tcW w:w="2419" w:type="dxa"/>
            <w:noWrap/>
            <w:vAlign w:val="center"/>
            <w:hideMark/>
          </w:tcPr>
          <w:p w14:paraId="5B065D28" w14:textId="7B3F7572"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10 621 640,97</w:t>
            </w:r>
          </w:p>
        </w:tc>
      </w:tr>
      <w:tr w:rsidR="00EB75BE" w:rsidRPr="00714CDB" w14:paraId="08A6B929" w14:textId="77777777" w:rsidTr="007A458D">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4DE48611"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G Handel hurtowy i detaliczny; naprawa pojazdów samochodowych, włączając motocykle</w:t>
            </w:r>
          </w:p>
        </w:tc>
        <w:tc>
          <w:tcPr>
            <w:tcW w:w="983" w:type="dxa"/>
            <w:noWrap/>
            <w:vAlign w:val="center"/>
            <w:hideMark/>
          </w:tcPr>
          <w:p w14:paraId="52F81A15"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460</w:t>
            </w:r>
          </w:p>
        </w:tc>
        <w:tc>
          <w:tcPr>
            <w:tcW w:w="2419" w:type="dxa"/>
            <w:noWrap/>
            <w:vAlign w:val="center"/>
            <w:hideMark/>
          </w:tcPr>
          <w:p w14:paraId="130D84A7" w14:textId="570A8A35"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19 985 262,44</w:t>
            </w:r>
          </w:p>
        </w:tc>
      </w:tr>
      <w:tr w:rsidR="00714CDB" w:rsidRPr="00714CDB" w14:paraId="5DF50925" w14:textId="77777777" w:rsidTr="007A458D">
        <w:trPr>
          <w:trHeight w:val="48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7F1A2019"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t>Sekcja H Transport i gospodarka magazynowa</w:t>
            </w:r>
          </w:p>
        </w:tc>
        <w:tc>
          <w:tcPr>
            <w:tcW w:w="983" w:type="dxa"/>
            <w:noWrap/>
            <w:vAlign w:val="center"/>
            <w:hideMark/>
          </w:tcPr>
          <w:p w14:paraId="284E66DB"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2</w:t>
            </w:r>
          </w:p>
        </w:tc>
        <w:tc>
          <w:tcPr>
            <w:tcW w:w="2419" w:type="dxa"/>
            <w:noWrap/>
            <w:vAlign w:val="center"/>
            <w:hideMark/>
          </w:tcPr>
          <w:p w14:paraId="62CC9821" w14:textId="20217E4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81 893,98</w:t>
            </w:r>
          </w:p>
        </w:tc>
      </w:tr>
      <w:tr w:rsidR="00EB75BE" w:rsidRPr="00714CDB" w14:paraId="050275FB" w14:textId="77777777" w:rsidTr="007A458D">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1C6CC482" w14:textId="77777777" w:rsidR="00714CDB" w:rsidRPr="00534A43" w:rsidRDefault="00714CDB" w:rsidP="007A458D">
            <w:pPr>
              <w:spacing w:after="0" w:line="240" w:lineRule="auto"/>
              <w:rPr>
                <w:b w:val="0"/>
                <w:color w:val="000000"/>
                <w:sz w:val="20"/>
                <w:szCs w:val="20"/>
              </w:rPr>
            </w:pPr>
            <w:r w:rsidRPr="00534A43">
              <w:rPr>
                <w:b w:val="0"/>
                <w:color w:val="000000"/>
                <w:sz w:val="20"/>
                <w:szCs w:val="20"/>
              </w:rPr>
              <w:lastRenderedPageBreak/>
              <w:t>Sekcja I Działalność związana z zakwaterowaniem i usługami gastronomicznymi</w:t>
            </w:r>
          </w:p>
        </w:tc>
        <w:tc>
          <w:tcPr>
            <w:tcW w:w="983" w:type="dxa"/>
            <w:noWrap/>
            <w:vAlign w:val="center"/>
            <w:hideMark/>
          </w:tcPr>
          <w:p w14:paraId="13BB7091"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11</w:t>
            </w:r>
          </w:p>
        </w:tc>
        <w:tc>
          <w:tcPr>
            <w:tcW w:w="2419" w:type="dxa"/>
            <w:noWrap/>
            <w:vAlign w:val="center"/>
            <w:hideMark/>
          </w:tcPr>
          <w:p w14:paraId="18DA2D24" w14:textId="60B68743"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451 784,06</w:t>
            </w:r>
          </w:p>
        </w:tc>
      </w:tr>
      <w:tr w:rsidR="00714CDB" w:rsidRPr="00714CDB" w14:paraId="02D4C87A" w14:textId="77777777" w:rsidTr="007A458D">
        <w:trPr>
          <w:trHeight w:val="45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4A74BEA1" w14:textId="77777777" w:rsidR="00714CDB" w:rsidRPr="007A458D" w:rsidRDefault="00714CDB" w:rsidP="007A458D">
            <w:pPr>
              <w:spacing w:after="0" w:line="240" w:lineRule="auto"/>
              <w:rPr>
                <w:b w:val="0"/>
                <w:color w:val="000000"/>
                <w:sz w:val="20"/>
                <w:szCs w:val="20"/>
              </w:rPr>
            </w:pPr>
            <w:r w:rsidRPr="007A458D">
              <w:rPr>
                <w:b w:val="0"/>
                <w:color w:val="000000"/>
                <w:sz w:val="20"/>
                <w:szCs w:val="20"/>
              </w:rPr>
              <w:t>Sekcja J Informacja i komunikacja</w:t>
            </w:r>
          </w:p>
        </w:tc>
        <w:tc>
          <w:tcPr>
            <w:tcW w:w="983" w:type="dxa"/>
            <w:noWrap/>
            <w:vAlign w:val="center"/>
            <w:hideMark/>
          </w:tcPr>
          <w:p w14:paraId="7BC1F2E9"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132</w:t>
            </w:r>
          </w:p>
        </w:tc>
        <w:tc>
          <w:tcPr>
            <w:tcW w:w="2419" w:type="dxa"/>
            <w:noWrap/>
            <w:vAlign w:val="center"/>
            <w:hideMark/>
          </w:tcPr>
          <w:p w14:paraId="5A90DF56" w14:textId="43DE165F"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6 595 416,73</w:t>
            </w:r>
          </w:p>
        </w:tc>
      </w:tr>
      <w:tr w:rsidR="00EB75BE" w:rsidRPr="00714CDB" w14:paraId="783E4477" w14:textId="77777777" w:rsidTr="007A458D">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381BA8D1" w14:textId="77777777" w:rsidR="00714CDB" w:rsidRPr="007A458D" w:rsidRDefault="00714CDB" w:rsidP="007A458D">
            <w:pPr>
              <w:spacing w:after="0" w:line="240" w:lineRule="auto"/>
              <w:rPr>
                <w:b w:val="0"/>
                <w:color w:val="000000"/>
                <w:sz w:val="20"/>
                <w:szCs w:val="20"/>
              </w:rPr>
            </w:pPr>
            <w:r w:rsidRPr="007A458D">
              <w:rPr>
                <w:b w:val="0"/>
                <w:color w:val="000000"/>
                <w:sz w:val="20"/>
                <w:szCs w:val="20"/>
              </w:rPr>
              <w:t>Sekcja K Działalność finansowa i ubezpieczeniowa</w:t>
            </w:r>
          </w:p>
        </w:tc>
        <w:tc>
          <w:tcPr>
            <w:tcW w:w="983" w:type="dxa"/>
            <w:noWrap/>
            <w:vAlign w:val="center"/>
            <w:hideMark/>
          </w:tcPr>
          <w:p w14:paraId="1828321F"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22</w:t>
            </w:r>
          </w:p>
        </w:tc>
        <w:tc>
          <w:tcPr>
            <w:tcW w:w="2419" w:type="dxa"/>
            <w:noWrap/>
            <w:vAlign w:val="center"/>
            <w:hideMark/>
          </w:tcPr>
          <w:p w14:paraId="591791B9" w14:textId="23F4E54F"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635 042,65</w:t>
            </w:r>
          </w:p>
        </w:tc>
      </w:tr>
      <w:tr w:rsidR="00714CDB" w:rsidRPr="00714CDB" w14:paraId="73C37927" w14:textId="77777777" w:rsidTr="007A458D">
        <w:trPr>
          <w:trHeight w:val="42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07D57668" w14:textId="77777777" w:rsidR="00714CDB" w:rsidRPr="007A458D" w:rsidRDefault="00714CDB" w:rsidP="007A458D">
            <w:pPr>
              <w:spacing w:after="0" w:line="240" w:lineRule="auto"/>
              <w:rPr>
                <w:b w:val="0"/>
                <w:color w:val="000000"/>
                <w:sz w:val="20"/>
                <w:szCs w:val="20"/>
              </w:rPr>
            </w:pPr>
            <w:r w:rsidRPr="007A458D">
              <w:rPr>
                <w:b w:val="0"/>
                <w:color w:val="000000"/>
                <w:sz w:val="20"/>
                <w:szCs w:val="20"/>
              </w:rPr>
              <w:t>Sekcja L Działalność związana z obsługą rynku nieruchomości</w:t>
            </w:r>
          </w:p>
        </w:tc>
        <w:tc>
          <w:tcPr>
            <w:tcW w:w="983" w:type="dxa"/>
            <w:noWrap/>
            <w:vAlign w:val="center"/>
            <w:hideMark/>
          </w:tcPr>
          <w:p w14:paraId="232C19EC"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4</w:t>
            </w:r>
          </w:p>
        </w:tc>
        <w:tc>
          <w:tcPr>
            <w:tcW w:w="2419" w:type="dxa"/>
            <w:noWrap/>
            <w:vAlign w:val="center"/>
            <w:hideMark/>
          </w:tcPr>
          <w:p w14:paraId="6DEB37AA" w14:textId="7B9E95D6"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314 341,85</w:t>
            </w:r>
          </w:p>
        </w:tc>
      </w:tr>
      <w:tr w:rsidR="00EB75BE" w:rsidRPr="00714CDB" w14:paraId="55779C4A" w14:textId="77777777" w:rsidTr="007A458D">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2D0BCBE0" w14:textId="77777777" w:rsidR="00714CDB" w:rsidRPr="007A458D" w:rsidRDefault="00714CDB" w:rsidP="007A458D">
            <w:pPr>
              <w:spacing w:after="0" w:line="240" w:lineRule="auto"/>
              <w:rPr>
                <w:b w:val="0"/>
                <w:color w:val="000000"/>
                <w:sz w:val="20"/>
                <w:szCs w:val="20"/>
              </w:rPr>
            </w:pPr>
            <w:r w:rsidRPr="007A458D">
              <w:rPr>
                <w:b w:val="0"/>
                <w:color w:val="000000"/>
                <w:sz w:val="20"/>
                <w:szCs w:val="20"/>
              </w:rPr>
              <w:t>Sekcja M Działalność profesjonalna, naukowa i techniczna</w:t>
            </w:r>
          </w:p>
        </w:tc>
        <w:tc>
          <w:tcPr>
            <w:tcW w:w="983" w:type="dxa"/>
            <w:noWrap/>
            <w:vAlign w:val="center"/>
            <w:hideMark/>
          </w:tcPr>
          <w:p w14:paraId="389909D9"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196</w:t>
            </w:r>
          </w:p>
        </w:tc>
        <w:tc>
          <w:tcPr>
            <w:tcW w:w="2419" w:type="dxa"/>
            <w:noWrap/>
            <w:vAlign w:val="center"/>
            <w:hideMark/>
          </w:tcPr>
          <w:p w14:paraId="621B8985" w14:textId="75EE49DF"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7 633 272,81</w:t>
            </w:r>
          </w:p>
        </w:tc>
      </w:tr>
      <w:tr w:rsidR="00714CDB" w:rsidRPr="00714CDB" w14:paraId="34A394E4" w14:textId="77777777" w:rsidTr="007A458D">
        <w:trPr>
          <w:trHeight w:val="42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68B3AF14" w14:textId="5194F4A2" w:rsidR="00714CDB" w:rsidRPr="007A458D" w:rsidRDefault="00714CDB" w:rsidP="007A458D">
            <w:pPr>
              <w:spacing w:after="0" w:line="240" w:lineRule="auto"/>
              <w:rPr>
                <w:b w:val="0"/>
                <w:color w:val="000000"/>
                <w:sz w:val="20"/>
                <w:szCs w:val="20"/>
              </w:rPr>
            </w:pPr>
            <w:r w:rsidRPr="007A458D">
              <w:rPr>
                <w:b w:val="0"/>
                <w:color w:val="000000"/>
                <w:sz w:val="20"/>
                <w:szCs w:val="20"/>
              </w:rPr>
              <w:t>Sekcja P Edukacja</w:t>
            </w:r>
          </w:p>
        </w:tc>
        <w:tc>
          <w:tcPr>
            <w:tcW w:w="983" w:type="dxa"/>
            <w:noWrap/>
            <w:vAlign w:val="center"/>
            <w:hideMark/>
          </w:tcPr>
          <w:p w14:paraId="50507732"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21</w:t>
            </w:r>
          </w:p>
        </w:tc>
        <w:tc>
          <w:tcPr>
            <w:tcW w:w="2419" w:type="dxa"/>
            <w:noWrap/>
            <w:vAlign w:val="center"/>
            <w:hideMark/>
          </w:tcPr>
          <w:p w14:paraId="39F98657" w14:textId="0F66EA5A"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1 061 277,83</w:t>
            </w:r>
          </w:p>
        </w:tc>
      </w:tr>
      <w:tr w:rsidR="00EB75BE" w:rsidRPr="00714CDB" w14:paraId="3189B4D2" w14:textId="77777777" w:rsidTr="007A458D">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0293CE24" w14:textId="77777777" w:rsidR="00714CDB" w:rsidRPr="007A458D" w:rsidRDefault="00714CDB" w:rsidP="007A458D">
            <w:pPr>
              <w:spacing w:after="0" w:line="240" w:lineRule="auto"/>
              <w:rPr>
                <w:b w:val="0"/>
                <w:color w:val="000000"/>
                <w:sz w:val="20"/>
                <w:szCs w:val="20"/>
              </w:rPr>
            </w:pPr>
            <w:r w:rsidRPr="007A458D">
              <w:rPr>
                <w:b w:val="0"/>
                <w:color w:val="000000"/>
                <w:sz w:val="20"/>
                <w:szCs w:val="20"/>
              </w:rPr>
              <w:t>Sekcja Q Opieka zdrowotna i pomoc społeczna</w:t>
            </w:r>
          </w:p>
        </w:tc>
        <w:tc>
          <w:tcPr>
            <w:tcW w:w="983" w:type="dxa"/>
            <w:noWrap/>
            <w:vAlign w:val="center"/>
            <w:hideMark/>
          </w:tcPr>
          <w:p w14:paraId="7B57F059"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288</w:t>
            </w:r>
          </w:p>
        </w:tc>
        <w:tc>
          <w:tcPr>
            <w:tcW w:w="2419" w:type="dxa"/>
            <w:noWrap/>
            <w:vAlign w:val="center"/>
            <w:hideMark/>
          </w:tcPr>
          <w:p w14:paraId="77AC8C27" w14:textId="7F9CCFC6"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13 405 520,82</w:t>
            </w:r>
          </w:p>
        </w:tc>
      </w:tr>
      <w:tr w:rsidR="00714CDB" w:rsidRPr="00714CDB" w14:paraId="47C425AC" w14:textId="77777777" w:rsidTr="007A458D">
        <w:trPr>
          <w:trHeight w:val="431"/>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0AEAB17C" w14:textId="77777777" w:rsidR="00714CDB" w:rsidRPr="007A458D" w:rsidRDefault="00714CDB" w:rsidP="007A458D">
            <w:pPr>
              <w:spacing w:after="0" w:line="240" w:lineRule="auto"/>
              <w:rPr>
                <w:b w:val="0"/>
                <w:color w:val="000000"/>
                <w:sz w:val="20"/>
                <w:szCs w:val="20"/>
              </w:rPr>
            </w:pPr>
            <w:r w:rsidRPr="007A458D">
              <w:rPr>
                <w:b w:val="0"/>
                <w:color w:val="000000"/>
                <w:sz w:val="20"/>
                <w:szCs w:val="20"/>
              </w:rPr>
              <w:t>Sekcja R Działalność związana z kulturą, rozrywką i rekreacją</w:t>
            </w:r>
          </w:p>
        </w:tc>
        <w:tc>
          <w:tcPr>
            <w:tcW w:w="983" w:type="dxa"/>
            <w:noWrap/>
            <w:vAlign w:val="center"/>
            <w:hideMark/>
          </w:tcPr>
          <w:p w14:paraId="68A7A9AD" w14:textId="77777777"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12</w:t>
            </w:r>
          </w:p>
        </w:tc>
        <w:tc>
          <w:tcPr>
            <w:tcW w:w="2419" w:type="dxa"/>
            <w:noWrap/>
            <w:vAlign w:val="center"/>
            <w:hideMark/>
          </w:tcPr>
          <w:p w14:paraId="03254491" w14:textId="35B2FC9E" w:rsidR="00714CDB" w:rsidRPr="00714CDB" w:rsidRDefault="00714CDB"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14CDB">
              <w:rPr>
                <w:color w:val="000000"/>
                <w:sz w:val="20"/>
                <w:szCs w:val="20"/>
              </w:rPr>
              <w:t>378 240,51</w:t>
            </w:r>
          </w:p>
        </w:tc>
      </w:tr>
      <w:tr w:rsidR="00EB75BE" w:rsidRPr="00714CDB" w14:paraId="178A6877" w14:textId="77777777" w:rsidTr="007A458D">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6232" w:type="dxa"/>
            <w:vAlign w:val="center"/>
            <w:hideMark/>
          </w:tcPr>
          <w:p w14:paraId="4AE61DC3" w14:textId="2E921590" w:rsidR="00714CDB" w:rsidRPr="007A458D" w:rsidRDefault="00714CDB" w:rsidP="007A458D">
            <w:pPr>
              <w:spacing w:after="0" w:line="240" w:lineRule="auto"/>
              <w:rPr>
                <w:b w:val="0"/>
                <w:color w:val="000000"/>
                <w:sz w:val="20"/>
                <w:szCs w:val="20"/>
              </w:rPr>
            </w:pPr>
            <w:r w:rsidRPr="007A458D">
              <w:rPr>
                <w:b w:val="0"/>
                <w:color w:val="000000"/>
                <w:sz w:val="20"/>
                <w:szCs w:val="20"/>
              </w:rPr>
              <w:t>Sekcja S Pozostała działalność usługowa</w:t>
            </w:r>
          </w:p>
        </w:tc>
        <w:tc>
          <w:tcPr>
            <w:tcW w:w="983" w:type="dxa"/>
            <w:noWrap/>
            <w:vAlign w:val="center"/>
            <w:hideMark/>
          </w:tcPr>
          <w:p w14:paraId="7910B05B" w14:textId="77777777"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60</w:t>
            </w:r>
          </w:p>
        </w:tc>
        <w:tc>
          <w:tcPr>
            <w:tcW w:w="2419" w:type="dxa"/>
            <w:noWrap/>
            <w:vAlign w:val="center"/>
            <w:hideMark/>
          </w:tcPr>
          <w:p w14:paraId="104A9031" w14:textId="24C38362" w:rsidR="00714CDB" w:rsidRPr="00714CDB" w:rsidRDefault="00714CDB"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14CDB">
              <w:rPr>
                <w:color w:val="000000"/>
                <w:sz w:val="20"/>
                <w:szCs w:val="20"/>
              </w:rPr>
              <w:t>2 494 226,25</w:t>
            </w:r>
          </w:p>
        </w:tc>
      </w:tr>
    </w:tbl>
    <w:p w14:paraId="00D5956B" w14:textId="77777777" w:rsidR="00714CDB" w:rsidRDefault="00714CDB" w:rsidP="00C60D08">
      <w:pPr>
        <w:spacing w:before="240" w:after="240"/>
        <w:contextualSpacing/>
        <w:jc w:val="both"/>
        <w:rPr>
          <w:b/>
          <w:szCs w:val="24"/>
          <w:lang w:eastAsia="ar-SA"/>
        </w:rPr>
      </w:pPr>
    </w:p>
    <w:p w14:paraId="5630DF26" w14:textId="77777777" w:rsidR="00C60D08" w:rsidRPr="00126975" w:rsidRDefault="00C60D08" w:rsidP="00126975">
      <w:pPr>
        <w:pStyle w:val="Akapitzlist"/>
        <w:numPr>
          <w:ilvl w:val="0"/>
          <w:numId w:val="105"/>
        </w:numPr>
        <w:spacing w:before="120" w:after="240"/>
        <w:jc w:val="both"/>
        <w:rPr>
          <w:szCs w:val="24"/>
          <w:lang w:eastAsia="ar-SA"/>
        </w:rPr>
      </w:pPr>
      <w:r w:rsidRPr="00126975">
        <w:rPr>
          <w:b/>
          <w:szCs w:val="24"/>
          <w:lang w:eastAsia="ar-SA"/>
        </w:rPr>
        <w:t>Projekty w podziale na formy prawne beneficjentów</w:t>
      </w:r>
    </w:p>
    <w:p w14:paraId="2BED891A" w14:textId="7D11B178" w:rsidR="00C60D08" w:rsidRDefault="00C60D08" w:rsidP="00C60D08">
      <w:pPr>
        <w:autoSpaceDE w:val="0"/>
        <w:autoSpaceDN w:val="0"/>
        <w:adjustRightInd w:val="0"/>
        <w:spacing w:after="0"/>
        <w:jc w:val="both"/>
        <w:rPr>
          <w:rFonts w:eastAsia="Calibri"/>
          <w:szCs w:val="24"/>
        </w:rPr>
      </w:pPr>
      <w:r w:rsidRPr="00C60D08">
        <w:rPr>
          <w:rFonts w:eastAsia="Calibri"/>
          <w:szCs w:val="24"/>
        </w:rPr>
        <w:t>Analizując rozkład udzielonego wsparcia według typu beneficjentów, najszersze grono odbiorców</w:t>
      </w:r>
      <w:r w:rsidR="00C77311">
        <w:rPr>
          <w:rFonts w:eastAsia="Calibri"/>
          <w:szCs w:val="24"/>
        </w:rPr>
        <w:t>,</w:t>
      </w:r>
      <w:r w:rsidRPr="00C60D08">
        <w:rPr>
          <w:rFonts w:eastAsia="Calibri"/>
          <w:szCs w:val="24"/>
        </w:rPr>
        <w:t xml:space="preserve"> zarówno pod względem liczby projektów, które otrzymały dofinansowanie</w:t>
      </w:r>
      <w:r w:rsidR="00C77311">
        <w:rPr>
          <w:rFonts w:eastAsia="Calibri"/>
          <w:szCs w:val="24"/>
        </w:rPr>
        <w:t>,</w:t>
      </w:r>
      <w:r w:rsidRPr="00C60D08">
        <w:rPr>
          <w:rFonts w:eastAsia="Calibri"/>
          <w:szCs w:val="24"/>
        </w:rPr>
        <w:t xml:space="preserve"> jak również wartości</w:t>
      </w:r>
      <w:r w:rsidR="00C77311">
        <w:rPr>
          <w:rFonts w:eastAsia="Calibri"/>
          <w:szCs w:val="24"/>
        </w:rPr>
        <w:t>,</w:t>
      </w:r>
      <w:r w:rsidRPr="00C60D08">
        <w:rPr>
          <w:rFonts w:eastAsia="Calibri"/>
          <w:szCs w:val="24"/>
        </w:rPr>
        <w:t xml:space="preserve"> stanowią </w:t>
      </w:r>
      <w:r w:rsidRPr="00C60D08">
        <w:rPr>
          <w:rFonts w:eastAsia="Calibri"/>
          <w:bCs/>
          <w:szCs w:val="24"/>
        </w:rPr>
        <w:t>przedsi</w:t>
      </w:r>
      <w:r w:rsidRPr="00C60D08">
        <w:rPr>
          <w:rFonts w:eastAsia="Calibri"/>
          <w:szCs w:val="24"/>
        </w:rPr>
        <w:t>ę</w:t>
      </w:r>
      <w:r w:rsidRPr="00C60D08">
        <w:rPr>
          <w:rFonts w:eastAsia="Calibri"/>
          <w:bCs/>
          <w:szCs w:val="24"/>
        </w:rPr>
        <w:t>biorcy</w:t>
      </w:r>
      <w:r w:rsidR="00C77311">
        <w:rPr>
          <w:rFonts w:eastAsia="Calibri"/>
          <w:bCs/>
          <w:szCs w:val="24"/>
        </w:rPr>
        <w:t xml:space="preserve"> – </w:t>
      </w:r>
      <w:r w:rsidRPr="00C60D08">
        <w:rPr>
          <w:rFonts w:eastAsia="Calibri"/>
          <w:bCs/>
          <w:szCs w:val="24"/>
        </w:rPr>
        <w:t>odpowiednio</w:t>
      </w:r>
      <w:r w:rsidR="00C77311">
        <w:rPr>
          <w:rFonts w:eastAsia="Calibri"/>
          <w:bCs/>
          <w:szCs w:val="24"/>
        </w:rPr>
        <w:t xml:space="preserve"> </w:t>
      </w:r>
      <w:r w:rsidR="005A05B6">
        <w:rPr>
          <w:rFonts w:eastAsia="Calibri"/>
          <w:szCs w:val="24"/>
        </w:rPr>
        <w:t>92% i 70</w:t>
      </w:r>
      <w:r w:rsidRPr="00C60D08">
        <w:rPr>
          <w:rFonts w:eastAsia="Calibri"/>
          <w:szCs w:val="24"/>
        </w:rPr>
        <w:t xml:space="preserve">%. Powyższa sytuacja </w:t>
      </w:r>
      <w:r w:rsidR="007A458D">
        <w:rPr>
          <w:rFonts w:eastAsia="Calibri"/>
          <w:szCs w:val="24"/>
        </w:rPr>
        <w:t>była</w:t>
      </w:r>
      <w:r w:rsidRPr="00C60D08">
        <w:rPr>
          <w:rFonts w:eastAsia="Calibri"/>
          <w:szCs w:val="24"/>
        </w:rPr>
        <w:t xml:space="preserve"> wynikiem przeznaczenia 52% środków z priorytetu I dla stworzenia silnego i stabilnego sektora MSP w regionie. Pona</w:t>
      </w:r>
      <w:r w:rsidR="00751CC3">
        <w:rPr>
          <w:rFonts w:eastAsia="Calibri"/>
          <w:szCs w:val="24"/>
        </w:rPr>
        <w:t>dto, przedsiębiorcy mieli</w:t>
      </w:r>
      <w:r w:rsidRPr="00C60D08">
        <w:rPr>
          <w:rFonts w:eastAsia="Calibri"/>
          <w:szCs w:val="24"/>
        </w:rPr>
        <w:t xml:space="preserve"> możliwość skorzystania z pośredniego wsparcia w postaci pożyczek i poręczeń w ramach instrumentów inżynierii finansowej, na które przeznaczono ponad 16,10 mln EUR. </w:t>
      </w:r>
    </w:p>
    <w:p w14:paraId="5E631391" w14:textId="77777777" w:rsidR="00C60D08" w:rsidRPr="00C60D08" w:rsidRDefault="00C60D08" w:rsidP="00C60D08">
      <w:pPr>
        <w:autoSpaceDE w:val="0"/>
        <w:autoSpaceDN w:val="0"/>
        <w:adjustRightInd w:val="0"/>
        <w:spacing w:after="0"/>
        <w:jc w:val="both"/>
        <w:rPr>
          <w:rFonts w:eastAsia="Calibri"/>
          <w:szCs w:val="24"/>
        </w:rPr>
      </w:pPr>
    </w:p>
    <w:p w14:paraId="52B16B2F" w14:textId="7FFD1F1F" w:rsidR="00C60D08" w:rsidRPr="00C60D08" w:rsidRDefault="00C60D08" w:rsidP="00C60D08">
      <w:pPr>
        <w:spacing w:before="120" w:line="240" w:lineRule="auto"/>
        <w:jc w:val="both"/>
        <w:rPr>
          <w:rFonts w:eastAsia="Calibri"/>
          <w:b/>
          <w:bCs/>
          <w:i/>
          <w:szCs w:val="24"/>
        </w:rPr>
      </w:pPr>
      <w:r>
        <w:rPr>
          <w:noProof/>
        </w:rPr>
        <w:drawing>
          <wp:inline distT="0" distB="0" distL="0" distR="0" wp14:anchorId="2C9FEB50" wp14:editId="27871D02">
            <wp:extent cx="5759450" cy="3255645"/>
            <wp:effectExtent l="0" t="0" r="0" b="1905"/>
            <wp:docPr id="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AD7B646" w14:textId="4796D6DC" w:rsidR="0098471F" w:rsidRDefault="0091239F" w:rsidP="0091239F">
      <w:pPr>
        <w:pStyle w:val="Legenda"/>
        <w:rPr>
          <w:b w:val="0"/>
          <w:i/>
          <w:color w:val="auto"/>
          <w:sz w:val="20"/>
          <w:szCs w:val="20"/>
        </w:rPr>
      </w:pPr>
      <w:bookmarkStart w:id="265" w:name="_Toc476832945"/>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27</w:t>
      </w:r>
      <w:r w:rsidR="00A44293" w:rsidRPr="00A44293">
        <w:rPr>
          <w:noProof/>
          <w:color w:val="auto"/>
        </w:rPr>
        <w:fldChar w:fldCharType="end"/>
      </w:r>
      <w:r>
        <w:t xml:space="preserve"> </w:t>
      </w:r>
      <w:r w:rsidR="0098471F" w:rsidRPr="0098471F">
        <w:rPr>
          <w:b w:val="0"/>
          <w:i/>
          <w:color w:val="auto"/>
          <w:sz w:val="20"/>
          <w:szCs w:val="20"/>
        </w:rPr>
        <w:t xml:space="preserve">Rozkład projektów </w:t>
      </w:r>
      <w:r w:rsidR="00B15E47">
        <w:rPr>
          <w:b w:val="0"/>
          <w:i/>
          <w:color w:val="auto"/>
          <w:sz w:val="20"/>
          <w:szCs w:val="20"/>
        </w:rPr>
        <w:t xml:space="preserve">w ramach priorytetu I </w:t>
      </w:r>
      <w:r w:rsidR="0098471F" w:rsidRPr="0098471F">
        <w:rPr>
          <w:b w:val="0"/>
          <w:i/>
          <w:color w:val="auto"/>
          <w:sz w:val="20"/>
          <w:szCs w:val="20"/>
        </w:rPr>
        <w:t>w podziale na beneficjentów</w:t>
      </w:r>
      <w:bookmarkEnd w:id="265"/>
    </w:p>
    <w:p w14:paraId="79730676" w14:textId="77777777" w:rsidR="009364F2" w:rsidRPr="00367271" w:rsidRDefault="009364F2" w:rsidP="00367271">
      <w:pPr>
        <w:rPr>
          <w:b/>
        </w:rPr>
      </w:pPr>
    </w:p>
    <w:p w14:paraId="7B69C183" w14:textId="77777777" w:rsidR="00C60D08" w:rsidRPr="00126975" w:rsidRDefault="00C60D08" w:rsidP="00126975">
      <w:pPr>
        <w:pStyle w:val="Akapitzlist"/>
        <w:numPr>
          <w:ilvl w:val="0"/>
          <w:numId w:val="104"/>
        </w:numPr>
        <w:spacing w:after="120"/>
        <w:jc w:val="both"/>
        <w:rPr>
          <w:b/>
          <w:szCs w:val="24"/>
          <w:lang w:eastAsia="ar-SA"/>
        </w:rPr>
      </w:pPr>
      <w:r w:rsidRPr="00126975">
        <w:rPr>
          <w:b/>
          <w:szCs w:val="24"/>
          <w:lang w:eastAsia="ar-SA"/>
        </w:rPr>
        <w:t>Projekty w podziale na rozkład terytorialny</w:t>
      </w:r>
    </w:p>
    <w:p w14:paraId="464BE540" w14:textId="75CC9DCE" w:rsidR="00C60D08" w:rsidRPr="005B7A56" w:rsidRDefault="00C60D08" w:rsidP="005B7A56">
      <w:pPr>
        <w:spacing w:before="120" w:after="240"/>
        <w:jc w:val="both"/>
      </w:pPr>
      <w:r w:rsidRPr="00C60D08">
        <w:rPr>
          <w:rFonts w:eastAsia="Calibri"/>
          <w:szCs w:val="24"/>
        </w:rPr>
        <w:t xml:space="preserve">Ponad </w:t>
      </w:r>
      <w:r w:rsidRPr="00C60D08">
        <w:rPr>
          <w:rFonts w:eastAsia="Calibri"/>
          <w:bCs/>
          <w:szCs w:val="24"/>
        </w:rPr>
        <w:t>8</w:t>
      </w:r>
      <w:r w:rsidR="0008070E">
        <w:rPr>
          <w:rFonts w:eastAsia="Calibri"/>
          <w:bCs/>
          <w:szCs w:val="24"/>
        </w:rPr>
        <w:t>5</w:t>
      </w:r>
      <w:r w:rsidRPr="00C60D08">
        <w:rPr>
          <w:rFonts w:eastAsia="Calibri"/>
          <w:bCs/>
          <w:szCs w:val="24"/>
        </w:rPr>
        <w:t xml:space="preserve">% </w:t>
      </w:r>
      <w:r w:rsidRPr="00C60D08">
        <w:rPr>
          <w:rFonts w:eastAsia="Calibri"/>
          <w:szCs w:val="24"/>
        </w:rPr>
        <w:t xml:space="preserve">środków skierowanych zostało na realizacje inwestycji na obszarach miejskich, natomiast około </w:t>
      </w:r>
      <w:r w:rsidRPr="00C60D08">
        <w:rPr>
          <w:rFonts w:eastAsia="Calibri"/>
          <w:bCs/>
          <w:szCs w:val="24"/>
        </w:rPr>
        <w:t xml:space="preserve">14% </w:t>
      </w:r>
      <w:r w:rsidR="0008070E">
        <w:rPr>
          <w:rFonts w:eastAsia="Calibri"/>
          <w:szCs w:val="24"/>
        </w:rPr>
        <w:t>na tereny wiejskie</w:t>
      </w:r>
      <w:r w:rsidRPr="00C60D08">
        <w:rPr>
          <w:rFonts w:eastAsia="Calibri"/>
          <w:szCs w:val="24"/>
        </w:rPr>
        <w:t>. Przewaga projektów na obszarach miejskich jest wynikiem dużego zainteresowania przedsiębiorców</w:t>
      </w:r>
      <w:r w:rsidR="0008070E">
        <w:rPr>
          <w:rFonts w:eastAsia="Calibri"/>
          <w:szCs w:val="24"/>
        </w:rPr>
        <w:t>,</w:t>
      </w:r>
      <w:r w:rsidRPr="00C60D08">
        <w:rPr>
          <w:rFonts w:eastAsia="Calibri"/>
          <w:szCs w:val="24"/>
        </w:rPr>
        <w:t xml:space="preserve"> a w miasta</w:t>
      </w:r>
      <w:r w:rsidR="0008070E">
        <w:rPr>
          <w:rFonts w:eastAsia="Calibri"/>
          <w:szCs w:val="24"/>
        </w:rPr>
        <w:t>ch zarówno infrastruktura jak i </w:t>
      </w:r>
      <w:r w:rsidRPr="00C60D08">
        <w:rPr>
          <w:rFonts w:eastAsia="Calibri"/>
          <w:szCs w:val="24"/>
        </w:rPr>
        <w:t xml:space="preserve">poziom kapitału ludzkiego cechuje się </w:t>
      </w:r>
      <w:r w:rsidR="0008070E" w:rsidRPr="00C60D08">
        <w:rPr>
          <w:rFonts w:eastAsia="Calibri"/>
          <w:szCs w:val="24"/>
        </w:rPr>
        <w:t>lepszą jakością</w:t>
      </w:r>
      <w:r w:rsidRPr="00C60D08">
        <w:rPr>
          <w:rFonts w:eastAsia="Calibri"/>
          <w:szCs w:val="24"/>
        </w:rPr>
        <w:t xml:space="preserve"> i jest bardziej dostępna.</w:t>
      </w:r>
      <w:r w:rsidR="005B7A56" w:rsidRPr="005B7A56">
        <w:t xml:space="preserve"> </w:t>
      </w:r>
      <w:r w:rsidR="005B7A56" w:rsidRPr="00A17DBD">
        <w:t>Mniejsza liczba projektów realizowanych na obszarach wiejskich jest również wynikiem linii demarkacyjnej pomiędzy PROW a RPO WSL na lata 2007-2013.</w:t>
      </w:r>
      <w:r w:rsidR="005B7A56" w:rsidRPr="007830E5">
        <w:t xml:space="preserve"> </w:t>
      </w:r>
    </w:p>
    <w:p w14:paraId="68A6986C" w14:textId="672DC888" w:rsidR="00C60D08" w:rsidRPr="005A05B6" w:rsidRDefault="00B66319" w:rsidP="00B66319">
      <w:pPr>
        <w:pStyle w:val="Legenda"/>
        <w:rPr>
          <w:bCs w:val="0"/>
          <w:i/>
          <w:color w:val="auto"/>
          <w:sz w:val="20"/>
          <w:szCs w:val="20"/>
        </w:rPr>
      </w:pPr>
      <w:bookmarkStart w:id="266" w:name="_Toc476131796"/>
      <w:bookmarkStart w:id="267" w:name="_Toc292793717"/>
      <w:bookmarkStart w:id="268" w:name="_Toc292796304"/>
      <w:bookmarkStart w:id="269" w:name="_Toc292796798"/>
      <w:bookmarkStart w:id="270" w:name="_Toc292889108"/>
      <w:bookmarkStart w:id="271" w:name="_Toc295293411"/>
      <w:bookmarkStart w:id="272" w:name="_Toc324853712"/>
      <w:bookmarkStart w:id="273" w:name="_Toc326046368"/>
      <w:bookmarkStart w:id="274" w:name="_Toc355688730"/>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13</w:t>
      </w:r>
      <w:r w:rsidR="00A44293" w:rsidRPr="00A44293">
        <w:rPr>
          <w:noProof/>
          <w:color w:val="auto"/>
        </w:rPr>
        <w:fldChar w:fldCharType="end"/>
      </w:r>
      <w:r w:rsidRPr="00A44293">
        <w:rPr>
          <w:color w:val="auto"/>
        </w:rPr>
        <w:t xml:space="preserve"> </w:t>
      </w:r>
      <w:r w:rsidR="00C60D08" w:rsidRPr="0079769D">
        <w:rPr>
          <w:b w:val="0"/>
          <w:i/>
          <w:color w:val="auto"/>
          <w:sz w:val="20"/>
          <w:szCs w:val="20"/>
        </w:rPr>
        <w:t>Rozkład projektów w ramach priorytetu I w podziale na obszary</w:t>
      </w:r>
      <w:bookmarkEnd w:id="266"/>
      <w:r w:rsidR="00C60D08" w:rsidRPr="0079769D">
        <w:rPr>
          <w:b w:val="0"/>
          <w:i/>
          <w:color w:val="auto"/>
          <w:sz w:val="20"/>
          <w:szCs w:val="20"/>
        </w:rPr>
        <w:t xml:space="preserve"> </w:t>
      </w:r>
      <w:bookmarkEnd w:id="267"/>
      <w:bookmarkEnd w:id="268"/>
      <w:bookmarkEnd w:id="269"/>
      <w:bookmarkEnd w:id="270"/>
      <w:bookmarkEnd w:id="271"/>
      <w:bookmarkEnd w:id="272"/>
      <w:bookmarkEnd w:id="273"/>
      <w:bookmarkEnd w:id="274"/>
    </w:p>
    <w:tbl>
      <w:tblPr>
        <w:tblStyle w:val="Tabelalisty3akcent61"/>
        <w:tblW w:w="5637" w:type="dxa"/>
        <w:jc w:val="center"/>
        <w:tblLook w:val="04A0" w:firstRow="1" w:lastRow="0" w:firstColumn="1" w:lastColumn="0" w:noHBand="0" w:noVBand="1"/>
      </w:tblPr>
      <w:tblGrid>
        <w:gridCol w:w="1660"/>
        <w:gridCol w:w="2117"/>
        <w:gridCol w:w="1860"/>
      </w:tblGrid>
      <w:tr w:rsidR="00C60D08" w:rsidRPr="005A05B6" w14:paraId="3AE95DE0" w14:textId="77777777" w:rsidTr="007A458D">
        <w:trPr>
          <w:cnfStyle w:val="100000000000" w:firstRow="1" w:lastRow="0" w:firstColumn="0" w:lastColumn="0" w:oddVBand="0" w:evenVBand="0" w:oddHBand="0" w:evenHBand="0" w:firstRowFirstColumn="0" w:firstRowLastColumn="0" w:lastRowFirstColumn="0" w:lastRowLastColumn="0"/>
          <w:trHeight w:val="842"/>
          <w:jc w:val="center"/>
        </w:trPr>
        <w:tc>
          <w:tcPr>
            <w:cnfStyle w:val="001000000100" w:firstRow="0" w:lastRow="0" w:firstColumn="1" w:lastColumn="0" w:oddVBand="0" w:evenVBand="0" w:oddHBand="0" w:evenHBand="0" w:firstRowFirstColumn="1" w:firstRowLastColumn="0" w:lastRowFirstColumn="0" w:lastRowLastColumn="0"/>
            <w:tcW w:w="1655" w:type="dxa"/>
            <w:noWrap/>
            <w:vAlign w:val="center"/>
            <w:hideMark/>
          </w:tcPr>
          <w:p w14:paraId="5A324EB6" w14:textId="77777777" w:rsidR="00C60D08" w:rsidRPr="005A05B6" w:rsidRDefault="00C60D08" w:rsidP="007A458D">
            <w:pPr>
              <w:spacing w:after="0" w:line="240" w:lineRule="auto"/>
              <w:jc w:val="center"/>
              <w:rPr>
                <w:color w:val="auto"/>
                <w:sz w:val="20"/>
                <w:szCs w:val="20"/>
              </w:rPr>
            </w:pPr>
            <w:r w:rsidRPr="005A05B6">
              <w:rPr>
                <w:color w:val="auto"/>
                <w:sz w:val="20"/>
                <w:szCs w:val="20"/>
              </w:rPr>
              <w:t>OBSZAR</w:t>
            </w:r>
          </w:p>
        </w:tc>
        <w:tc>
          <w:tcPr>
            <w:tcW w:w="2117" w:type="dxa"/>
            <w:noWrap/>
            <w:vAlign w:val="center"/>
            <w:hideMark/>
          </w:tcPr>
          <w:p w14:paraId="57027009" w14:textId="77777777" w:rsidR="00C60D08" w:rsidRPr="005A05B6" w:rsidRDefault="00C60D08"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5A05B6">
              <w:rPr>
                <w:color w:val="auto"/>
                <w:sz w:val="20"/>
                <w:szCs w:val="20"/>
              </w:rPr>
              <w:t>DOFINANSOWANIE UE W MLN EUR</w:t>
            </w:r>
          </w:p>
        </w:tc>
        <w:tc>
          <w:tcPr>
            <w:tcW w:w="1860" w:type="dxa"/>
            <w:vAlign w:val="center"/>
            <w:hideMark/>
          </w:tcPr>
          <w:p w14:paraId="1390F3E5" w14:textId="51A3B579" w:rsidR="00C60D08" w:rsidRPr="005A05B6" w:rsidRDefault="00C60D08" w:rsidP="007A458D">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5A05B6">
              <w:rPr>
                <w:color w:val="auto"/>
                <w:sz w:val="20"/>
                <w:szCs w:val="20"/>
              </w:rPr>
              <w:t>LICZBA</w:t>
            </w:r>
          </w:p>
        </w:tc>
      </w:tr>
      <w:tr w:rsidR="00C60D08" w:rsidRPr="005A05B6" w14:paraId="33C950F8" w14:textId="77777777" w:rsidTr="007A458D">
        <w:trPr>
          <w:cnfStyle w:val="000000100000" w:firstRow="0" w:lastRow="0" w:firstColumn="0" w:lastColumn="0" w:oddVBand="0" w:evenVBand="0" w:oddHBand="1" w:evenHBand="0" w:firstRowFirstColumn="0" w:firstRowLastColumn="0" w:lastRowFirstColumn="0" w:lastRowLastColumn="0"/>
          <w:trHeight w:val="407"/>
          <w:jc w:val="center"/>
        </w:trPr>
        <w:tc>
          <w:tcPr>
            <w:cnfStyle w:val="001000000000" w:firstRow="0" w:lastRow="0" w:firstColumn="1" w:lastColumn="0" w:oddVBand="0" w:evenVBand="0" w:oddHBand="0" w:evenHBand="0" w:firstRowFirstColumn="0" w:firstRowLastColumn="0" w:lastRowFirstColumn="0" w:lastRowLastColumn="0"/>
            <w:tcW w:w="1660" w:type="dxa"/>
            <w:vAlign w:val="center"/>
            <w:hideMark/>
          </w:tcPr>
          <w:p w14:paraId="25C3315E" w14:textId="49B11917" w:rsidR="00C60D08" w:rsidRPr="00E76F39" w:rsidRDefault="00534A43" w:rsidP="007A458D">
            <w:pPr>
              <w:spacing w:after="0" w:line="240" w:lineRule="auto"/>
              <w:jc w:val="center"/>
              <w:rPr>
                <w:b w:val="0"/>
                <w:bCs w:val="0"/>
                <w:sz w:val="20"/>
                <w:szCs w:val="20"/>
              </w:rPr>
            </w:pPr>
            <w:r w:rsidRPr="00E76F39">
              <w:rPr>
                <w:b w:val="0"/>
                <w:bCs w:val="0"/>
                <w:sz w:val="20"/>
                <w:szCs w:val="20"/>
              </w:rPr>
              <w:t>Miejski</w:t>
            </w:r>
          </w:p>
        </w:tc>
        <w:tc>
          <w:tcPr>
            <w:tcW w:w="2117" w:type="dxa"/>
            <w:noWrap/>
            <w:vAlign w:val="center"/>
            <w:hideMark/>
          </w:tcPr>
          <w:p w14:paraId="4C49B891" w14:textId="0CC1C750" w:rsidR="00C60D08" w:rsidRPr="005A05B6" w:rsidRDefault="00C2389C"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232,14</w:t>
            </w:r>
          </w:p>
        </w:tc>
        <w:tc>
          <w:tcPr>
            <w:tcW w:w="1860" w:type="dxa"/>
            <w:noWrap/>
            <w:vAlign w:val="center"/>
            <w:hideMark/>
          </w:tcPr>
          <w:p w14:paraId="433A6F36" w14:textId="1FBF6F65" w:rsidR="00C60D08" w:rsidRPr="005A05B6" w:rsidRDefault="00C60D08"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iCs/>
                <w:sz w:val="20"/>
                <w:szCs w:val="20"/>
              </w:rPr>
            </w:pPr>
            <w:r w:rsidRPr="005A05B6">
              <w:rPr>
                <w:iCs/>
                <w:sz w:val="20"/>
                <w:szCs w:val="20"/>
              </w:rPr>
              <w:t>2 8</w:t>
            </w:r>
            <w:r w:rsidR="005A05B6" w:rsidRPr="005A05B6">
              <w:rPr>
                <w:iCs/>
                <w:sz w:val="20"/>
                <w:szCs w:val="20"/>
              </w:rPr>
              <w:t>88</w:t>
            </w:r>
          </w:p>
        </w:tc>
      </w:tr>
      <w:tr w:rsidR="00C60D08" w:rsidRPr="005A05B6" w14:paraId="763CC3D6" w14:textId="77777777" w:rsidTr="007A458D">
        <w:trPr>
          <w:trHeight w:val="412"/>
          <w:jc w:val="center"/>
        </w:trPr>
        <w:tc>
          <w:tcPr>
            <w:cnfStyle w:val="001000000000" w:firstRow="0" w:lastRow="0" w:firstColumn="1" w:lastColumn="0" w:oddVBand="0" w:evenVBand="0" w:oddHBand="0" w:evenHBand="0" w:firstRowFirstColumn="0" w:firstRowLastColumn="0" w:lastRowFirstColumn="0" w:lastRowLastColumn="0"/>
            <w:tcW w:w="1660" w:type="dxa"/>
            <w:vAlign w:val="center"/>
            <w:hideMark/>
          </w:tcPr>
          <w:p w14:paraId="4D341894" w14:textId="1E480726" w:rsidR="00C60D08" w:rsidRPr="00E76F39" w:rsidRDefault="00534A43" w:rsidP="007A458D">
            <w:pPr>
              <w:spacing w:after="0" w:line="240" w:lineRule="auto"/>
              <w:jc w:val="center"/>
              <w:rPr>
                <w:b w:val="0"/>
                <w:bCs w:val="0"/>
                <w:sz w:val="20"/>
                <w:szCs w:val="20"/>
              </w:rPr>
            </w:pPr>
            <w:r w:rsidRPr="00E76F39">
              <w:rPr>
                <w:b w:val="0"/>
                <w:bCs w:val="0"/>
                <w:sz w:val="20"/>
                <w:szCs w:val="20"/>
              </w:rPr>
              <w:t>Wiejski</w:t>
            </w:r>
          </w:p>
        </w:tc>
        <w:tc>
          <w:tcPr>
            <w:tcW w:w="2117" w:type="dxa"/>
            <w:noWrap/>
            <w:vAlign w:val="center"/>
            <w:hideMark/>
          </w:tcPr>
          <w:p w14:paraId="629FC17A" w14:textId="0E9C06C7" w:rsidR="00C60D08" w:rsidRPr="005A05B6" w:rsidRDefault="005A05B6"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5A05B6">
              <w:rPr>
                <w:sz w:val="20"/>
                <w:szCs w:val="20"/>
              </w:rPr>
              <w:t>39,64</w:t>
            </w:r>
          </w:p>
        </w:tc>
        <w:tc>
          <w:tcPr>
            <w:tcW w:w="1860" w:type="dxa"/>
            <w:noWrap/>
            <w:vAlign w:val="center"/>
            <w:hideMark/>
          </w:tcPr>
          <w:p w14:paraId="25CE4BC0" w14:textId="123CF43D" w:rsidR="00C60D08" w:rsidRPr="005A05B6" w:rsidRDefault="005A05B6" w:rsidP="007A458D">
            <w:pPr>
              <w:spacing w:after="0" w:line="240" w:lineRule="auto"/>
              <w:jc w:val="center"/>
              <w:cnfStyle w:val="000000000000" w:firstRow="0" w:lastRow="0" w:firstColumn="0" w:lastColumn="0" w:oddVBand="0" w:evenVBand="0" w:oddHBand="0" w:evenHBand="0" w:firstRowFirstColumn="0" w:firstRowLastColumn="0" w:lastRowFirstColumn="0" w:lastRowLastColumn="0"/>
              <w:rPr>
                <w:iCs/>
                <w:sz w:val="20"/>
                <w:szCs w:val="20"/>
              </w:rPr>
            </w:pPr>
            <w:r w:rsidRPr="005A05B6">
              <w:rPr>
                <w:iCs/>
                <w:sz w:val="20"/>
                <w:szCs w:val="20"/>
              </w:rPr>
              <w:t>361</w:t>
            </w:r>
          </w:p>
        </w:tc>
      </w:tr>
      <w:tr w:rsidR="00C60D08" w:rsidRPr="005A05B6" w14:paraId="1BEEDC23" w14:textId="77777777" w:rsidTr="007A458D">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1660" w:type="dxa"/>
            <w:vAlign w:val="center"/>
            <w:hideMark/>
          </w:tcPr>
          <w:p w14:paraId="1431E6B3" w14:textId="2AD24D71" w:rsidR="00C60D08" w:rsidRPr="00E76F39" w:rsidRDefault="00534A43" w:rsidP="007A458D">
            <w:pPr>
              <w:spacing w:after="0" w:line="240" w:lineRule="auto"/>
              <w:jc w:val="center"/>
              <w:rPr>
                <w:b w:val="0"/>
                <w:bCs w:val="0"/>
                <w:sz w:val="20"/>
                <w:szCs w:val="20"/>
              </w:rPr>
            </w:pPr>
            <w:r w:rsidRPr="00E76F39">
              <w:rPr>
                <w:b w:val="0"/>
                <w:bCs w:val="0"/>
                <w:sz w:val="20"/>
                <w:szCs w:val="20"/>
              </w:rPr>
              <w:t>Górski</w:t>
            </w:r>
          </w:p>
        </w:tc>
        <w:tc>
          <w:tcPr>
            <w:tcW w:w="2117" w:type="dxa"/>
            <w:noWrap/>
            <w:vAlign w:val="center"/>
            <w:hideMark/>
          </w:tcPr>
          <w:p w14:paraId="596C218A" w14:textId="78D2A558" w:rsidR="00C60D08" w:rsidRPr="005A05B6" w:rsidRDefault="005A05B6"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5A05B6">
              <w:rPr>
                <w:sz w:val="20"/>
                <w:szCs w:val="20"/>
              </w:rPr>
              <w:t>1,73</w:t>
            </w:r>
          </w:p>
        </w:tc>
        <w:tc>
          <w:tcPr>
            <w:tcW w:w="1860" w:type="dxa"/>
            <w:noWrap/>
            <w:vAlign w:val="center"/>
            <w:hideMark/>
          </w:tcPr>
          <w:p w14:paraId="244F9409" w14:textId="4C09C202" w:rsidR="00C60D08" w:rsidRPr="005A05B6" w:rsidRDefault="00C2389C" w:rsidP="007A458D">
            <w:pPr>
              <w:spacing w:after="0" w:line="240" w:lineRule="auto"/>
              <w:jc w:val="center"/>
              <w:cnfStyle w:val="000000100000" w:firstRow="0" w:lastRow="0" w:firstColumn="0" w:lastColumn="0" w:oddVBand="0" w:evenVBand="0" w:oddHBand="1" w:evenHBand="0" w:firstRowFirstColumn="0" w:firstRowLastColumn="0" w:lastRowFirstColumn="0" w:lastRowLastColumn="0"/>
              <w:rPr>
                <w:iCs/>
                <w:sz w:val="20"/>
                <w:szCs w:val="20"/>
              </w:rPr>
            </w:pPr>
            <w:r>
              <w:rPr>
                <w:iCs/>
                <w:sz w:val="20"/>
                <w:szCs w:val="20"/>
              </w:rPr>
              <w:t>11</w:t>
            </w:r>
          </w:p>
        </w:tc>
      </w:tr>
    </w:tbl>
    <w:p w14:paraId="357FED67" w14:textId="77777777" w:rsidR="00C60D08" w:rsidRPr="00C60D08" w:rsidRDefault="00C60D08" w:rsidP="00C60D08">
      <w:pPr>
        <w:tabs>
          <w:tab w:val="left" w:pos="1276"/>
        </w:tabs>
        <w:autoSpaceDE w:val="0"/>
        <w:autoSpaceDN w:val="0"/>
        <w:adjustRightInd w:val="0"/>
        <w:spacing w:after="120"/>
        <w:jc w:val="both"/>
        <w:rPr>
          <w:szCs w:val="24"/>
        </w:rPr>
      </w:pPr>
    </w:p>
    <w:p w14:paraId="659F5D88" w14:textId="38E599A2" w:rsidR="00556BA1" w:rsidRPr="00D30576" w:rsidRDefault="005A05B6" w:rsidP="00556BA1">
      <w:pPr>
        <w:spacing w:after="120"/>
        <w:jc w:val="both"/>
        <w:rPr>
          <w:szCs w:val="24"/>
          <w:lang w:eastAsia="ar-SA"/>
        </w:rPr>
      </w:pPr>
      <w:r w:rsidRPr="00C60D08">
        <w:rPr>
          <w:szCs w:val="24"/>
        </w:rPr>
        <w:t>Wsparcie w ramach priorytetu I pozyskali głównie beneficjenci z centrum i południa województwa.</w:t>
      </w:r>
      <w:r>
        <w:rPr>
          <w:szCs w:val="24"/>
        </w:rPr>
        <w:t xml:space="preserve"> </w:t>
      </w:r>
      <w:r w:rsidR="0079769D">
        <w:rPr>
          <w:szCs w:val="24"/>
        </w:rPr>
        <w:t>Największymi beneficjentami z subregionu centralnego były Katowice, które otrzymały dofinansowanie równe 42,02 mln EUR oraz Zabrze z kwotą 21,37 mln EUR. Liderami w subregionie południowym był powiat bielski z kwotą dofinasowania 19,75 mln EUR oraz Bielsko – Biała z kwotą dofinansowania 19,09 mln EUR.</w:t>
      </w:r>
      <w:r w:rsidR="00556BA1" w:rsidRPr="00556BA1">
        <w:rPr>
          <w:szCs w:val="24"/>
          <w:lang w:eastAsia="ar-SA"/>
        </w:rPr>
        <w:t xml:space="preserve"> </w:t>
      </w:r>
      <w:r w:rsidR="00B8015D">
        <w:rPr>
          <w:szCs w:val="24"/>
          <w:lang w:eastAsia="ar-SA"/>
        </w:rPr>
        <w:t>Po przeciwnej stronie z </w:t>
      </w:r>
      <w:r w:rsidR="00556BA1" w:rsidRPr="00D30576">
        <w:rPr>
          <w:szCs w:val="24"/>
          <w:lang w:eastAsia="ar-SA"/>
        </w:rPr>
        <w:t xml:space="preserve">umowami opiewającymi na kwotę nieprzekraczającą 0,5 mln EUR jest powiat rybnicki. </w:t>
      </w:r>
    </w:p>
    <w:p w14:paraId="54CF04D1" w14:textId="77777777" w:rsidR="00DD2AE5" w:rsidRDefault="00DD2AE5" w:rsidP="00DD2AE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07C35539" w14:textId="6FC1114C" w:rsidR="00C60D08" w:rsidRPr="00C60D08" w:rsidRDefault="005A05B6" w:rsidP="00C60D08">
      <w:pPr>
        <w:tabs>
          <w:tab w:val="left" w:pos="1276"/>
        </w:tabs>
        <w:autoSpaceDE w:val="0"/>
        <w:autoSpaceDN w:val="0"/>
        <w:adjustRightInd w:val="0"/>
        <w:spacing w:after="120"/>
        <w:jc w:val="both"/>
        <w:rPr>
          <w:szCs w:val="24"/>
        </w:rPr>
      </w:pPr>
      <w:r w:rsidRPr="005A05B6">
        <w:rPr>
          <w:noProof/>
          <w:szCs w:val="24"/>
        </w:rPr>
        <w:lastRenderedPageBreak/>
        <w:drawing>
          <wp:inline distT="0" distB="0" distL="0" distR="0" wp14:anchorId="5EDB771C" wp14:editId="71CE5C3A">
            <wp:extent cx="5759450" cy="8139552"/>
            <wp:effectExtent l="0" t="0" r="0" b="0"/>
            <wp:docPr id="9" name="Obraz 9" descr="W:\RRF\!Zespół ds monitoringu\Perspektywa 2007-2013\Sprawozdanie końcowe\Piotr\mapki\P1\P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RRF\!Zespół ds monitoringu\Perspektywa 2007-2013\Sprawozdanie końcowe\Piotr\mapki\P1\P1.jpe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9450" cy="8139552"/>
                    </a:xfrm>
                    <a:prstGeom prst="rect">
                      <a:avLst/>
                    </a:prstGeom>
                    <a:noFill/>
                    <a:ln>
                      <a:noFill/>
                    </a:ln>
                  </pic:spPr>
                </pic:pic>
              </a:graphicData>
            </a:graphic>
          </wp:inline>
        </w:drawing>
      </w:r>
    </w:p>
    <w:p w14:paraId="5DF03315" w14:textId="58964F2B" w:rsidR="00C825DF" w:rsidRDefault="00B66319" w:rsidP="002B1B7D">
      <w:pPr>
        <w:pStyle w:val="Legenda"/>
        <w:rPr>
          <w:b w:val="0"/>
          <w:i/>
          <w:color w:val="auto"/>
          <w:sz w:val="20"/>
          <w:szCs w:val="20"/>
        </w:rPr>
      </w:pPr>
      <w:bookmarkStart w:id="275" w:name="_Toc476832946"/>
      <w:r w:rsidRPr="00A44293">
        <w:rPr>
          <w:color w:val="auto"/>
        </w:rPr>
        <w:t xml:space="preserve">Rysunek </w:t>
      </w:r>
      <w:r w:rsidR="00A44293" w:rsidRPr="00A44293">
        <w:fldChar w:fldCharType="begin"/>
      </w:r>
      <w:r w:rsidR="00A44293" w:rsidRPr="00A44293">
        <w:rPr>
          <w:color w:val="auto"/>
        </w:rPr>
        <w:instrText xml:space="preserve"> SEQ Rysunek \* ARABIC </w:instrText>
      </w:r>
      <w:r w:rsidR="00A44293" w:rsidRPr="00A44293">
        <w:fldChar w:fldCharType="separate"/>
      </w:r>
      <w:r w:rsidR="0050297D">
        <w:rPr>
          <w:noProof/>
          <w:color w:val="auto"/>
        </w:rPr>
        <w:t>28</w:t>
      </w:r>
      <w:r w:rsidR="00A44293" w:rsidRPr="00A44293">
        <w:rPr>
          <w:noProof/>
        </w:rPr>
        <w:fldChar w:fldCharType="end"/>
      </w:r>
      <w:r>
        <w:t xml:space="preserve"> </w:t>
      </w:r>
      <w:r w:rsidR="005A05B6" w:rsidRPr="005A05B6">
        <w:rPr>
          <w:b w:val="0"/>
          <w:i/>
          <w:color w:val="auto"/>
          <w:sz w:val="20"/>
          <w:szCs w:val="20"/>
        </w:rPr>
        <w:t xml:space="preserve">Rozkład projektów </w:t>
      </w:r>
      <w:r w:rsidR="00B15E47">
        <w:rPr>
          <w:b w:val="0"/>
          <w:i/>
          <w:color w:val="auto"/>
          <w:sz w:val="20"/>
          <w:szCs w:val="20"/>
        </w:rPr>
        <w:t xml:space="preserve">w ramach priorytetu I </w:t>
      </w:r>
      <w:r w:rsidR="005A05B6" w:rsidRPr="005A05B6">
        <w:rPr>
          <w:b w:val="0"/>
          <w:i/>
          <w:color w:val="auto"/>
          <w:sz w:val="20"/>
          <w:szCs w:val="20"/>
        </w:rPr>
        <w:t>w podziale na powiat</w:t>
      </w:r>
      <w:bookmarkEnd w:id="275"/>
    </w:p>
    <w:p w14:paraId="5E5E0944" w14:textId="34685E29" w:rsidR="0079769D" w:rsidRPr="00C825DF" w:rsidRDefault="00C825DF" w:rsidP="00C825DF">
      <w:pPr>
        <w:spacing w:after="0" w:line="240" w:lineRule="auto"/>
        <w:rPr>
          <w:bCs/>
          <w:i/>
          <w:sz w:val="20"/>
          <w:szCs w:val="20"/>
        </w:rPr>
      </w:pPr>
      <w:r>
        <w:rPr>
          <w:b/>
          <w:i/>
          <w:sz w:val="20"/>
          <w:szCs w:val="20"/>
        </w:rPr>
        <w:br w:type="page"/>
      </w:r>
    </w:p>
    <w:p w14:paraId="6BA92626" w14:textId="77777777" w:rsidR="00C60D08" w:rsidRPr="00126975" w:rsidRDefault="00C60D08" w:rsidP="00126975">
      <w:pPr>
        <w:pStyle w:val="Akapitzlist"/>
        <w:numPr>
          <w:ilvl w:val="0"/>
          <w:numId w:val="103"/>
        </w:numPr>
        <w:spacing w:after="120"/>
        <w:jc w:val="both"/>
        <w:rPr>
          <w:b/>
          <w:szCs w:val="24"/>
          <w:lang w:eastAsia="ar-SA"/>
        </w:rPr>
      </w:pPr>
      <w:r w:rsidRPr="00126975">
        <w:rPr>
          <w:b/>
          <w:szCs w:val="24"/>
          <w:lang w:eastAsia="ar-SA"/>
        </w:rPr>
        <w:lastRenderedPageBreak/>
        <w:t>Projekty w podziale na obszary wsparcia</w:t>
      </w:r>
    </w:p>
    <w:p w14:paraId="532973B8" w14:textId="6F0C4A53" w:rsidR="00C60D08" w:rsidRPr="00C60D08" w:rsidRDefault="00C60D08" w:rsidP="00C60D08">
      <w:pPr>
        <w:spacing w:after="120"/>
        <w:jc w:val="both"/>
        <w:rPr>
          <w:szCs w:val="24"/>
          <w:lang w:eastAsia="ar-SA"/>
        </w:rPr>
      </w:pPr>
      <w:r w:rsidRPr="00C60D08">
        <w:rPr>
          <w:szCs w:val="24"/>
          <w:lang w:eastAsia="ar-SA"/>
        </w:rPr>
        <w:t xml:space="preserve">W priorytecie I wszystkie projekty realizowane </w:t>
      </w:r>
      <w:r w:rsidR="007A458D">
        <w:rPr>
          <w:szCs w:val="24"/>
          <w:lang w:eastAsia="ar-SA"/>
        </w:rPr>
        <w:t xml:space="preserve">były </w:t>
      </w:r>
      <w:r w:rsidRPr="00C60D08">
        <w:rPr>
          <w:szCs w:val="24"/>
          <w:lang w:eastAsia="ar-SA"/>
        </w:rPr>
        <w:t xml:space="preserve">w ramach obszaru wsparcia przedsiębiorczość. </w:t>
      </w:r>
      <w:r w:rsidRPr="00C60D08">
        <w:rPr>
          <w:szCs w:val="24"/>
        </w:rPr>
        <w:t xml:space="preserve">Działania podejmowane w ramach priorytetu </w:t>
      </w:r>
      <w:r w:rsidR="007A458D">
        <w:rPr>
          <w:szCs w:val="24"/>
        </w:rPr>
        <w:t>były</w:t>
      </w:r>
      <w:r w:rsidRPr="00C60D08">
        <w:rPr>
          <w:szCs w:val="24"/>
        </w:rPr>
        <w:t xml:space="preserve"> powiązane z działaniami realizowanymi w ramach </w:t>
      </w:r>
      <w:r w:rsidRPr="00C60D08">
        <w:rPr>
          <w:i/>
          <w:szCs w:val="24"/>
        </w:rPr>
        <w:t>Programu Innowacyjna Gospodarka, Kapitał Ludzi, Zrównoważony Rozwój Sektora Rybołówstwa i Przybrzeżnych Obszarów Rybackich oraz Programu Rozwoju Obszarów Wiejskich</w:t>
      </w:r>
      <w:r w:rsidRPr="00C60D08">
        <w:rPr>
          <w:szCs w:val="24"/>
        </w:rPr>
        <w:t xml:space="preserve"> (komplementarność międzyprogramowa).</w:t>
      </w:r>
    </w:p>
    <w:p w14:paraId="619C400C" w14:textId="6B385F60" w:rsidR="0086566F" w:rsidRPr="0086566F" w:rsidRDefault="0086566F" w:rsidP="0086566F">
      <w:pPr>
        <w:tabs>
          <w:tab w:val="left" w:pos="1276"/>
        </w:tabs>
        <w:autoSpaceDE w:val="0"/>
        <w:autoSpaceDN w:val="0"/>
        <w:adjustRightInd w:val="0"/>
        <w:spacing w:after="120"/>
        <w:jc w:val="both"/>
        <w:rPr>
          <w:b/>
          <w:szCs w:val="24"/>
        </w:rPr>
      </w:pPr>
      <w:r w:rsidRPr="0086566F">
        <w:rPr>
          <w:b/>
          <w:szCs w:val="24"/>
        </w:rPr>
        <w:t xml:space="preserve">Analiza </w:t>
      </w:r>
      <w:r w:rsidR="00DF7ADF">
        <w:rPr>
          <w:b/>
          <w:szCs w:val="24"/>
        </w:rPr>
        <w:t>postępu rzeczowego</w:t>
      </w:r>
    </w:p>
    <w:p w14:paraId="4251FB54" w14:textId="77777777" w:rsidR="0086566F" w:rsidRDefault="0086566F" w:rsidP="0086566F">
      <w:pPr>
        <w:pStyle w:val="Nagwek2"/>
        <w:numPr>
          <w:ilvl w:val="0"/>
          <w:numId w:val="0"/>
        </w:numPr>
        <w:spacing w:before="0" w:beforeAutospacing="0" w:after="120" w:afterAutospacing="0" w:line="276" w:lineRule="auto"/>
        <w:jc w:val="both"/>
        <w:rPr>
          <w:b w:val="0"/>
          <w:sz w:val="24"/>
          <w:szCs w:val="24"/>
        </w:rPr>
      </w:pPr>
      <w:bookmarkStart w:id="276" w:name="_Toc292789278"/>
      <w:bookmarkStart w:id="277" w:name="_Toc292793571"/>
      <w:bookmarkStart w:id="278" w:name="_Toc292888953"/>
      <w:bookmarkStart w:id="279" w:name="_Toc473117333"/>
      <w:bookmarkStart w:id="280" w:name="_Toc477779773"/>
      <w:r>
        <w:rPr>
          <w:b w:val="0"/>
          <w:sz w:val="24"/>
          <w:szCs w:val="24"/>
        </w:rPr>
        <w:t xml:space="preserve">W załączniku IV do niniejszego </w:t>
      </w:r>
      <w:r w:rsidRPr="00A52097">
        <w:rPr>
          <w:b w:val="0"/>
          <w:i/>
          <w:sz w:val="24"/>
          <w:szCs w:val="24"/>
        </w:rPr>
        <w:t>Sprawozdania</w:t>
      </w:r>
      <w:r w:rsidRPr="00D50323">
        <w:rPr>
          <w:b w:val="0"/>
          <w:sz w:val="24"/>
          <w:szCs w:val="24"/>
        </w:rPr>
        <w:t xml:space="preserve"> zostały przedstawione </w:t>
      </w:r>
      <w:r>
        <w:rPr>
          <w:b w:val="0"/>
          <w:sz w:val="24"/>
          <w:szCs w:val="24"/>
        </w:rPr>
        <w:t xml:space="preserve">programowe </w:t>
      </w:r>
      <w:r w:rsidRPr="00D50323">
        <w:rPr>
          <w:b w:val="0"/>
          <w:sz w:val="24"/>
          <w:szCs w:val="24"/>
        </w:rPr>
        <w:t xml:space="preserve">wskaźniki produktu i rezultatu </w:t>
      </w:r>
      <w:r>
        <w:rPr>
          <w:b w:val="0"/>
          <w:sz w:val="24"/>
          <w:szCs w:val="24"/>
        </w:rPr>
        <w:t>dla priorytetu I, dla kolejnych lat w ujęciu kumulatywnym. Przedstawione informacje prezentowane są według stanu na koniec 2016 roku i zostały oparte na danych dotyczących operacji zakończonych. Określone zostały wartości docelowe dla 2010, 2013 i 2015 roku. Przedstawiono także wskaźniki przedmiotowego priorytetu w podziale na działania i poddziałania.</w:t>
      </w:r>
      <w:bookmarkEnd w:id="276"/>
      <w:bookmarkEnd w:id="277"/>
      <w:bookmarkEnd w:id="278"/>
      <w:bookmarkEnd w:id="279"/>
      <w:bookmarkEnd w:id="280"/>
    </w:p>
    <w:p w14:paraId="5E239FBA" w14:textId="6C786AFF" w:rsidR="0086566F" w:rsidRDefault="0086566F" w:rsidP="0086566F">
      <w:pPr>
        <w:jc w:val="both"/>
      </w:pPr>
      <w:r>
        <w:t xml:space="preserve">Poziom realizacji wskaźników w ramach priorytetu I jest na zadowalającym poziomie. Jedynie wskaźniki związane z zakresem B+R czyli </w:t>
      </w:r>
      <w:r w:rsidRPr="00ED7D3C">
        <w:rPr>
          <w:i/>
        </w:rPr>
        <w:t>Liczba projektów z zakresu B+R</w:t>
      </w:r>
      <w:r>
        <w:rPr>
          <w:i/>
        </w:rPr>
        <w:t xml:space="preserve"> oraz </w:t>
      </w:r>
      <w:r w:rsidRPr="00ED7D3C">
        <w:rPr>
          <w:i/>
        </w:rPr>
        <w:t>Liczba instytucji B+R wspartych w ramach RPO</w:t>
      </w:r>
      <w:r>
        <w:rPr>
          <w:i/>
        </w:rPr>
        <w:t xml:space="preserve"> </w:t>
      </w:r>
      <w:r w:rsidRPr="001E3110">
        <w:t>nie</w:t>
      </w:r>
      <w:r w:rsidR="00C77311">
        <w:t xml:space="preserve"> zostały</w:t>
      </w:r>
      <w:r w:rsidRPr="001E3110">
        <w:t xml:space="preserve"> </w:t>
      </w:r>
      <w:r w:rsidRPr="00FC3FFA">
        <w:t>osiągnięte</w:t>
      </w:r>
      <w:r w:rsidRPr="001E3110">
        <w:t>.</w:t>
      </w:r>
      <w:r>
        <w:rPr>
          <w:i/>
        </w:rPr>
        <w:t xml:space="preserve"> </w:t>
      </w:r>
      <w:r>
        <w:t xml:space="preserve"> Projekty z zakresu B+R </w:t>
      </w:r>
      <w:r w:rsidR="007A458D">
        <w:t>to</w:t>
      </w:r>
      <w:r>
        <w:t> </w:t>
      </w:r>
      <w:r w:rsidR="007A458D">
        <w:t>projekty</w:t>
      </w:r>
      <w:r w:rsidRPr="00D44EDA">
        <w:t xml:space="preserve"> o</w:t>
      </w:r>
      <w:r>
        <w:t> </w:t>
      </w:r>
      <w:r w:rsidRPr="00D44EDA">
        <w:t>wysokiej wartości dofinansowania. Początkowe założenia</w:t>
      </w:r>
      <w:r>
        <w:t xml:space="preserve"> programowe</w:t>
      </w:r>
      <w:r w:rsidRPr="00D44EDA">
        <w:t xml:space="preserve"> przewidywały, iż w ramach </w:t>
      </w:r>
      <w:r>
        <w:t>drugiego</w:t>
      </w:r>
      <w:r w:rsidRPr="00D44EDA">
        <w:t xml:space="preserve"> typu projektu</w:t>
      </w:r>
      <w:r>
        <w:t xml:space="preserve">: </w:t>
      </w:r>
      <w:r w:rsidRPr="00272219">
        <w:rPr>
          <w:i/>
        </w:rPr>
        <w:t>Wsparcie w zakresie podjęcia lub rozwoju działalności B+R w mikro, małych i średnich przedsiębiorstwach</w:t>
      </w:r>
      <w:r w:rsidRPr="00D44EDA">
        <w:t xml:space="preserve"> w </w:t>
      </w:r>
      <w:r w:rsidRPr="00272219">
        <w:rPr>
          <w:i/>
        </w:rPr>
        <w:t>poddziałaniu 1.2.3</w:t>
      </w:r>
      <w:r w:rsidRPr="00D44EDA">
        <w:t xml:space="preserve">, </w:t>
      </w:r>
      <w:r>
        <w:t>ma</w:t>
      </w:r>
      <w:r w:rsidR="00C77311">
        <w:t>ksymalna</w:t>
      </w:r>
      <w:r w:rsidRPr="00D44EDA">
        <w:t xml:space="preserve"> kwota wsparcia to </w:t>
      </w:r>
      <w:r>
        <w:t>189</w:t>
      </w:r>
      <w:r w:rsidRPr="00D44EDA">
        <w:t xml:space="preserve"> </w:t>
      </w:r>
      <w:r>
        <w:t>155</w:t>
      </w:r>
      <w:r w:rsidRPr="00D44EDA">
        <w:t xml:space="preserve"> </w:t>
      </w:r>
      <w:r>
        <w:t>EUR.</w:t>
      </w:r>
      <w:r w:rsidRPr="00D44EDA">
        <w:t xml:space="preserve"> </w:t>
      </w:r>
      <w:r>
        <w:t>Jednakże</w:t>
      </w:r>
      <w:r w:rsidRPr="00D44EDA">
        <w:t xml:space="preserve"> </w:t>
      </w:r>
      <w:r>
        <w:t xml:space="preserve">wprowadzony przez MR dokument </w:t>
      </w:r>
      <w:r w:rsidRPr="00274014">
        <w:rPr>
          <w:i/>
        </w:rPr>
        <w:t>Linia demarkacyjna</w:t>
      </w:r>
      <w:r w:rsidRPr="00D44EDA">
        <w:t xml:space="preserve"> określ</w:t>
      </w:r>
      <w:r>
        <w:t>ił</w:t>
      </w:r>
      <w:r w:rsidRPr="00D44EDA">
        <w:t xml:space="preserve"> ma</w:t>
      </w:r>
      <w:r w:rsidR="00C77311">
        <w:t>ksymalną</w:t>
      </w:r>
      <w:r w:rsidRPr="00D44EDA">
        <w:t xml:space="preserve"> wartość projektów realizowanych w</w:t>
      </w:r>
      <w:r>
        <w:t> </w:t>
      </w:r>
      <w:r w:rsidRPr="00D44EDA">
        <w:t>ramach</w:t>
      </w:r>
      <w:r>
        <w:t xml:space="preserve"> RPO z zakresu B+R na poziomie 1</w:t>
      </w:r>
      <w:r w:rsidRPr="00D44EDA">
        <w:t xml:space="preserve">00 000 </w:t>
      </w:r>
      <w:r>
        <w:t>EUR, co dało</w:t>
      </w:r>
      <w:r w:rsidRPr="00D44EDA">
        <w:t xml:space="preserve"> </w:t>
      </w:r>
      <w:r w:rsidR="00C77311">
        <w:t>maksymalne</w:t>
      </w:r>
      <w:r w:rsidRPr="00D44EDA">
        <w:t xml:space="preserve"> dofinansowanie w</w:t>
      </w:r>
      <w:r>
        <w:t> </w:t>
      </w:r>
      <w:r w:rsidRPr="00D44EDA">
        <w:t xml:space="preserve">wysokości </w:t>
      </w:r>
      <w:r>
        <w:t>60 529 EUR.</w:t>
      </w:r>
      <w:r w:rsidRPr="00D44EDA">
        <w:t xml:space="preserve"> </w:t>
      </w:r>
      <w:r>
        <w:t>Zaistniała sytuacja s</w:t>
      </w:r>
      <w:r w:rsidRPr="00D44EDA">
        <w:t>powodował</w:t>
      </w:r>
      <w:r>
        <w:t>a</w:t>
      </w:r>
      <w:r w:rsidRPr="00D44EDA">
        <w:t xml:space="preserve"> rezygnację </w:t>
      </w:r>
      <w:r>
        <w:t>przedsiębiorców</w:t>
      </w:r>
      <w:r w:rsidRPr="00D44EDA">
        <w:t xml:space="preserve"> z</w:t>
      </w:r>
      <w:r>
        <w:t> </w:t>
      </w:r>
      <w:r w:rsidRPr="00D44EDA">
        <w:t>realizacji projektów w ramach drugiego typu na korzyść pierwszego</w:t>
      </w:r>
      <w:r w:rsidR="00C77311">
        <w:t>,</w:t>
      </w:r>
      <w:r w:rsidRPr="00D44EDA">
        <w:t xml:space="preserve"> bądź aplikowanie w</w:t>
      </w:r>
      <w:r>
        <w:t> </w:t>
      </w:r>
      <w:r w:rsidRPr="00D44EDA">
        <w:t xml:space="preserve">ramach </w:t>
      </w:r>
      <w:r w:rsidRPr="00272219">
        <w:rPr>
          <w:i/>
        </w:rPr>
        <w:t>Krajowego Programu Operacyjnego Innowacyjna Gospodarka</w:t>
      </w:r>
      <w:r w:rsidRPr="00D44EDA">
        <w:t>.</w:t>
      </w:r>
      <w:r w:rsidRPr="000D6F01">
        <w:t xml:space="preserve"> Przyjęte wskaźniki na etapie programowania nie uwzględniały </w:t>
      </w:r>
      <w:r>
        <w:t xml:space="preserve">także </w:t>
      </w:r>
      <w:r w:rsidRPr="000D6F01">
        <w:t>trudności wynikających z</w:t>
      </w:r>
      <w:r>
        <w:t> </w:t>
      </w:r>
      <w:r w:rsidRPr="000D6F01">
        <w:t>kwestii udzielania pomocy public</w:t>
      </w:r>
      <w:r>
        <w:t>znej, ponieważ nie zakładano na </w:t>
      </w:r>
      <w:r w:rsidRPr="000D6F01">
        <w:t>tym etapie udzielania pomocy publicznej dla m.in. instytucji otoczenia biznesu czy jednostek nauko</w:t>
      </w:r>
      <w:r>
        <w:t>wych, które są beneficjentami w </w:t>
      </w:r>
      <w:r w:rsidRPr="000D6F01">
        <w:t xml:space="preserve">ramach działania </w:t>
      </w:r>
      <w:r w:rsidRPr="006C36A2">
        <w:rPr>
          <w:i/>
        </w:rPr>
        <w:t>1.3.Transfer technologii i innowacji</w:t>
      </w:r>
      <w:r>
        <w:t xml:space="preserve">. </w:t>
      </w:r>
      <w:r w:rsidR="002919E0">
        <w:t>O</w:t>
      </w:r>
      <w:r>
        <w:t>czekiwanie na </w:t>
      </w:r>
      <w:r w:rsidRPr="000D6F01">
        <w:t xml:space="preserve">wejście w życie stosownych rozporządzeń, które </w:t>
      </w:r>
      <w:r>
        <w:t>regulowały kwestie związane z </w:t>
      </w:r>
      <w:r w:rsidRPr="000D6F01">
        <w:t>pomocą publiczną dla IOB oraz jednostek naukowych.</w:t>
      </w:r>
      <w:r>
        <w:t xml:space="preserve"> </w:t>
      </w:r>
      <w:r w:rsidRPr="006C36A2">
        <w:rPr>
          <w:i/>
        </w:rPr>
        <w:t>Rozporządzenia Ministerstwa Rozwoju Regionalnego w sprawie udzielania pomocy na wzmacnianie potencjału instytucji otoczenia biznesu w ramach region</w:t>
      </w:r>
      <w:r>
        <w:rPr>
          <w:i/>
        </w:rPr>
        <w:t>alnych programów operacyjnych z </w:t>
      </w:r>
      <w:r w:rsidRPr="006C36A2">
        <w:rPr>
          <w:i/>
        </w:rPr>
        <w:t>dnia 20 maja 2009r</w:t>
      </w:r>
      <w:r w:rsidRPr="000D6F01">
        <w:t xml:space="preserve"> oraz </w:t>
      </w:r>
      <w:r w:rsidRPr="006C36A2">
        <w:rPr>
          <w:i/>
        </w:rPr>
        <w:t xml:space="preserve">rozporządzenie </w:t>
      </w:r>
      <w:r>
        <w:rPr>
          <w:i/>
        </w:rPr>
        <w:t>Ministra Rozwoju Regionalnego w </w:t>
      </w:r>
      <w:r w:rsidRPr="006C36A2">
        <w:rPr>
          <w:i/>
        </w:rPr>
        <w:t>sprawie ud</w:t>
      </w:r>
      <w:r>
        <w:rPr>
          <w:i/>
        </w:rPr>
        <w:t>zielania pomocy na inwestycje w </w:t>
      </w:r>
      <w:r w:rsidRPr="006C36A2">
        <w:rPr>
          <w:i/>
        </w:rPr>
        <w:t>zakresie: energetyki, infrastruktury telekomunikacyjnej, infrastruktury sfery badawczo-rozwojow</w:t>
      </w:r>
      <w:r>
        <w:rPr>
          <w:i/>
        </w:rPr>
        <w:t>ej, lecznictwa uzdrowiskowego w </w:t>
      </w:r>
      <w:r w:rsidRPr="006C36A2">
        <w:rPr>
          <w:i/>
        </w:rPr>
        <w:t>ramach region</w:t>
      </w:r>
      <w:r>
        <w:rPr>
          <w:i/>
        </w:rPr>
        <w:t>alnych programów operacyjnych z </w:t>
      </w:r>
      <w:r w:rsidRPr="006C36A2">
        <w:rPr>
          <w:i/>
        </w:rPr>
        <w:t>dnia 7 grudnia 2009r</w:t>
      </w:r>
      <w:r>
        <w:t>.</w:t>
      </w:r>
      <w:r w:rsidR="002919E0">
        <w:t>, które</w:t>
      </w:r>
      <w:r>
        <w:t xml:space="preserve"> weszły w życie dopiero pod koniec</w:t>
      </w:r>
      <w:r w:rsidRPr="000D6F01">
        <w:t xml:space="preserve"> 2009</w:t>
      </w:r>
      <w:r>
        <w:t xml:space="preserve"> </w:t>
      </w:r>
      <w:r w:rsidRPr="000D6F01">
        <w:t xml:space="preserve">r. </w:t>
      </w:r>
      <w:r w:rsidR="002919E0">
        <w:t>spowodowały</w:t>
      </w:r>
      <w:r w:rsidRPr="000D6F01">
        <w:t xml:space="preserve"> </w:t>
      </w:r>
      <w:r w:rsidR="002919E0">
        <w:t>brak</w:t>
      </w:r>
      <w:r w:rsidRPr="000D6F01">
        <w:t xml:space="preserve"> możliwości ogłoszenia konkursu</w:t>
      </w:r>
      <w:r>
        <w:t xml:space="preserve"> w </w:t>
      </w:r>
      <w:r w:rsidRPr="000D6F01">
        <w:t xml:space="preserve">ramach całego </w:t>
      </w:r>
      <w:r w:rsidRPr="001E3110">
        <w:rPr>
          <w:i/>
        </w:rPr>
        <w:t>działania 1.3</w:t>
      </w:r>
      <w:r>
        <w:t xml:space="preserve">. przed rokiem 2009 r. </w:t>
      </w:r>
    </w:p>
    <w:p w14:paraId="17B39716" w14:textId="3E0BDCAE" w:rsidR="0086566F" w:rsidRDefault="0086566F" w:rsidP="0086566F">
      <w:pPr>
        <w:jc w:val="both"/>
      </w:pPr>
      <w:r w:rsidRPr="000D6F01">
        <w:t xml:space="preserve">Zainteresowanie dofinansowaniem w ramach </w:t>
      </w:r>
      <w:r w:rsidRPr="001E3110">
        <w:rPr>
          <w:i/>
        </w:rPr>
        <w:t>działania 1.3.</w:t>
      </w:r>
      <w:r w:rsidRPr="000D6F01">
        <w:t xml:space="preserve"> oraz ilość złożonych wniosków związana </w:t>
      </w:r>
      <w:r>
        <w:t xml:space="preserve">była </w:t>
      </w:r>
      <w:r w:rsidRPr="000D6F01">
        <w:t xml:space="preserve">ściśle z ograniczonym dofinansowaniem wynikającym z regulacji w zakresie udzielania pomocy publicznej. Większość jednostek naukowych, szkół wyższych jak i IOB nie </w:t>
      </w:r>
      <w:r w:rsidR="007A458D">
        <w:t>była</w:t>
      </w:r>
      <w:r w:rsidRPr="000D6F01">
        <w:t xml:space="preserve"> w stanie wnieść wkładu własnego w wysokości 60%</w:t>
      </w:r>
      <w:r>
        <w:t>,</w:t>
      </w:r>
      <w:r w:rsidRPr="000D6F01">
        <w:t xml:space="preserve"> co</w:t>
      </w:r>
      <w:r>
        <w:t xml:space="preserve"> automatycznie przełożyło</w:t>
      </w:r>
      <w:r w:rsidRPr="000D6F01">
        <w:t xml:space="preserve"> się </w:t>
      </w:r>
      <w:r w:rsidRPr="000D6F01">
        <w:lastRenderedPageBreak/>
        <w:t>na</w:t>
      </w:r>
      <w:r w:rsidR="00B8015D">
        <w:t> </w:t>
      </w:r>
      <w:r>
        <w:t xml:space="preserve">niewielką </w:t>
      </w:r>
      <w:r w:rsidRPr="000D6F01">
        <w:t>ilość wybranych wniosków do dofinansowania</w:t>
      </w:r>
      <w:r w:rsidR="00C77311">
        <w:t>,</w:t>
      </w:r>
      <w:r w:rsidRPr="000D6F01">
        <w:t xml:space="preserve"> a co za tym idzie</w:t>
      </w:r>
      <w:r>
        <w:t xml:space="preserve"> z</w:t>
      </w:r>
      <w:r w:rsidRPr="000D6F01">
        <w:t xml:space="preserve"> </w:t>
      </w:r>
      <w:r>
        <w:t xml:space="preserve">niską </w:t>
      </w:r>
      <w:r w:rsidRPr="000D6F01">
        <w:t>realiz</w:t>
      </w:r>
      <w:r>
        <w:t>acją wskaźników. Ponadto</w:t>
      </w:r>
      <w:r w:rsidR="00C77311">
        <w:t>,</w:t>
      </w:r>
      <w:r>
        <w:t xml:space="preserve"> na niską realizację wskaźnika miały wpływ ograniczenia wprowadzone</w:t>
      </w:r>
      <w:r w:rsidRPr="000D6F01">
        <w:t xml:space="preserve"> </w:t>
      </w:r>
      <w:r>
        <w:t>zapisami</w:t>
      </w:r>
      <w:r w:rsidRPr="000D6F01">
        <w:t xml:space="preserve"> linii d</w:t>
      </w:r>
      <w:r>
        <w:t>emarkacyjnej: szczególnie zapis dotyczący</w:t>
      </w:r>
      <w:r w:rsidRPr="000D6F01">
        <w:t xml:space="preserve"> wspierania powiązań koope</w:t>
      </w:r>
      <w:r>
        <w:t xml:space="preserve">racyjnych leżących na terenie </w:t>
      </w:r>
      <w:r w:rsidRPr="000D6F01">
        <w:t>województwa. W praktyce</w:t>
      </w:r>
      <w:r w:rsidR="00C77311">
        <w:t>,</w:t>
      </w:r>
      <w:r w:rsidRPr="000D6F01">
        <w:t xml:space="preserve"> wspie</w:t>
      </w:r>
      <w:r>
        <w:t>ranie powiązań kooperacyjnych w </w:t>
      </w:r>
      <w:r w:rsidRPr="000D6F01">
        <w:t>województwie śląskim stosując przesłaną interpretację MR</w:t>
      </w:r>
      <w:r>
        <w:t xml:space="preserve"> było mocno utrudnione. </w:t>
      </w:r>
    </w:p>
    <w:p w14:paraId="5FB7EBC6" w14:textId="111172F4" w:rsidR="0086566F" w:rsidRPr="00FE53DD" w:rsidRDefault="0086566F" w:rsidP="0086566F">
      <w:pPr>
        <w:jc w:val="both"/>
      </w:pPr>
      <w:r>
        <w:t>Ponadto</w:t>
      </w:r>
      <w:r w:rsidR="00C77311">
        <w:t>,</w:t>
      </w:r>
      <w:r>
        <w:t xml:space="preserve"> znaczna część wskaźników przekroczyła poziom założonej wartości docelowej. Na wysoką wartość wskaźnika </w:t>
      </w:r>
      <w:r>
        <w:rPr>
          <w:i/>
        </w:rPr>
        <w:t xml:space="preserve">Liczba projektów z zakresu bezpośredniego wsparcia inwestycyjnego dla MŚP </w:t>
      </w:r>
      <w:r>
        <w:t>wpływ miała nie tylko niższa niż zakładano wartość poszczególnych projektów, lecz także projekty realizowane w ramach typu projektów</w:t>
      </w:r>
      <w:r w:rsidRPr="004D4426">
        <w:t xml:space="preserve"> </w:t>
      </w:r>
      <w:r w:rsidRPr="001E3110">
        <w:rPr>
          <w:i/>
        </w:rPr>
        <w:t>Udział przedsiębiorców w targach i wystawach międzynarodowych</w:t>
      </w:r>
      <w:r w:rsidRPr="004D4426">
        <w:t xml:space="preserve"> </w:t>
      </w:r>
      <w:r w:rsidRPr="001E3110">
        <w:rPr>
          <w:i/>
        </w:rPr>
        <w:t>oraz misjach gospodarczych</w:t>
      </w:r>
      <w:r w:rsidRPr="004D4426">
        <w:t xml:space="preserve"> związanych z ta</w:t>
      </w:r>
      <w:r>
        <w:t xml:space="preserve">rgami i wystawami, które miały niską wartość, ale wysoką liczebność – 643 projekty. Wysoka realizacja wskaźnika </w:t>
      </w:r>
      <w:r>
        <w:rPr>
          <w:i/>
        </w:rPr>
        <w:t>Liczba wspartych przedsiębiorstw, w tym: mikro</w:t>
      </w:r>
      <w:r>
        <w:t xml:space="preserve"> jest ściśle związa</w:t>
      </w:r>
      <w:r w:rsidR="00B8015D">
        <w:t>na z </w:t>
      </w:r>
      <w:r>
        <w:t>udziałem mikroprzedsiębiorstw w liczbie przedsiębiorstw ogółem a także z niską wartością projektów realizowanych przez mikroprzedsiębiorstwa, które mimo dużej liczby projektów zrealizowały tylko 21% całkowitej wartości projektów realizowanych przez przedsiębiorców</w:t>
      </w:r>
      <w:r>
        <w:rPr>
          <w:i/>
        </w:rPr>
        <w:t xml:space="preserve">. </w:t>
      </w:r>
      <w:r>
        <w:t xml:space="preserve">Wysoka wartość wskaźnika </w:t>
      </w:r>
      <w:r>
        <w:rPr>
          <w:i/>
        </w:rPr>
        <w:t>Dodatkowe inwestycje wykreowane dzięki wsparciu</w:t>
      </w:r>
      <w:r>
        <w:t xml:space="preserve"> wynika bezpośrednio z wartości projektów realizowanych przez przedsiębiorców, im mniejszy poziom dofinansowania tym wyższa wartość zaangażowanych środków prywatnych.</w:t>
      </w:r>
    </w:p>
    <w:p w14:paraId="2DDD0165" w14:textId="34C4E818" w:rsidR="0086566F" w:rsidRPr="00973826" w:rsidRDefault="0086566F" w:rsidP="0086566F">
      <w:pPr>
        <w:jc w:val="both"/>
      </w:pPr>
      <w:r w:rsidRPr="00973826">
        <w:t xml:space="preserve">Znaczące przekroczenie wartości wskaźnika </w:t>
      </w:r>
      <w:r w:rsidRPr="00973826">
        <w:rPr>
          <w:i/>
        </w:rPr>
        <w:t>Powierzchnia przygotowanych terenów inwestycyjnych</w:t>
      </w:r>
      <w:r>
        <w:t xml:space="preserve"> </w:t>
      </w:r>
      <w:r w:rsidRPr="00973826">
        <w:t>wynika z faktu, iż pierwotnie w ramac</w:t>
      </w:r>
      <w:r>
        <w:t>h poddziałania</w:t>
      </w:r>
      <w:r w:rsidR="00C77311">
        <w:t>,</w:t>
      </w:r>
      <w:r>
        <w:t xml:space="preserve"> w odniesieniu do </w:t>
      </w:r>
      <w:r w:rsidRPr="00973826">
        <w:t>projektów dotyczących terenów inwestycyjnych</w:t>
      </w:r>
      <w:r w:rsidR="00C77311">
        <w:t>,</w:t>
      </w:r>
      <w:r w:rsidRPr="00973826">
        <w:t xml:space="preserve"> planowano realizację jed</w:t>
      </w:r>
      <w:r>
        <w:t xml:space="preserve">ynie pozakonkursowego projektu </w:t>
      </w:r>
      <w:r w:rsidRPr="00B124DF">
        <w:rPr>
          <w:i/>
        </w:rPr>
        <w:t>Gospodarcza Brama Śląska</w:t>
      </w:r>
      <w:r w:rsidRPr="00973826">
        <w:t>.</w:t>
      </w:r>
      <w:r w:rsidR="00BD598E">
        <w:t xml:space="preserve"> Ostatecznie jednak w trakcie wdrażania priorytetu podjęto decyzje o ogłoszeniu także konkursu, co wpłynęło na zwiększenie wartości ww. wskaźnika.</w:t>
      </w:r>
    </w:p>
    <w:p w14:paraId="128B39D7" w14:textId="56A1EAA7" w:rsidR="0086566F" w:rsidRDefault="0086566F" w:rsidP="0086566F">
      <w:pPr>
        <w:jc w:val="both"/>
      </w:pPr>
      <w:r>
        <w:t xml:space="preserve">Problematycznym wskaźnikiem był również wskaźnik </w:t>
      </w:r>
      <w:r>
        <w:rPr>
          <w:i/>
        </w:rPr>
        <w:t>Powierzchnia inkubatorów/ parków technologicznych.</w:t>
      </w:r>
      <w:r>
        <w:t xml:space="preserve"> Wskaźnik nie był wybierany przez beneficjentów na etapie aplikowania i przez długi czas jego wartość wynosiła 0. Po przeprowadzonej analizie </w:t>
      </w:r>
      <w:r w:rsidR="00B7322D">
        <w:t xml:space="preserve">zrealizowanych </w:t>
      </w:r>
      <w:r>
        <w:t xml:space="preserve">projektów realizacja </w:t>
      </w:r>
      <w:r w:rsidR="00B7322D">
        <w:t xml:space="preserve">wskaźnika </w:t>
      </w:r>
      <w:r>
        <w:t xml:space="preserve">na koniec 2016 wyniosła 137%. </w:t>
      </w:r>
    </w:p>
    <w:p w14:paraId="02369EC9" w14:textId="21A689AD" w:rsidR="0086566F" w:rsidRPr="00FF6448" w:rsidRDefault="0086566F" w:rsidP="0086566F">
      <w:pPr>
        <w:jc w:val="both"/>
      </w:pPr>
      <w:r>
        <w:t xml:space="preserve">Przekroczona wartość wskaźnika </w:t>
      </w:r>
      <w:r>
        <w:rPr>
          <w:i/>
        </w:rPr>
        <w:t>Liczba projektów współpracy pomiędzy przedsiębiorstwami a jednostkami badawczymi</w:t>
      </w:r>
      <w:r>
        <w:t xml:space="preserve"> wynika z przekazanych przez beneficjentów danych</w:t>
      </w:r>
      <w:r w:rsidR="00B8015D">
        <w:t>. Jest to </w:t>
      </w:r>
      <w:r>
        <w:t>wartość, która została osiągnięta w wyniku realizacji projektów.</w:t>
      </w:r>
    </w:p>
    <w:p w14:paraId="047648E9" w14:textId="77777777" w:rsidR="0086566F" w:rsidRDefault="0086566F" w:rsidP="0086566F">
      <w:pPr>
        <w:jc w:val="both"/>
      </w:pPr>
      <w:r>
        <w:t xml:space="preserve">Realizacja wskaźnika </w:t>
      </w:r>
      <w:r>
        <w:rPr>
          <w:i/>
          <w:iCs/>
        </w:rPr>
        <w:t xml:space="preserve">Liczba bezpośrednio utworzonych nowych miejsca pracy (EPC) </w:t>
      </w:r>
      <w:r>
        <w:t>w podziale na kobiety i mężczyzn w omawianym priorytecie wskazuje na większą liczbę utworzonych etatów dla mężczyzn (5095,8) niż dla kobiet (2273). P</w:t>
      </w:r>
      <w:r w:rsidRPr="00FE53DD">
        <w:t>rzyczyną takiego stanu rzeczy może być niewłaściwe określenie wartości docelow</w:t>
      </w:r>
      <w:r>
        <w:t>ej tego wskaźnika w podziale na </w:t>
      </w:r>
      <w:r w:rsidRPr="00FE53DD">
        <w:t xml:space="preserve">płeć, polegające na nieuwzględnieniu specyfiki </w:t>
      </w:r>
      <w:r>
        <w:t xml:space="preserve">priorytetu I. </w:t>
      </w:r>
      <w:r w:rsidRPr="00FE53DD">
        <w:t>Przedsiębiorstwa, należące głównie do sektora przetwórstwa przemysłowego, tworzą częściej miejsca pr</w:t>
      </w:r>
      <w:r>
        <w:t>acy dla mężczyzn niż dla kobiet, co p</w:t>
      </w:r>
      <w:r w:rsidRPr="00FE53DD">
        <w:t>otwierdzają dane monitoringowe</w:t>
      </w:r>
      <w:r>
        <w:t>.</w:t>
      </w:r>
      <w:r w:rsidRPr="00FE53DD">
        <w:t xml:space="preserve"> Bezpośrednie stymulowanie właściwej</w:t>
      </w:r>
      <w:r>
        <w:t>,</w:t>
      </w:r>
      <w:r w:rsidRPr="00FE53DD">
        <w:t xml:space="preserve"> założonej w Programie</w:t>
      </w:r>
      <w:r>
        <w:t>,</w:t>
      </w:r>
      <w:r w:rsidRPr="00FE53DD">
        <w:t xml:space="preserve"> proporcji miejsc prac</w:t>
      </w:r>
      <w:r>
        <w:t>y dla kobiet i mężczyzn nie było</w:t>
      </w:r>
      <w:r w:rsidRPr="00FE53DD">
        <w:t xml:space="preserve"> </w:t>
      </w:r>
      <w:r>
        <w:t xml:space="preserve">jednak </w:t>
      </w:r>
      <w:r w:rsidRPr="00FE53DD">
        <w:t>możliwe ze względu na politykę antydyskryminacyjną zapewniającą równy dostęp do stanowisk pracy</w:t>
      </w:r>
      <w:r>
        <w:t xml:space="preserve">. </w:t>
      </w:r>
      <w:r>
        <w:lastRenderedPageBreak/>
        <w:t>Beneficjenci składając wnioski o dofinansowanie nie deklarowali, kogo zatrudnią, gdyż zostałaby zaburzona omawiana polityka antydyskryminacyjna, każdy ma mieć równy dostęp do zatrudnienia. IZ RPO WSL przyjęła odpowiednie kryteria wyboru projektów do dofinansowania dot. polityk horyzontalnych (określenie stopnia realizacji polityki równych szans, polityki ochrony środowiska, wpływ projektu na utworzenie nowych miejsc pracy). Projekt mający pozytywny wpływ na realizacje poszczególnych polityk horyzontalnych otrzymywał dodatkowe punkty w trakcie przeprowadzanej oceny merytoryczno-technicznej, co w konsekwencji zwiększało jego szansę na otrzymanie dofinansowania.</w:t>
      </w:r>
    </w:p>
    <w:p w14:paraId="48D7B57D" w14:textId="1FB1C3C8" w:rsidR="0086566F" w:rsidRDefault="0086566F" w:rsidP="0086566F">
      <w:pPr>
        <w:jc w:val="both"/>
      </w:pPr>
      <w:r>
        <w:t>Poniżej na wykresie zaprezentowano podział wskaźników ze względu na procent realizacji</w:t>
      </w:r>
      <w:r w:rsidR="006D3457">
        <w:t xml:space="preserve"> wartości docelowej</w:t>
      </w:r>
      <w:r>
        <w:t>.</w:t>
      </w:r>
    </w:p>
    <w:p w14:paraId="165A58A4" w14:textId="77777777" w:rsidR="0086566F" w:rsidRDefault="0086566F" w:rsidP="0086566F">
      <w:pPr>
        <w:jc w:val="center"/>
      </w:pPr>
      <w:r w:rsidRPr="008D3201">
        <w:rPr>
          <w:noProof/>
          <w:sz w:val="20"/>
          <w:szCs w:val="20"/>
        </w:rPr>
        <w:drawing>
          <wp:inline distT="0" distB="0" distL="0" distR="0" wp14:anchorId="0CDF9D59" wp14:editId="426571C6">
            <wp:extent cx="5847715" cy="2598344"/>
            <wp:effectExtent l="0" t="0" r="635" b="0"/>
            <wp:docPr id="28" name="Wykres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0D23CD0" w14:textId="3A4F8D8D" w:rsidR="00B15E47" w:rsidRPr="00B71F85" w:rsidRDefault="00B66319" w:rsidP="00B66319">
      <w:pPr>
        <w:pStyle w:val="Legenda"/>
        <w:rPr>
          <w:color w:val="auto"/>
          <w:sz w:val="20"/>
          <w:szCs w:val="20"/>
        </w:rPr>
      </w:pPr>
      <w:bookmarkStart w:id="281" w:name="_Toc476832947"/>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29</w:t>
      </w:r>
      <w:r w:rsidR="00A44293" w:rsidRPr="00A44293">
        <w:rPr>
          <w:noProof/>
          <w:color w:val="auto"/>
        </w:rPr>
        <w:fldChar w:fldCharType="end"/>
      </w:r>
      <w:r>
        <w:t xml:space="preserve"> </w:t>
      </w:r>
      <w:r w:rsidR="00B15E47">
        <w:rPr>
          <w:b w:val="0"/>
          <w:i/>
          <w:color w:val="auto"/>
          <w:sz w:val="20"/>
          <w:szCs w:val="20"/>
        </w:rPr>
        <w:t>Osiągnięty poziom wartości docelowej wskaźników w ramach priorytetu I</w:t>
      </w:r>
      <w:bookmarkEnd w:id="281"/>
      <w:r w:rsidR="00B15E47" w:rsidRPr="00B71F85">
        <w:rPr>
          <w:color w:val="auto"/>
          <w:sz w:val="20"/>
          <w:szCs w:val="20"/>
        </w:rPr>
        <w:t xml:space="preserve"> </w:t>
      </w:r>
    </w:p>
    <w:p w14:paraId="6932E06F" w14:textId="4665FF8C" w:rsidR="0086566F" w:rsidRDefault="0086566F" w:rsidP="0086566F">
      <w:pPr>
        <w:jc w:val="both"/>
      </w:pPr>
      <w:r>
        <w:t>Odnosząc się do analizy SWOT zawartej w RPO WSL realizacja w</w:t>
      </w:r>
      <w:r w:rsidRPr="0059045F">
        <w:t>skaźnik</w:t>
      </w:r>
      <w:r>
        <w:t>ów</w:t>
      </w:r>
      <w:r>
        <w:rPr>
          <w:i/>
        </w:rPr>
        <w:t xml:space="preserve"> </w:t>
      </w:r>
      <w:r w:rsidRPr="009B0635">
        <w:rPr>
          <w:i/>
        </w:rPr>
        <w:t>Liczba projektów z zakresu bezpośredniego wsparcia inwestycyjnego dla MSP</w:t>
      </w:r>
      <w:r>
        <w:t xml:space="preserve"> oraz </w:t>
      </w:r>
      <w:r>
        <w:rPr>
          <w:i/>
        </w:rPr>
        <w:t>Liczba wspartych przedsiębiorstw</w:t>
      </w:r>
      <w:r>
        <w:t xml:space="preserve"> stanowi odpowiedź na słabą stronę województwa taką jak spadek nakładów inwestycyjnych w sektorze MSP czy niski potencjał rozwojowy mikro przedsiębiorstw, które są większością wśród podmiotów gospodarczych. </w:t>
      </w:r>
    </w:p>
    <w:p w14:paraId="5FD8FF9A" w14:textId="2315A10B" w:rsidR="0086566F" w:rsidRDefault="0086566F" w:rsidP="0086566F">
      <w:pPr>
        <w:jc w:val="both"/>
      </w:pPr>
      <w:r>
        <w:t xml:space="preserve">Korelację pomiędzy wskaźnikami w ramach </w:t>
      </w:r>
      <w:r w:rsidR="00B15E47">
        <w:t>priorytetu I</w:t>
      </w:r>
      <w:r>
        <w:t xml:space="preserve"> a Strategią UE 2020 przedstawia poniższa tabela.</w:t>
      </w:r>
    </w:p>
    <w:p w14:paraId="22D2ABC3" w14:textId="7DB78CBF" w:rsidR="0086566F" w:rsidRPr="0086566F" w:rsidRDefault="00B66319" w:rsidP="00B66319">
      <w:pPr>
        <w:pStyle w:val="Legenda"/>
        <w:rPr>
          <w:b w:val="0"/>
          <w:i/>
          <w:color w:val="auto"/>
          <w:sz w:val="20"/>
          <w:szCs w:val="20"/>
        </w:rPr>
      </w:pPr>
      <w:bookmarkStart w:id="282" w:name="_Toc476131797"/>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14</w:t>
      </w:r>
      <w:r w:rsidR="00A44293" w:rsidRPr="00A44293">
        <w:rPr>
          <w:noProof/>
          <w:color w:val="auto"/>
        </w:rPr>
        <w:fldChar w:fldCharType="end"/>
      </w:r>
      <w:r>
        <w:t xml:space="preserve"> </w:t>
      </w:r>
      <w:r w:rsidR="0086566F" w:rsidRPr="0086566F">
        <w:rPr>
          <w:b w:val="0"/>
          <w:i/>
          <w:color w:val="auto"/>
          <w:sz w:val="20"/>
          <w:szCs w:val="20"/>
        </w:rPr>
        <w:t xml:space="preserve">Korelacja pomiędzy </w:t>
      </w:r>
      <w:r w:rsidR="00B15E47">
        <w:rPr>
          <w:b w:val="0"/>
          <w:i/>
          <w:color w:val="auto"/>
          <w:sz w:val="20"/>
          <w:szCs w:val="20"/>
        </w:rPr>
        <w:t>wskaźnikami w ramach priorytetu I</w:t>
      </w:r>
      <w:r w:rsidR="0086566F" w:rsidRPr="0086566F">
        <w:rPr>
          <w:b w:val="0"/>
          <w:i/>
          <w:color w:val="auto"/>
          <w:sz w:val="20"/>
          <w:szCs w:val="20"/>
        </w:rPr>
        <w:t xml:space="preserve"> a Strategią UE 2020 w zakresie wskaźników</w:t>
      </w:r>
      <w:bookmarkEnd w:id="282"/>
    </w:p>
    <w:tbl>
      <w:tblPr>
        <w:tblStyle w:val="Tabelalisty3akcent6"/>
        <w:tblW w:w="0" w:type="auto"/>
        <w:tblLook w:val="04A0" w:firstRow="1" w:lastRow="0" w:firstColumn="1" w:lastColumn="0" w:noHBand="0" w:noVBand="1"/>
      </w:tblPr>
      <w:tblGrid>
        <w:gridCol w:w="3257"/>
        <w:gridCol w:w="5805"/>
      </w:tblGrid>
      <w:tr w:rsidR="0086566F" w:rsidRPr="007906AA" w14:paraId="6A62E085" w14:textId="77777777" w:rsidTr="00F86D5F">
        <w:trPr>
          <w:cnfStyle w:val="100000000000" w:firstRow="1" w:lastRow="0" w:firstColumn="0" w:lastColumn="0" w:oddVBand="0" w:evenVBand="0" w:oddHBand="0" w:evenHBand="0" w:firstRowFirstColumn="0" w:firstRowLastColumn="0" w:lastRowFirstColumn="0" w:lastRowLastColumn="0"/>
          <w:trHeight w:val="695"/>
        </w:trPr>
        <w:tc>
          <w:tcPr>
            <w:cnfStyle w:val="001000000100" w:firstRow="0" w:lastRow="0" w:firstColumn="1" w:lastColumn="0" w:oddVBand="0" w:evenVBand="0" w:oddHBand="0" w:evenHBand="0" w:firstRowFirstColumn="1" w:firstRowLastColumn="0" w:lastRowFirstColumn="0" w:lastRowLastColumn="0"/>
            <w:tcW w:w="0" w:type="auto"/>
            <w:vAlign w:val="center"/>
          </w:tcPr>
          <w:p w14:paraId="07141223" w14:textId="60D95044" w:rsidR="0086566F" w:rsidRPr="007906AA" w:rsidRDefault="00F86D5F" w:rsidP="00F86D5F">
            <w:pPr>
              <w:jc w:val="center"/>
              <w:rPr>
                <w:color w:val="auto"/>
                <w:sz w:val="20"/>
                <w:szCs w:val="20"/>
              </w:rPr>
            </w:pPr>
            <w:r w:rsidRPr="007906AA">
              <w:rPr>
                <w:color w:val="auto"/>
                <w:sz w:val="20"/>
                <w:szCs w:val="20"/>
              </w:rPr>
              <w:t>INICJATYWA FLAGOWA</w:t>
            </w:r>
          </w:p>
        </w:tc>
        <w:tc>
          <w:tcPr>
            <w:tcW w:w="0" w:type="auto"/>
            <w:vAlign w:val="center"/>
          </w:tcPr>
          <w:p w14:paraId="28088855" w14:textId="08951935" w:rsidR="0086566F" w:rsidRPr="007906AA" w:rsidRDefault="00F86D5F" w:rsidP="00F86D5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906AA">
              <w:rPr>
                <w:color w:val="auto"/>
                <w:sz w:val="20"/>
                <w:szCs w:val="20"/>
              </w:rPr>
              <w:t>WSKAŹNIK</w:t>
            </w:r>
          </w:p>
        </w:tc>
      </w:tr>
      <w:tr w:rsidR="0086566F" w:rsidRPr="007906AA" w14:paraId="21A1B3A2" w14:textId="77777777" w:rsidTr="00F86D5F">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E4C3EA2" w14:textId="77777777" w:rsidR="0086566F" w:rsidRPr="00B7322D" w:rsidRDefault="0086566F" w:rsidP="00F86D5F">
            <w:pPr>
              <w:rPr>
                <w:b w:val="0"/>
                <w:sz w:val="20"/>
                <w:szCs w:val="20"/>
              </w:rPr>
            </w:pPr>
            <w:r w:rsidRPr="00B7322D">
              <w:rPr>
                <w:b w:val="0"/>
                <w:sz w:val="20"/>
                <w:szCs w:val="20"/>
              </w:rPr>
              <w:t>Unia Innowacji</w:t>
            </w:r>
          </w:p>
        </w:tc>
        <w:tc>
          <w:tcPr>
            <w:tcW w:w="0" w:type="auto"/>
            <w:vAlign w:val="center"/>
          </w:tcPr>
          <w:p w14:paraId="7E0BB167" w14:textId="77777777" w:rsidR="0086566F" w:rsidRPr="007906AA" w:rsidRDefault="0086566F" w:rsidP="00F86D5F">
            <w:pPr>
              <w:cnfStyle w:val="000000100000" w:firstRow="0" w:lastRow="0" w:firstColumn="0" w:lastColumn="0" w:oddVBand="0" w:evenVBand="0" w:oddHBand="1" w:evenHBand="0" w:firstRowFirstColumn="0" w:firstRowLastColumn="0" w:lastRowFirstColumn="0" w:lastRowLastColumn="0"/>
              <w:rPr>
                <w:sz w:val="20"/>
                <w:szCs w:val="20"/>
              </w:rPr>
            </w:pPr>
            <w:r w:rsidRPr="007906AA">
              <w:rPr>
                <w:sz w:val="20"/>
                <w:szCs w:val="20"/>
              </w:rPr>
              <w:t>Liczba przedsiębiorstw objętych wsparciem w zakresie innowacji</w:t>
            </w:r>
          </w:p>
        </w:tc>
      </w:tr>
      <w:tr w:rsidR="0086566F" w:rsidRPr="007906AA" w14:paraId="273FF444" w14:textId="77777777" w:rsidTr="00F86D5F">
        <w:trPr>
          <w:trHeight w:val="546"/>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3750107" w14:textId="77777777" w:rsidR="0086566F" w:rsidRPr="00B7322D" w:rsidRDefault="0086566F" w:rsidP="00F86D5F">
            <w:pPr>
              <w:rPr>
                <w:b w:val="0"/>
                <w:sz w:val="20"/>
                <w:szCs w:val="20"/>
              </w:rPr>
            </w:pPr>
          </w:p>
        </w:tc>
        <w:tc>
          <w:tcPr>
            <w:tcW w:w="0" w:type="auto"/>
            <w:vAlign w:val="center"/>
          </w:tcPr>
          <w:p w14:paraId="4AB545B4" w14:textId="77777777" w:rsidR="0086566F" w:rsidRPr="007906AA" w:rsidRDefault="0086566F" w:rsidP="00F86D5F">
            <w:pPr>
              <w:cnfStyle w:val="000000000000" w:firstRow="0" w:lastRow="0" w:firstColumn="0" w:lastColumn="0" w:oddVBand="0" w:evenVBand="0" w:oddHBand="0" w:evenHBand="0" w:firstRowFirstColumn="0" w:firstRowLastColumn="0" w:lastRowFirstColumn="0" w:lastRowLastColumn="0"/>
              <w:rPr>
                <w:sz w:val="20"/>
                <w:szCs w:val="20"/>
              </w:rPr>
            </w:pPr>
            <w:r w:rsidRPr="007906AA">
              <w:rPr>
                <w:sz w:val="20"/>
                <w:szCs w:val="20"/>
              </w:rPr>
              <w:t>Liczba projektów z zakresu B+R</w:t>
            </w:r>
          </w:p>
        </w:tc>
      </w:tr>
      <w:tr w:rsidR="0086566F" w:rsidRPr="007906AA" w14:paraId="2726D425" w14:textId="77777777" w:rsidTr="00F86D5F">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B8AA16E" w14:textId="77777777" w:rsidR="0086566F" w:rsidRPr="00B7322D" w:rsidRDefault="0086566F" w:rsidP="00F86D5F">
            <w:pPr>
              <w:rPr>
                <w:b w:val="0"/>
                <w:sz w:val="20"/>
                <w:szCs w:val="20"/>
              </w:rPr>
            </w:pPr>
          </w:p>
        </w:tc>
        <w:tc>
          <w:tcPr>
            <w:tcW w:w="0" w:type="auto"/>
            <w:vAlign w:val="center"/>
          </w:tcPr>
          <w:p w14:paraId="705FD2CC" w14:textId="77777777" w:rsidR="0086566F" w:rsidRPr="007906AA" w:rsidRDefault="0086566F" w:rsidP="00F86D5F">
            <w:pPr>
              <w:cnfStyle w:val="000000100000" w:firstRow="0" w:lastRow="0" w:firstColumn="0" w:lastColumn="0" w:oddVBand="0" w:evenVBand="0" w:oddHBand="1" w:evenHBand="0" w:firstRowFirstColumn="0" w:firstRowLastColumn="0" w:lastRowFirstColumn="0" w:lastRowLastColumn="0"/>
              <w:rPr>
                <w:sz w:val="20"/>
                <w:szCs w:val="20"/>
              </w:rPr>
            </w:pPr>
            <w:r w:rsidRPr="007906AA">
              <w:rPr>
                <w:sz w:val="20"/>
                <w:szCs w:val="20"/>
              </w:rPr>
              <w:t>Liczba instytucji B+R wspartych w ramach RPO</w:t>
            </w:r>
          </w:p>
        </w:tc>
      </w:tr>
      <w:tr w:rsidR="0086566F" w:rsidRPr="007906AA" w14:paraId="410CB6D8" w14:textId="77777777" w:rsidTr="00F86D5F">
        <w:trPr>
          <w:trHeight w:val="77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7A568FC" w14:textId="77777777" w:rsidR="0086566F" w:rsidRPr="00B7322D" w:rsidRDefault="0086566F" w:rsidP="00F86D5F">
            <w:pPr>
              <w:rPr>
                <w:b w:val="0"/>
                <w:sz w:val="20"/>
                <w:szCs w:val="20"/>
              </w:rPr>
            </w:pPr>
            <w:r w:rsidRPr="00B7322D">
              <w:rPr>
                <w:b w:val="0"/>
                <w:sz w:val="20"/>
                <w:szCs w:val="20"/>
              </w:rPr>
              <w:lastRenderedPageBreak/>
              <w:t>Polityka przemysłowa w erze globalizacji</w:t>
            </w:r>
          </w:p>
        </w:tc>
        <w:tc>
          <w:tcPr>
            <w:tcW w:w="0" w:type="auto"/>
            <w:vAlign w:val="center"/>
          </w:tcPr>
          <w:p w14:paraId="3FB94159" w14:textId="77777777" w:rsidR="0086566F" w:rsidRPr="007906AA" w:rsidRDefault="0086566F" w:rsidP="00F86D5F">
            <w:pPr>
              <w:cnfStyle w:val="000000000000" w:firstRow="0" w:lastRow="0" w:firstColumn="0" w:lastColumn="0" w:oddVBand="0" w:evenVBand="0" w:oddHBand="0" w:evenHBand="0" w:firstRowFirstColumn="0" w:firstRowLastColumn="0" w:lastRowFirstColumn="0" w:lastRowLastColumn="0"/>
              <w:rPr>
                <w:sz w:val="20"/>
                <w:szCs w:val="20"/>
              </w:rPr>
            </w:pPr>
            <w:r w:rsidRPr="007906AA">
              <w:rPr>
                <w:sz w:val="20"/>
                <w:szCs w:val="20"/>
              </w:rPr>
              <w:t>Liczba projektów z zakresu bezpośredniego wsparcia inwestycyjnego dla MSP</w:t>
            </w:r>
          </w:p>
        </w:tc>
      </w:tr>
      <w:tr w:rsidR="0086566F" w:rsidRPr="007906AA" w14:paraId="70264108" w14:textId="77777777" w:rsidTr="00F86D5F">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FCF4933" w14:textId="77777777" w:rsidR="0086566F" w:rsidRPr="007906AA" w:rsidRDefault="0086566F" w:rsidP="00F86D5F">
            <w:pPr>
              <w:rPr>
                <w:sz w:val="20"/>
                <w:szCs w:val="20"/>
              </w:rPr>
            </w:pPr>
          </w:p>
        </w:tc>
        <w:tc>
          <w:tcPr>
            <w:tcW w:w="0" w:type="auto"/>
            <w:vAlign w:val="center"/>
          </w:tcPr>
          <w:p w14:paraId="6E37DD00" w14:textId="77777777" w:rsidR="0086566F" w:rsidRPr="007906AA" w:rsidRDefault="0086566F" w:rsidP="00F86D5F">
            <w:pPr>
              <w:cnfStyle w:val="000000100000" w:firstRow="0" w:lastRow="0" w:firstColumn="0" w:lastColumn="0" w:oddVBand="0" w:evenVBand="0" w:oddHBand="1" w:evenHBand="0" w:firstRowFirstColumn="0" w:firstRowLastColumn="0" w:lastRowFirstColumn="0" w:lastRowLastColumn="0"/>
              <w:rPr>
                <w:sz w:val="20"/>
                <w:szCs w:val="20"/>
              </w:rPr>
            </w:pPr>
            <w:r w:rsidRPr="007906AA">
              <w:rPr>
                <w:sz w:val="20"/>
                <w:szCs w:val="20"/>
              </w:rPr>
              <w:t>Liczba wspartych przedsiębiorstw</w:t>
            </w:r>
          </w:p>
        </w:tc>
      </w:tr>
      <w:tr w:rsidR="0086566F" w:rsidRPr="007906AA" w14:paraId="2B0AD72B" w14:textId="77777777" w:rsidTr="00F86D5F">
        <w:trPr>
          <w:trHeight w:val="561"/>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699CFD0" w14:textId="77777777" w:rsidR="0086566F" w:rsidRPr="007906AA" w:rsidRDefault="0086566F" w:rsidP="00F86D5F">
            <w:pPr>
              <w:rPr>
                <w:sz w:val="20"/>
                <w:szCs w:val="20"/>
              </w:rPr>
            </w:pPr>
          </w:p>
        </w:tc>
        <w:tc>
          <w:tcPr>
            <w:tcW w:w="0" w:type="auto"/>
            <w:vAlign w:val="center"/>
          </w:tcPr>
          <w:p w14:paraId="55C6146F" w14:textId="77777777" w:rsidR="0086566F" w:rsidRPr="007906AA" w:rsidRDefault="0086566F" w:rsidP="00F86D5F">
            <w:pPr>
              <w:cnfStyle w:val="000000000000" w:firstRow="0" w:lastRow="0" w:firstColumn="0" w:lastColumn="0" w:oddVBand="0" w:evenVBand="0" w:oddHBand="0" w:evenHBand="0" w:firstRowFirstColumn="0" w:firstRowLastColumn="0" w:lastRowFirstColumn="0" w:lastRowLastColumn="0"/>
              <w:rPr>
                <w:sz w:val="20"/>
                <w:szCs w:val="20"/>
              </w:rPr>
            </w:pPr>
            <w:r w:rsidRPr="007906AA">
              <w:rPr>
                <w:sz w:val="20"/>
                <w:szCs w:val="20"/>
              </w:rPr>
              <w:t>Dodatkowe inwestycje wykreowane dzięki wsparciu</w:t>
            </w:r>
          </w:p>
        </w:tc>
      </w:tr>
      <w:tr w:rsidR="0086566F" w:rsidRPr="007906AA" w14:paraId="62A5FAAB" w14:textId="77777777" w:rsidTr="00F86D5F">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9ED553A" w14:textId="77777777" w:rsidR="0086566F" w:rsidRPr="007906AA" w:rsidRDefault="0086566F" w:rsidP="00F86D5F">
            <w:pPr>
              <w:rPr>
                <w:sz w:val="20"/>
                <w:szCs w:val="20"/>
              </w:rPr>
            </w:pPr>
          </w:p>
        </w:tc>
        <w:tc>
          <w:tcPr>
            <w:tcW w:w="0" w:type="auto"/>
            <w:vAlign w:val="center"/>
          </w:tcPr>
          <w:p w14:paraId="00EB6C4A" w14:textId="77777777" w:rsidR="0086566F" w:rsidRPr="007906AA" w:rsidRDefault="0086566F" w:rsidP="00F86D5F">
            <w:pPr>
              <w:cnfStyle w:val="000000100000" w:firstRow="0" w:lastRow="0" w:firstColumn="0" w:lastColumn="0" w:oddVBand="0" w:evenVBand="0" w:oddHBand="1" w:evenHBand="0" w:firstRowFirstColumn="0" w:firstRowLastColumn="0" w:lastRowFirstColumn="0" w:lastRowLastColumn="0"/>
              <w:rPr>
                <w:sz w:val="20"/>
                <w:szCs w:val="20"/>
              </w:rPr>
            </w:pPr>
            <w:r w:rsidRPr="007906AA">
              <w:rPr>
                <w:sz w:val="20"/>
                <w:szCs w:val="20"/>
              </w:rPr>
              <w:t>Powierzchnia przygotowanych terenów inwestycyjnych</w:t>
            </w:r>
          </w:p>
        </w:tc>
      </w:tr>
      <w:tr w:rsidR="0086566F" w:rsidRPr="007906AA" w14:paraId="056E27FC" w14:textId="77777777" w:rsidTr="00F86D5F">
        <w:trPr>
          <w:trHeight w:val="42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48E5D46" w14:textId="77777777" w:rsidR="0086566F" w:rsidRPr="007906AA" w:rsidRDefault="0086566F" w:rsidP="00F86D5F">
            <w:pPr>
              <w:rPr>
                <w:sz w:val="20"/>
                <w:szCs w:val="20"/>
              </w:rPr>
            </w:pPr>
          </w:p>
        </w:tc>
        <w:tc>
          <w:tcPr>
            <w:tcW w:w="0" w:type="auto"/>
            <w:vAlign w:val="center"/>
          </w:tcPr>
          <w:p w14:paraId="349CFBA1" w14:textId="77777777" w:rsidR="0086566F" w:rsidRPr="007906AA" w:rsidRDefault="0086566F" w:rsidP="00F86D5F">
            <w:pPr>
              <w:cnfStyle w:val="000000000000" w:firstRow="0" w:lastRow="0" w:firstColumn="0" w:lastColumn="0" w:oddVBand="0" w:evenVBand="0" w:oddHBand="0" w:evenHBand="0" w:firstRowFirstColumn="0" w:firstRowLastColumn="0" w:lastRowFirstColumn="0" w:lastRowLastColumn="0"/>
              <w:rPr>
                <w:sz w:val="20"/>
                <w:szCs w:val="20"/>
              </w:rPr>
            </w:pPr>
            <w:r w:rsidRPr="007906AA">
              <w:rPr>
                <w:sz w:val="20"/>
                <w:szCs w:val="20"/>
              </w:rPr>
              <w:t>Powierzchnia inkubatorów/ parków technologicznych</w:t>
            </w:r>
          </w:p>
        </w:tc>
      </w:tr>
      <w:tr w:rsidR="0086566F" w:rsidRPr="007906AA" w14:paraId="467C06AA" w14:textId="77777777" w:rsidTr="00F86D5F">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E008F83" w14:textId="77777777" w:rsidR="0086566F" w:rsidRPr="00B7322D" w:rsidRDefault="0086566F" w:rsidP="00F86D5F">
            <w:pPr>
              <w:rPr>
                <w:b w:val="0"/>
                <w:sz w:val="20"/>
                <w:szCs w:val="20"/>
              </w:rPr>
            </w:pPr>
            <w:r w:rsidRPr="00B7322D">
              <w:rPr>
                <w:b w:val="0"/>
                <w:sz w:val="20"/>
                <w:szCs w:val="20"/>
              </w:rPr>
              <w:t>Europejska Agenda Cyfrowa</w:t>
            </w:r>
          </w:p>
        </w:tc>
        <w:tc>
          <w:tcPr>
            <w:tcW w:w="0" w:type="auto"/>
            <w:vAlign w:val="center"/>
          </w:tcPr>
          <w:p w14:paraId="268E91CC" w14:textId="77777777" w:rsidR="0086566F" w:rsidRPr="007906AA" w:rsidRDefault="0086566F" w:rsidP="00F86D5F">
            <w:pPr>
              <w:cnfStyle w:val="000000100000" w:firstRow="0" w:lastRow="0" w:firstColumn="0" w:lastColumn="0" w:oddVBand="0" w:evenVBand="0" w:oddHBand="1" w:evenHBand="0" w:firstRowFirstColumn="0" w:firstRowLastColumn="0" w:lastRowFirstColumn="0" w:lastRowLastColumn="0"/>
              <w:rPr>
                <w:sz w:val="20"/>
                <w:szCs w:val="20"/>
              </w:rPr>
            </w:pPr>
            <w:r w:rsidRPr="007906AA">
              <w:rPr>
                <w:sz w:val="20"/>
                <w:szCs w:val="20"/>
              </w:rPr>
              <w:t>Liczba projektów dot. infrastruktury społeczeństwa informacyjnego</w:t>
            </w:r>
          </w:p>
        </w:tc>
      </w:tr>
    </w:tbl>
    <w:p w14:paraId="3FD6839B" w14:textId="77777777" w:rsidR="00705601" w:rsidRDefault="00705601" w:rsidP="00705601">
      <w:pPr>
        <w:spacing w:after="0"/>
        <w:jc w:val="both"/>
      </w:pPr>
    </w:p>
    <w:p w14:paraId="3237B076" w14:textId="77777777" w:rsidR="00705601" w:rsidRDefault="0086566F" w:rsidP="00705601">
      <w:pPr>
        <w:spacing w:after="0"/>
        <w:jc w:val="both"/>
      </w:pPr>
      <w:r>
        <w:t xml:space="preserve">W ramach priorytetu realizowane </w:t>
      </w:r>
      <w:r w:rsidR="00B7322D">
        <w:t>były</w:t>
      </w:r>
      <w:r>
        <w:t xml:space="preserve"> cztery wskaźniki Komisji Europejskiej tzw. </w:t>
      </w:r>
      <w:r w:rsidRPr="00705601">
        <w:rPr>
          <w:i/>
        </w:rPr>
        <w:t>core indicators</w:t>
      </w:r>
      <w:r>
        <w:t xml:space="preserve">: </w:t>
      </w:r>
    </w:p>
    <w:p w14:paraId="555B28FB" w14:textId="77777777" w:rsidR="00705601" w:rsidRPr="00705601" w:rsidRDefault="0086566F" w:rsidP="00705601">
      <w:pPr>
        <w:pStyle w:val="Akapitzlist"/>
        <w:numPr>
          <w:ilvl w:val="0"/>
          <w:numId w:val="98"/>
        </w:numPr>
        <w:spacing w:after="0"/>
        <w:jc w:val="both"/>
        <w:rPr>
          <w:i/>
        </w:rPr>
      </w:pPr>
      <w:r w:rsidRPr="00705601">
        <w:rPr>
          <w:i/>
        </w:rPr>
        <w:t xml:space="preserve">Liczba projektów z dziedziny B+R, </w:t>
      </w:r>
    </w:p>
    <w:p w14:paraId="244C8DAA" w14:textId="77777777" w:rsidR="00705601" w:rsidRPr="00705601" w:rsidRDefault="0086566F" w:rsidP="00705601">
      <w:pPr>
        <w:pStyle w:val="Akapitzlist"/>
        <w:numPr>
          <w:ilvl w:val="0"/>
          <w:numId w:val="98"/>
        </w:numPr>
        <w:spacing w:after="0"/>
        <w:jc w:val="both"/>
        <w:rPr>
          <w:i/>
        </w:rPr>
      </w:pPr>
      <w:r w:rsidRPr="00705601">
        <w:rPr>
          <w:i/>
        </w:rPr>
        <w:t xml:space="preserve">Liczba projektów z zakresu społeczeństwa informacyjnego, </w:t>
      </w:r>
    </w:p>
    <w:p w14:paraId="5A03DB66" w14:textId="77777777" w:rsidR="00705601" w:rsidRPr="00705601" w:rsidRDefault="0086566F" w:rsidP="00705601">
      <w:pPr>
        <w:pStyle w:val="Akapitzlist"/>
        <w:numPr>
          <w:ilvl w:val="0"/>
          <w:numId w:val="98"/>
        </w:numPr>
        <w:spacing w:after="0"/>
        <w:jc w:val="both"/>
        <w:rPr>
          <w:i/>
        </w:rPr>
      </w:pPr>
      <w:r w:rsidRPr="00705601">
        <w:rPr>
          <w:i/>
        </w:rPr>
        <w:t xml:space="preserve">Liczba projektów dotyczących współpracy pomiędzy przedsiębiorstwami a jednostkami badawczymi, </w:t>
      </w:r>
    </w:p>
    <w:p w14:paraId="0B1C8EBB" w14:textId="0B6F57D2" w:rsidR="0086566F" w:rsidRPr="00705601" w:rsidRDefault="0086566F" w:rsidP="00705601">
      <w:pPr>
        <w:pStyle w:val="Akapitzlist"/>
        <w:numPr>
          <w:ilvl w:val="0"/>
          <w:numId w:val="98"/>
        </w:numPr>
        <w:spacing w:after="0"/>
        <w:jc w:val="both"/>
      </w:pPr>
      <w:r w:rsidRPr="00705601">
        <w:rPr>
          <w:i/>
        </w:rPr>
        <w:t>Liczba bezpośrednio utworzonych nowych miejsc pracy (EPC)</w:t>
      </w:r>
      <w:r w:rsidR="00705601">
        <w:rPr>
          <w:i/>
        </w:rPr>
        <w:t xml:space="preserve"> </w:t>
      </w:r>
      <w:r w:rsidRPr="00705601">
        <w:rPr>
          <w:i/>
        </w:rPr>
        <w:t>w tym w podziale na kobiety i mężczyzn.</w:t>
      </w:r>
    </w:p>
    <w:p w14:paraId="23839EC9" w14:textId="77777777" w:rsidR="00705601" w:rsidRPr="0086566F" w:rsidRDefault="00705601" w:rsidP="00705601">
      <w:pPr>
        <w:pStyle w:val="Akapitzlist"/>
        <w:spacing w:after="0"/>
        <w:jc w:val="both"/>
      </w:pPr>
    </w:p>
    <w:p w14:paraId="24B5C7E1" w14:textId="77777777" w:rsidR="007320CA" w:rsidRDefault="007320CA" w:rsidP="0094320D">
      <w:pPr>
        <w:spacing w:after="120"/>
        <w:jc w:val="both"/>
        <w:rPr>
          <w:rFonts w:eastAsia="Calibri"/>
          <w:b/>
          <w:bCs/>
          <w:szCs w:val="24"/>
          <w:lang w:eastAsia="en-US"/>
        </w:rPr>
      </w:pPr>
      <w:r w:rsidRPr="007320CA">
        <w:rPr>
          <w:rFonts w:eastAsia="Calibri"/>
          <w:b/>
          <w:bCs/>
          <w:szCs w:val="24"/>
          <w:lang w:eastAsia="en-US"/>
        </w:rPr>
        <w:t>Realizacja ewentu</w:t>
      </w:r>
      <w:r>
        <w:rPr>
          <w:rFonts w:eastAsia="Calibri"/>
          <w:b/>
          <w:bCs/>
          <w:szCs w:val="24"/>
          <w:lang w:eastAsia="en-US"/>
        </w:rPr>
        <w:t>alnych zaleceń i rekomendacji KE</w:t>
      </w:r>
    </w:p>
    <w:p w14:paraId="3DEB3B1F" w14:textId="77777777" w:rsidR="00DB4A38" w:rsidRDefault="00DB4A38" w:rsidP="00DB4A38">
      <w:pPr>
        <w:spacing w:before="120" w:after="120"/>
        <w:jc w:val="both"/>
        <w:rPr>
          <w:lang w:eastAsia="ar-SA"/>
        </w:rPr>
      </w:pPr>
      <w:r w:rsidRPr="00BA2CDA">
        <w:rPr>
          <w:lang w:eastAsia="ar-SA"/>
        </w:rPr>
        <w:t xml:space="preserve">IZ RPO WSL </w:t>
      </w:r>
      <w:r>
        <w:rPr>
          <w:lang w:eastAsia="ar-SA"/>
        </w:rPr>
        <w:t>otrzymywała zalecenia/rekomendacje ze strony KE w ramach przedmiotowego priorytetu w zakresie doprecyzowania lub uzupełnienia</w:t>
      </w:r>
      <w:r w:rsidRPr="003A7E82">
        <w:rPr>
          <w:lang w:eastAsia="ar-SA"/>
        </w:rPr>
        <w:t xml:space="preserve"> </w:t>
      </w:r>
      <w:r>
        <w:rPr>
          <w:lang w:eastAsia="ar-SA"/>
        </w:rPr>
        <w:t>w kolejnych sprawozdaniach</w:t>
      </w:r>
      <w:r w:rsidRPr="009C6E3A">
        <w:rPr>
          <w:lang w:eastAsia="ar-SA"/>
        </w:rPr>
        <w:t xml:space="preserve"> </w:t>
      </w:r>
      <w:r>
        <w:rPr>
          <w:lang w:eastAsia="ar-SA"/>
        </w:rPr>
        <w:t>przedstawianych informacji dot. wdrażania priorytetu.</w:t>
      </w:r>
    </w:p>
    <w:p w14:paraId="272A9543" w14:textId="77777777" w:rsidR="006601B6" w:rsidRDefault="006601B6" w:rsidP="006601B6">
      <w:pPr>
        <w:spacing w:before="120" w:after="120"/>
        <w:jc w:val="both"/>
        <w:rPr>
          <w:b/>
          <w:lang w:eastAsia="ar-SA"/>
        </w:rPr>
      </w:pPr>
      <w:r w:rsidRPr="00194369">
        <w:rPr>
          <w:b/>
          <w:lang w:eastAsia="ar-SA"/>
        </w:rPr>
        <w:t>Opis wkładu priorytetu w redukcję ubóstwa</w:t>
      </w:r>
    </w:p>
    <w:p w14:paraId="7E47E509" w14:textId="027F5657" w:rsidR="006601B6" w:rsidRPr="006601B6" w:rsidRDefault="00B8015D" w:rsidP="006601B6">
      <w:pPr>
        <w:autoSpaceDE w:val="0"/>
        <w:autoSpaceDN w:val="0"/>
        <w:adjustRightInd w:val="0"/>
        <w:spacing w:before="120" w:after="120"/>
        <w:jc w:val="both"/>
        <w:rPr>
          <w:rFonts w:eastAsia="Calibri"/>
          <w:szCs w:val="24"/>
        </w:rPr>
      </w:pPr>
      <w:r>
        <w:rPr>
          <w:rFonts w:eastAsia="Calibri"/>
          <w:szCs w:val="24"/>
        </w:rPr>
        <w:t>W ramach o</w:t>
      </w:r>
      <w:r w:rsidR="00E76291">
        <w:rPr>
          <w:rFonts w:eastAsia="Calibri"/>
          <w:szCs w:val="24"/>
        </w:rPr>
        <w:t>si priorytetowej I nie realizowano projektów</w:t>
      </w:r>
      <w:r w:rsidR="006601B6">
        <w:rPr>
          <w:rFonts w:eastAsia="Calibri"/>
          <w:szCs w:val="24"/>
        </w:rPr>
        <w:t xml:space="preserve"> wpływając</w:t>
      </w:r>
      <w:r w:rsidR="00E76291">
        <w:rPr>
          <w:rFonts w:eastAsia="Calibri"/>
          <w:szCs w:val="24"/>
        </w:rPr>
        <w:t>ych</w:t>
      </w:r>
      <w:r w:rsidR="006601B6">
        <w:rPr>
          <w:rFonts w:eastAsia="Calibri"/>
          <w:szCs w:val="24"/>
        </w:rPr>
        <w:t xml:space="preserve"> na redukcję ubóstwa.</w:t>
      </w:r>
    </w:p>
    <w:p w14:paraId="7562751A" w14:textId="0375FA88" w:rsidR="007C2EE9" w:rsidRDefault="007320CA" w:rsidP="0094320D">
      <w:pPr>
        <w:tabs>
          <w:tab w:val="left" w:pos="1276"/>
        </w:tabs>
        <w:autoSpaceDE w:val="0"/>
        <w:autoSpaceDN w:val="0"/>
        <w:adjustRightInd w:val="0"/>
        <w:spacing w:after="120"/>
        <w:jc w:val="both"/>
        <w:rPr>
          <w:b/>
          <w:szCs w:val="24"/>
        </w:rPr>
      </w:pPr>
      <w:r w:rsidRPr="007320CA">
        <w:rPr>
          <w:b/>
          <w:szCs w:val="24"/>
        </w:rPr>
        <w:t>Podsumowanie</w:t>
      </w:r>
    </w:p>
    <w:p w14:paraId="3448FBD9" w14:textId="70E2E540" w:rsidR="002902C4" w:rsidRPr="00187217" w:rsidRDefault="006B2972" w:rsidP="002902C4">
      <w:pPr>
        <w:spacing w:before="120" w:after="0" w:line="288" w:lineRule="auto"/>
        <w:jc w:val="both"/>
        <w:rPr>
          <w:rFonts w:ascii="Lato" w:hAnsi="Lato" w:cs="Tahoma"/>
          <w:sz w:val="20"/>
          <w:szCs w:val="20"/>
        </w:rPr>
      </w:pPr>
      <w:r w:rsidRPr="00FF0644">
        <w:rPr>
          <w:szCs w:val="24"/>
        </w:rPr>
        <w:t xml:space="preserve">Celem </w:t>
      </w:r>
      <w:r>
        <w:rPr>
          <w:szCs w:val="24"/>
        </w:rPr>
        <w:t>p</w:t>
      </w:r>
      <w:r w:rsidRPr="00FF0644">
        <w:rPr>
          <w:szCs w:val="24"/>
        </w:rPr>
        <w:t>riorytetu I był wzrost konkurencyjności gospodarki opartej na wiedzy.</w:t>
      </w:r>
      <w:r>
        <w:rPr>
          <w:szCs w:val="24"/>
        </w:rPr>
        <w:t xml:space="preserve"> Według przeprowadzonego badania ewaluacyjnego ex-post</w:t>
      </w:r>
      <w:r w:rsidR="00F73039">
        <w:rPr>
          <w:szCs w:val="24"/>
        </w:rPr>
        <w:t>,</w:t>
      </w:r>
      <w:r>
        <w:rPr>
          <w:szCs w:val="24"/>
        </w:rPr>
        <w:t xml:space="preserve"> c</w:t>
      </w:r>
      <w:r w:rsidRPr="00FF0644">
        <w:rPr>
          <w:szCs w:val="24"/>
        </w:rPr>
        <w:t>el t</w:t>
      </w:r>
      <w:r>
        <w:rPr>
          <w:szCs w:val="24"/>
        </w:rPr>
        <w:t>en należy uznać za osiągnięty w </w:t>
      </w:r>
      <w:r w:rsidRPr="00FF0644">
        <w:rPr>
          <w:szCs w:val="24"/>
        </w:rPr>
        <w:t xml:space="preserve">wysokim stopniu. Jedynie liczba projektów z zakresu </w:t>
      </w:r>
      <w:r>
        <w:rPr>
          <w:szCs w:val="24"/>
        </w:rPr>
        <w:t>B+R była zdecydowanie niższa od </w:t>
      </w:r>
      <w:r w:rsidRPr="00FF0644">
        <w:rPr>
          <w:szCs w:val="24"/>
        </w:rPr>
        <w:t>zakładanej. Cele poszczególnych działań zostały osiągnięte w zróżnicowanym stopniu. Za</w:t>
      </w:r>
      <w:r>
        <w:rPr>
          <w:szCs w:val="24"/>
        </w:rPr>
        <w:t> </w:t>
      </w:r>
      <w:r w:rsidRPr="00FF0644">
        <w:rPr>
          <w:szCs w:val="24"/>
        </w:rPr>
        <w:t xml:space="preserve">najbardziej skuteczne należy uznać </w:t>
      </w:r>
      <w:r w:rsidRPr="008D3201">
        <w:rPr>
          <w:i/>
          <w:szCs w:val="24"/>
        </w:rPr>
        <w:t>poddziałanie 1.1.1,</w:t>
      </w:r>
      <w:r w:rsidRPr="00FF0644">
        <w:rPr>
          <w:szCs w:val="24"/>
        </w:rPr>
        <w:t xml:space="preserve"> które wpłynęło istotnie na wzrost liczby inwestycji w regionie oraz charakteryzowało się wysoką efektywnością </w:t>
      </w:r>
      <w:r w:rsidR="002902C4" w:rsidRPr="00FF0644">
        <w:rPr>
          <w:szCs w:val="24"/>
        </w:rPr>
        <w:t>kosztową, jeżeli</w:t>
      </w:r>
      <w:r w:rsidRPr="00FF0644">
        <w:rPr>
          <w:szCs w:val="24"/>
        </w:rPr>
        <w:t xml:space="preserve"> chodzi o tworzenie miejsc pracy. </w:t>
      </w:r>
    </w:p>
    <w:p w14:paraId="2D646A50" w14:textId="77777777" w:rsidR="002902C4" w:rsidRDefault="006B2972" w:rsidP="003D5551">
      <w:pPr>
        <w:spacing w:after="120"/>
        <w:jc w:val="both"/>
        <w:rPr>
          <w:szCs w:val="24"/>
        </w:rPr>
      </w:pPr>
      <w:r w:rsidRPr="008D3201">
        <w:rPr>
          <w:i/>
          <w:szCs w:val="24"/>
        </w:rPr>
        <w:t>Działanie 1.2</w:t>
      </w:r>
      <w:r w:rsidRPr="00FF0644">
        <w:rPr>
          <w:szCs w:val="24"/>
        </w:rPr>
        <w:t xml:space="preserve"> miało wyraźny wpływ na wzrost konkurencyjności przedsiębiorstw. Zawdzięczany on był</w:t>
      </w:r>
      <w:r>
        <w:rPr>
          <w:szCs w:val="24"/>
        </w:rPr>
        <w:t xml:space="preserve"> przede wszystkim inwestycjom w </w:t>
      </w:r>
      <w:r w:rsidRPr="00FF0644">
        <w:rPr>
          <w:szCs w:val="24"/>
        </w:rPr>
        <w:t xml:space="preserve">środki trwałe o umiarkowanym poziomie innowacyjności. Bardzo mała liczba firm zdecydowała się na realizację projektów dotyczących podjęcia lub rozwoju działalności B+R. Dużym powodzeniem cieszyły się typy projektów dotyczące umiędzynarodowienia działalności firm poprzez dofinansowanie ich udziału w zagranicznych imprezach gospodarczych. Wsparcie tego rodzaju przekładało się na nawiązywanie nowych kontaktów handlowych. Udzielane firmom wsparcie miało małe </w:t>
      </w:r>
      <w:r w:rsidRPr="00FF0644">
        <w:rPr>
          <w:szCs w:val="24"/>
        </w:rPr>
        <w:lastRenderedPageBreak/>
        <w:t xml:space="preserve">przełożenie na kondycję śląskiej gospodarki w skali makro, co wynikało z faktu wsparcia mniej niż 1% populacji śląskich firm. W szczególnie niewielkim stopniu zostały wsparte firmy mikro. </w:t>
      </w:r>
    </w:p>
    <w:p w14:paraId="2620DA8A" w14:textId="4CC5DDF5" w:rsidR="003D5551" w:rsidRDefault="006B2972" w:rsidP="003D5551">
      <w:pPr>
        <w:spacing w:after="120"/>
        <w:jc w:val="both"/>
        <w:rPr>
          <w:szCs w:val="24"/>
        </w:rPr>
      </w:pPr>
      <w:r w:rsidRPr="00FF0644">
        <w:rPr>
          <w:szCs w:val="24"/>
        </w:rPr>
        <w:t xml:space="preserve">W </w:t>
      </w:r>
      <w:r w:rsidRPr="008D3201">
        <w:rPr>
          <w:i/>
          <w:szCs w:val="24"/>
        </w:rPr>
        <w:t>działaniu 1.3</w:t>
      </w:r>
      <w:r w:rsidRPr="00FF0644">
        <w:rPr>
          <w:szCs w:val="24"/>
        </w:rPr>
        <w:t xml:space="preserve"> skuteczność poszczególnych typów projektów w stymulowaniu transferu technologii i innowacyjności była mocno zróżnicowania. Najlepsze efekty w tym zakresie przyniosło wsparcie jednostek naukowych oraz wybranych parków technologicznych, najmniejsze </w:t>
      </w:r>
      <w:r w:rsidR="00F73039">
        <w:rPr>
          <w:szCs w:val="24"/>
        </w:rPr>
        <w:t xml:space="preserve">- </w:t>
      </w:r>
      <w:r w:rsidRPr="00FF0644">
        <w:rPr>
          <w:szCs w:val="24"/>
        </w:rPr>
        <w:t>wsparcie klastrów</w:t>
      </w:r>
      <w:r w:rsidR="00F73039">
        <w:rPr>
          <w:szCs w:val="24"/>
        </w:rPr>
        <w:t>,</w:t>
      </w:r>
      <w:r w:rsidRPr="00FF0644">
        <w:rPr>
          <w:szCs w:val="24"/>
        </w:rPr>
        <w:t xml:space="preserve"> co wynikało z charakteru dofinansowanych projektów (dotyczyły raczej podstaw funkcjonowania klastra a nie jego działalności innowacyjnej). </w:t>
      </w:r>
    </w:p>
    <w:p w14:paraId="06848CF9" w14:textId="5DE0D592" w:rsidR="003D5551" w:rsidRDefault="003D5551" w:rsidP="003D5551">
      <w:pPr>
        <w:spacing w:after="120"/>
        <w:jc w:val="both"/>
      </w:pPr>
      <w:r w:rsidRPr="007C2EE9">
        <w:t>W trosce o wzmocnienie innowacyjności firm regionu i lepsze wykorzystanie regionalnego potencjału badawczo-rozwojowego w województwie śląskim</w:t>
      </w:r>
      <w:r w:rsidR="00F73039">
        <w:t>,</w:t>
      </w:r>
      <w:r w:rsidRPr="007C2EE9">
        <w:t xml:space="preserve"> ponad 10 lat temu powstała strategia innowacji. </w:t>
      </w:r>
      <w:r w:rsidRPr="007C2EE9">
        <w:rPr>
          <w:rFonts w:eastAsia="Century Schoolbook"/>
          <w:szCs w:val="24"/>
        </w:rPr>
        <w:t xml:space="preserve">W </w:t>
      </w:r>
      <w:r w:rsidRPr="007C2EE9">
        <w:rPr>
          <w:rFonts w:eastAsia="Century Schoolbook"/>
          <w:i/>
          <w:szCs w:val="24"/>
        </w:rPr>
        <w:t>Regionalnej Strategii Innowacji Województwa Śląskiego na lata 2013-2020</w:t>
      </w:r>
      <w:r w:rsidRPr="007C2EE9">
        <w:rPr>
          <w:rFonts w:eastAsia="Century Schoolbook"/>
          <w:szCs w:val="24"/>
        </w:rPr>
        <w:t xml:space="preserve"> (RIS WSL 2013-2020) oraz </w:t>
      </w:r>
      <w:r w:rsidRPr="007C2EE9">
        <w:rPr>
          <w:rFonts w:eastAsia="Century Schoolbook"/>
          <w:i/>
          <w:szCs w:val="24"/>
        </w:rPr>
        <w:t>Programie Rozwoju Technologii Województwa Śląskiego na lata 2010-2020</w:t>
      </w:r>
      <w:r w:rsidRPr="007C2EE9">
        <w:rPr>
          <w:rFonts w:eastAsia="Century Schoolbook"/>
          <w:szCs w:val="24"/>
        </w:rPr>
        <w:t xml:space="preserve"> (PRT) określone zostało portfolio technologiczne województwa śląskiego. </w:t>
      </w:r>
    </w:p>
    <w:p w14:paraId="1D172055" w14:textId="5116CA72" w:rsidR="0040251D" w:rsidRDefault="006B2972" w:rsidP="002902C4">
      <w:pPr>
        <w:spacing w:after="120"/>
        <w:jc w:val="both"/>
      </w:pPr>
      <w:r>
        <w:t>C</w:t>
      </w:r>
      <w:r w:rsidR="0040251D" w:rsidRPr="007C2EE9">
        <w:t>iekawym projektem przyczyniającym się do wzrostu konkurencyjności regionalnej gospodarki opartej na wiedzy</w:t>
      </w:r>
      <w:r>
        <w:t xml:space="preserve"> realizowanym w ramach priorytetu I był projekt</w:t>
      </w:r>
      <w:r w:rsidR="0040251D" w:rsidRPr="007C2EE9">
        <w:t xml:space="preserve"> </w:t>
      </w:r>
      <w:r w:rsidR="0071162E">
        <w:rPr>
          <w:i/>
        </w:rPr>
        <w:t>Innowacje poprzez wdro</w:t>
      </w:r>
      <w:r w:rsidR="008D3201">
        <w:rPr>
          <w:i/>
        </w:rPr>
        <w:t>że</w:t>
      </w:r>
      <w:r w:rsidR="0040251D" w:rsidRPr="00A979AF">
        <w:rPr>
          <w:i/>
        </w:rPr>
        <w:t>nie rozwiązań wirtualnej rzeczywistości</w:t>
      </w:r>
      <w:r w:rsidR="00F73039">
        <w:rPr>
          <w:i/>
        </w:rPr>
        <w:t>,</w:t>
      </w:r>
      <w:r w:rsidR="0040251D">
        <w:t xml:space="preserve"> polegający</w:t>
      </w:r>
      <w:r w:rsidR="0040251D" w:rsidRPr="007C2EE9">
        <w:t xml:space="preserve"> na wdrożeniu innowacyjnych technologii sprzętowej i programistycznej służącej do tworzenia nowych produktów wirtualnej rzeczywistości. </w:t>
      </w:r>
      <w:r w:rsidR="003D5551">
        <w:t xml:space="preserve">Firma </w:t>
      </w:r>
      <w:r w:rsidR="0040251D" w:rsidRPr="007C2EE9">
        <w:t>i3D oferuje najnowocześniejsze na skalę światową, kompleksowe rozwiązania aplikacyjne i sprzętowe,</w:t>
      </w:r>
      <w:r w:rsidR="003D5551">
        <w:t xml:space="preserve"> które umożliwiają interakcję i </w:t>
      </w:r>
      <w:r w:rsidR="0040251D" w:rsidRPr="007C2EE9">
        <w:t>pełne odwzorowanie świata realnego w wirtualnej rz</w:t>
      </w:r>
      <w:r w:rsidR="003D5551">
        <w:t>eczywistości. Rozwiązania i3D z </w:t>
      </w:r>
      <w:r w:rsidR="0040251D" w:rsidRPr="007C2EE9">
        <w:t>powodzeniem wykorzystywane są w branży petrochemicznej, wydobywczej, przemysłowej, marketingu i reklamie, edukacji, projektowaniu i wzorni</w:t>
      </w:r>
      <w:r w:rsidR="003D5551">
        <w:t>ctwie przemysłowym, medycynie i </w:t>
      </w:r>
      <w:r w:rsidR="0040251D" w:rsidRPr="007C2EE9">
        <w:t>naukach biologicznych, informacji i turystyce, planowaniu i optymalizacji.</w:t>
      </w:r>
    </w:p>
    <w:p w14:paraId="63C090B6" w14:textId="24195CA6" w:rsidR="003D5551" w:rsidRPr="00FF0644" w:rsidRDefault="003D5551" w:rsidP="002902C4">
      <w:pPr>
        <w:spacing w:before="120" w:after="120" w:line="288" w:lineRule="auto"/>
        <w:jc w:val="both"/>
        <w:rPr>
          <w:szCs w:val="24"/>
        </w:rPr>
      </w:pPr>
      <w:r w:rsidRPr="00FF0644">
        <w:rPr>
          <w:szCs w:val="24"/>
        </w:rPr>
        <w:t xml:space="preserve">Podsumowując, należy uznać, iż wsparcie udzielane w ramach </w:t>
      </w:r>
      <w:r w:rsidRPr="008D3201">
        <w:rPr>
          <w:i/>
          <w:szCs w:val="24"/>
        </w:rPr>
        <w:t>priorytetu I</w:t>
      </w:r>
      <w:r w:rsidRPr="00FF0644">
        <w:rPr>
          <w:szCs w:val="24"/>
        </w:rPr>
        <w:t xml:space="preserve"> zaspokajało potrzeby beneficjentów</w:t>
      </w:r>
      <w:r w:rsidR="000B4F29">
        <w:rPr>
          <w:szCs w:val="24"/>
        </w:rPr>
        <w:t>,</w:t>
      </w:r>
      <w:r w:rsidRPr="00FF0644">
        <w:rPr>
          <w:szCs w:val="24"/>
        </w:rPr>
        <w:t xml:space="preserve"> natomiast nie zaspokoiło wszystkich potrzeb regionu dotyczących wzrostu konkurencyjności gospodarki opartej na wiedzy. </w:t>
      </w:r>
      <w:r w:rsidR="002902C4" w:rsidRPr="002902C4">
        <w:rPr>
          <w:szCs w:val="24"/>
        </w:rPr>
        <w:t xml:space="preserve">Cel </w:t>
      </w:r>
      <w:r w:rsidR="002902C4" w:rsidRPr="008D3201">
        <w:rPr>
          <w:i/>
          <w:szCs w:val="24"/>
        </w:rPr>
        <w:t>priorytetu I</w:t>
      </w:r>
      <w:r w:rsidR="002902C4" w:rsidRPr="002902C4">
        <w:rPr>
          <w:szCs w:val="24"/>
        </w:rPr>
        <w:t xml:space="preserve"> miał zostać zrealizowany z wykorzystaniem szeregu zróżnicowanych instrumentów. Ich skuteczność mierzona poziomem osiągnięcia wskaźników produktu i rezultatu była stosunkowo wysoka</w:t>
      </w:r>
      <w:r w:rsidR="002902C4">
        <w:rPr>
          <w:szCs w:val="24"/>
        </w:rPr>
        <w:t>.</w:t>
      </w:r>
      <w:r w:rsidR="002902C4" w:rsidRPr="00FF0644">
        <w:rPr>
          <w:szCs w:val="24"/>
        </w:rPr>
        <w:t xml:space="preserve"> </w:t>
      </w:r>
      <w:r w:rsidRPr="00FF0644">
        <w:rPr>
          <w:szCs w:val="24"/>
        </w:rPr>
        <w:t>Wyzwaniami, które pozostają aktualne w przyszłości są przede wszystkim stymulowanie aktywności badawczo–rozwojowej firm oraz rozwój proinnowacyjnej działalności parków technologicznych. Należy kontynuować też wsparcie dla jednostek naukowych.</w:t>
      </w:r>
    </w:p>
    <w:p w14:paraId="1A350C82" w14:textId="527BC900" w:rsidR="0040251D" w:rsidRDefault="00FF0644" w:rsidP="00705601">
      <w:pPr>
        <w:spacing w:after="0"/>
        <w:jc w:val="both"/>
        <w:rPr>
          <w:szCs w:val="24"/>
        </w:rPr>
      </w:pPr>
      <w:r w:rsidRPr="007C2EE9">
        <w:t xml:space="preserve">W ramach przedmiotowego priorytetu na terenie województwa śląskiego realizowane </w:t>
      </w:r>
      <w:r>
        <w:t>były</w:t>
      </w:r>
      <w:r w:rsidRPr="007C2EE9">
        <w:t xml:space="preserve"> także projekty w ramach dwóch krajowych programów operacyjnych. </w:t>
      </w:r>
      <w:r w:rsidRPr="00BA3680">
        <w:t xml:space="preserve">Szczegółowe informacje zostały przedstawione w pkt. 2.1.6.2 niniejszego </w:t>
      </w:r>
      <w:r w:rsidRPr="00BA3680">
        <w:rPr>
          <w:i/>
        </w:rPr>
        <w:t>Sprawozdania.</w:t>
      </w:r>
    </w:p>
    <w:p w14:paraId="71DAE102" w14:textId="77777777" w:rsidR="00705601" w:rsidRPr="00705601" w:rsidRDefault="00705601" w:rsidP="00705601">
      <w:pPr>
        <w:spacing w:after="0"/>
        <w:jc w:val="both"/>
        <w:rPr>
          <w:szCs w:val="24"/>
        </w:rPr>
      </w:pPr>
    </w:p>
    <w:p w14:paraId="7808AFCC" w14:textId="6C87BD09" w:rsidR="007C2EE9" w:rsidRPr="007320CA" w:rsidRDefault="007320CA" w:rsidP="004914D8">
      <w:pPr>
        <w:pStyle w:val="Akapitzlist"/>
        <w:numPr>
          <w:ilvl w:val="2"/>
          <w:numId w:val="50"/>
        </w:numPr>
        <w:jc w:val="both"/>
        <w:rPr>
          <w:b/>
          <w:bCs/>
          <w:szCs w:val="24"/>
        </w:rPr>
      </w:pPr>
      <w:bookmarkStart w:id="283" w:name="_Toc262031895"/>
      <w:bookmarkStart w:id="284" w:name="_Toc292789280"/>
      <w:bookmarkStart w:id="285" w:name="_Toc292793573"/>
      <w:bookmarkStart w:id="286" w:name="_Toc324853897"/>
      <w:bookmarkStart w:id="287" w:name="_Toc327259249"/>
      <w:bookmarkStart w:id="288" w:name="_Toc386455207"/>
      <w:bookmarkStart w:id="289" w:name="_Toc386571823"/>
      <w:bookmarkStart w:id="290" w:name="_Toc386572248"/>
      <w:bookmarkStart w:id="291" w:name="_Toc419180264"/>
      <w:bookmarkStart w:id="292" w:name="_Toc423351782"/>
      <w:r w:rsidRPr="007320CA">
        <w:rPr>
          <w:b/>
          <w:szCs w:val="24"/>
        </w:rPr>
        <w:t xml:space="preserve">OPIS ISTOTNYCH PROBLEMÓW WE WDRAŻANIU WRAZ Z PODJĘTYMI ŚRODKAMI </w:t>
      </w:r>
      <w:r w:rsidRPr="007320CA">
        <w:rPr>
          <w:b/>
          <w:bCs/>
          <w:szCs w:val="24"/>
        </w:rPr>
        <w:t>ZARADCZYMI</w:t>
      </w:r>
      <w:bookmarkEnd w:id="283"/>
      <w:bookmarkEnd w:id="284"/>
      <w:bookmarkEnd w:id="285"/>
      <w:bookmarkEnd w:id="286"/>
      <w:bookmarkEnd w:id="287"/>
      <w:bookmarkEnd w:id="288"/>
      <w:bookmarkEnd w:id="289"/>
      <w:bookmarkEnd w:id="290"/>
      <w:bookmarkEnd w:id="291"/>
      <w:bookmarkEnd w:id="292"/>
    </w:p>
    <w:p w14:paraId="2C12EF00" w14:textId="44462810" w:rsidR="008D3201" w:rsidRPr="00705601" w:rsidRDefault="00C462FD" w:rsidP="004C5F1F">
      <w:pPr>
        <w:autoSpaceDE w:val="0"/>
        <w:autoSpaceDN w:val="0"/>
        <w:adjustRightInd w:val="0"/>
        <w:spacing w:after="0"/>
        <w:jc w:val="both"/>
        <w:rPr>
          <w:rFonts w:eastAsia="Calibri"/>
          <w:i/>
          <w:iCs/>
          <w:color w:val="000000"/>
          <w:szCs w:val="24"/>
        </w:rPr>
      </w:pPr>
      <w:r w:rsidRPr="00F93BD6">
        <w:rPr>
          <w:szCs w:val="24"/>
        </w:rPr>
        <w:t>Wdrażanie priorytetu napotkało na problemy głównie na</w:t>
      </w:r>
      <w:r>
        <w:rPr>
          <w:szCs w:val="24"/>
        </w:rPr>
        <w:t xml:space="preserve">tury zewnętrznej i dotyczyło projektów w ramach </w:t>
      </w:r>
      <w:r w:rsidRPr="001A6330">
        <w:rPr>
          <w:i/>
          <w:szCs w:val="24"/>
        </w:rPr>
        <w:t xml:space="preserve">działania </w:t>
      </w:r>
      <w:r w:rsidR="002A0102">
        <w:rPr>
          <w:i/>
          <w:szCs w:val="24"/>
        </w:rPr>
        <w:t>1</w:t>
      </w:r>
      <w:r w:rsidRPr="001A6330">
        <w:rPr>
          <w:i/>
          <w:szCs w:val="24"/>
        </w:rPr>
        <w:t>.</w:t>
      </w:r>
      <w:r w:rsidR="002A0102">
        <w:rPr>
          <w:i/>
          <w:szCs w:val="24"/>
        </w:rPr>
        <w:t>3</w:t>
      </w:r>
      <w:r w:rsidR="00217827">
        <w:rPr>
          <w:i/>
          <w:szCs w:val="24"/>
        </w:rPr>
        <w:t>,</w:t>
      </w:r>
      <w:r w:rsidRPr="00F93BD6">
        <w:rPr>
          <w:szCs w:val="24"/>
        </w:rPr>
        <w:t xml:space="preserve"> </w:t>
      </w:r>
      <w:r w:rsidR="00217827">
        <w:rPr>
          <w:szCs w:val="24"/>
        </w:rPr>
        <w:t>a</w:t>
      </w:r>
      <w:r w:rsidR="002A0102">
        <w:rPr>
          <w:szCs w:val="24"/>
        </w:rPr>
        <w:t xml:space="preserve"> związane było</w:t>
      </w:r>
      <w:r w:rsidR="002A0102">
        <w:rPr>
          <w:rFonts w:eastAsia="Calibri"/>
          <w:color w:val="000000"/>
          <w:szCs w:val="24"/>
        </w:rPr>
        <w:t xml:space="preserve"> </w:t>
      </w:r>
      <w:r w:rsidRPr="00C462FD">
        <w:rPr>
          <w:rFonts w:eastAsia="Calibri"/>
          <w:color w:val="000000"/>
          <w:szCs w:val="24"/>
        </w:rPr>
        <w:t xml:space="preserve">z brakiem </w:t>
      </w:r>
      <w:r w:rsidRPr="00C462FD">
        <w:rPr>
          <w:rFonts w:eastAsia="Calibri"/>
          <w:i/>
          <w:iCs/>
          <w:color w:val="000000"/>
          <w:szCs w:val="24"/>
        </w:rPr>
        <w:t>Rozporządzenia Ministra Rozwoju Regionalnego w sprawie udzielania pomocy na inwestycje w zakresie: energetyki, infrastruktury telekomunikacyjnej, infrastruktury sfery badawczo rozwojowej, lecznictwa uzdrowiskowego w ramach regi</w:t>
      </w:r>
      <w:r w:rsidR="002A0102">
        <w:rPr>
          <w:rFonts w:eastAsia="Calibri"/>
          <w:i/>
          <w:iCs/>
          <w:color w:val="000000"/>
          <w:szCs w:val="24"/>
        </w:rPr>
        <w:t xml:space="preserve">onalnych programów operacyjnych. </w:t>
      </w:r>
      <w:r w:rsidR="002A0102" w:rsidRPr="00217827">
        <w:rPr>
          <w:rFonts w:eastAsia="Calibri"/>
          <w:iCs/>
          <w:color w:val="000000"/>
          <w:szCs w:val="24"/>
        </w:rPr>
        <w:t>Dla beneficj</w:t>
      </w:r>
      <w:r w:rsidR="00217827" w:rsidRPr="00217827">
        <w:rPr>
          <w:rFonts w:eastAsia="Calibri"/>
          <w:iCs/>
          <w:color w:val="000000"/>
          <w:szCs w:val="24"/>
        </w:rPr>
        <w:t xml:space="preserve">entów </w:t>
      </w:r>
      <w:r w:rsidR="00217827" w:rsidRPr="00217827">
        <w:rPr>
          <w:rFonts w:eastAsia="Calibri"/>
          <w:iCs/>
          <w:color w:val="000000"/>
          <w:szCs w:val="24"/>
        </w:rPr>
        <w:lastRenderedPageBreak/>
        <w:t xml:space="preserve">konsekwencją </w:t>
      </w:r>
      <w:r w:rsidR="00217827">
        <w:rPr>
          <w:rFonts w:eastAsia="Calibri"/>
          <w:iCs/>
          <w:color w:val="000000"/>
          <w:szCs w:val="24"/>
        </w:rPr>
        <w:t xml:space="preserve">braku </w:t>
      </w:r>
      <w:r w:rsidR="00217827" w:rsidRPr="00217827">
        <w:rPr>
          <w:rFonts w:eastAsia="Calibri"/>
          <w:i/>
          <w:iCs/>
          <w:color w:val="000000"/>
          <w:szCs w:val="24"/>
        </w:rPr>
        <w:t>ww. Rozporządzenia</w:t>
      </w:r>
      <w:r w:rsidR="00217827">
        <w:rPr>
          <w:rFonts w:eastAsia="Calibri"/>
          <w:iCs/>
          <w:color w:val="000000"/>
          <w:szCs w:val="24"/>
        </w:rPr>
        <w:t xml:space="preserve"> były opóźnienia w ogłaszaniu przez </w:t>
      </w:r>
      <w:r w:rsidRPr="00C462FD">
        <w:rPr>
          <w:rFonts w:eastAsia="Calibri"/>
          <w:color w:val="000000"/>
          <w:szCs w:val="24"/>
        </w:rPr>
        <w:t xml:space="preserve">IZ RPO WSL </w:t>
      </w:r>
      <w:r w:rsidR="00217827">
        <w:rPr>
          <w:rFonts w:eastAsia="Calibri"/>
          <w:color w:val="000000"/>
          <w:szCs w:val="24"/>
        </w:rPr>
        <w:t>konkursów</w:t>
      </w:r>
      <w:r w:rsidRPr="00C462FD">
        <w:rPr>
          <w:rFonts w:eastAsia="Calibri"/>
          <w:color w:val="000000"/>
          <w:szCs w:val="24"/>
        </w:rPr>
        <w:t xml:space="preserve"> dla </w:t>
      </w:r>
      <w:r w:rsidRPr="00C462FD">
        <w:rPr>
          <w:rFonts w:eastAsia="Calibri"/>
          <w:i/>
          <w:color w:val="000000"/>
          <w:szCs w:val="24"/>
        </w:rPr>
        <w:t xml:space="preserve">działania </w:t>
      </w:r>
      <w:r w:rsidR="00217827" w:rsidRPr="004B6676">
        <w:rPr>
          <w:rFonts w:eastAsia="Calibri"/>
          <w:i/>
          <w:iCs/>
          <w:color w:val="000000"/>
          <w:szCs w:val="24"/>
        </w:rPr>
        <w:t>1.3.</w:t>
      </w:r>
      <w:r w:rsidR="00705601">
        <w:rPr>
          <w:rFonts w:eastAsia="Calibri"/>
          <w:i/>
          <w:iCs/>
          <w:color w:val="000000"/>
          <w:szCs w:val="24"/>
        </w:rPr>
        <w:t xml:space="preserve"> </w:t>
      </w:r>
      <w:r w:rsidR="00445F39">
        <w:rPr>
          <w:rFonts w:eastAsia="Calibri"/>
          <w:color w:val="000000"/>
          <w:szCs w:val="24"/>
        </w:rPr>
        <w:t>Ponadto</w:t>
      </w:r>
      <w:r w:rsidR="00E76291">
        <w:rPr>
          <w:rFonts w:eastAsia="Calibri"/>
          <w:color w:val="000000"/>
          <w:szCs w:val="24"/>
        </w:rPr>
        <w:t>,</w:t>
      </w:r>
      <w:r w:rsidR="00445F39">
        <w:rPr>
          <w:rFonts w:eastAsia="Calibri"/>
          <w:color w:val="000000"/>
          <w:szCs w:val="24"/>
        </w:rPr>
        <w:t xml:space="preserve"> </w:t>
      </w:r>
      <w:r w:rsidR="004B6676">
        <w:rPr>
          <w:rFonts w:eastAsia="Calibri"/>
          <w:color w:val="000000"/>
          <w:szCs w:val="24"/>
        </w:rPr>
        <w:t>problematyczną</w:t>
      </w:r>
      <w:r w:rsidRPr="00C462FD">
        <w:rPr>
          <w:rFonts w:eastAsia="Calibri"/>
          <w:color w:val="000000"/>
          <w:szCs w:val="24"/>
        </w:rPr>
        <w:t xml:space="preserve"> kwestią</w:t>
      </w:r>
      <w:r w:rsidR="00556BA1">
        <w:rPr>
          <w:rFonts w:eastAsia="Calibri"/>
          <w:color w:val="000000"/>
          <w:szCs w:val="24"/>
        </w:rPr>
        <w:t xml:space="preserve"> w ramach przedmiotowego priorytetu</w:t>
      </w:r>
      <w:r w:rsidR="004B6676">
        <w:rPr>
          <w:rFonts w:eastAsia="Calibri"/>
          <w:color w:val="000000"/>
          <w:szCs w:val="24"/>
        </w:rPr>
        <w:t xml:space="preserve"> była zmiana</w:t>
      </w:r>
      <w:r w:rsidRPr="00C462FD">
        <w:rPr>
          <w:rFonts w:eastAsia="Calibri"/>
          <w:color w:val="000000"/>
          <w:szCs w:val="24"/>
        </w:rPr>
        <w:t xml:space="preserve"> statusu przedsiębiorstwa pomiędzy dniem złożenia wniosku o dofinansowanie a podpisaniem umowy, </w:t>
      </w:r>
      <w:r w:rsidR="00445F39">
        <w:rPr>
          <w:rFonts w:eastAsia="Calibri"/>
          <w:color w:val="000000"/>
          <w:szCs w:val="24"/>
        </w:rPr>
        <w:t>IZ</w:t>
      </w:r>
      <w:r w:rsidRPr="00C462FD">
        <w:rPr>
          <w:rFonts w:eastAsia="Calibri"/>
          <w:color w:val="000000"/>
          <w:szCs w:val="24"/>
        </w:rPr>
        <w:t xml:space="preserve"> </w:t>
      </w:r>
      <w:r w:rsidR="004B6676" w:rsidRPr="00C462FD">
        <w:rPr>
          <w:rFonts w:eastAsia="Calibri"/>
          <w:color w:val="000000"/>
          <w:szCs w:val="24"/>
        </w:rPr>
        <w:t>podj</w:t>
      </w:r>
      <w:r w:rsidR="004B6676">
        <w:rPr>
          <w:rFonts w:eastAsia="Calibri"/>
          <w:color w:val="000000"/>
          <w:szCs w:val="24"/>
        </w:rPr>
        <w:t>ęła</w:t>
      </w:r>
      <w:r w:rsidRPr="00C462FD">
        <w:rPr>
          <w:rFonts w:eastAsia="Calibri"/>
          <w:color w:val="000000"/>
          <w:szCs w:val="24"/>
        </w:rPr>
        <w:t xml:space="preserve"> decyzję regulującą</w:t>
      </w:r>
      <w:r w:rsidR="004B6676">
        <w:rPr>
          <w:rFonts w:eastAsia="Calibri"/>
          <w:color w:val="000000"/>
          <w:szCs w:val="24"/>
        </w:rPr>
        <w:t xml:space="preserve"> i </w:t>
      </w:r>
      <w:r w:rsidR="00E76291">
        <w:rPr>
          <w:rFonts w:eastAsia="Calibri"/>
          <w:color w:val="000000"/>
          <w:szCs w:val="24"/>
        </w:rPr>
        <w:t>umożliwiającą</w:t>
      </w:r>
      <w:r w:rsidR="004B6676" w:rsidRPr="00C462FD">
        <w:rPr>
          <w:rFonts w:eastAsia="Calibri"/>
          <w:color w:val="000000"/>
          <w:szCs w:val="24"/>
        </w:rPr>
        <w:t xml:space="preserve"> podpisanie</w:t>
      </w:r>
      <w:r w:rsidR="00E76291">
        <w:rPr>
          <w:rFonts w:eastAsia="Calibri"/>
          <w:color w:val="000000"/>
          <w:szCs w:val="24"/>
        </w:rPr>
        <w:t xml:space="preserve"> umów</w:t>
      </w:r>
      <w:r w:rsidR="002A0102">
        <w:rPr>
          <w:rFonts w:eastAsia="Calibri"/>
          <w:color w:val="000000"/>
          <w:szCs w:val="24"/>
        </w:rPr>
        <w:t xml:space="preserve"> z </w:t>
      </w:r>
      <w:r w:rsidRPr="00C462FD">
        <w:rPr>
          <w:rFonts w:eastAsia="Calibri"/>
          <w:color w:val="000000"/>
          <w:szCs w:val="24"/>
        </w:rPr>
        <w:t>beneficjentami wybranymi do dofinansowania, których status przedsiębiorstwa uległ zmianie. Aby w przyszłości uniknąć ww. sytuacji</w:t>
      </w:r>
      <w:r w:rsidR="00E76291">
        <w:rPr>
          <w:rFonts w:eastAsia="Calibri"/>
          <w:color w:val="000000"/>
          <w:szCs w:val="24"/>
        </w:rPr>
        <w:t>,</w:t>
      </w:r>
      <w:r w:rsidRPr="00C462FD">
        <w:rPr>
          <w:rFonts w:eastAsia="Calibri"/>
          <w:color w:val="000000"/>
          <w:szCs w:val="24"/>
        </w:rPr>
        <w:t xml:space="preserve"> podj</w:t>
      </w:r>
      <w:r w:rsidR="004B6676">
        <w:rPr>
          <w:rFonts w:eastAsia="Calibri"/>
          <w:color w:val="000000"/>
          <w:szCs w:val="24"/>
        </w:rPr>
        <w:t>ęto</w:t>
      </w:r>
      <w:r w:rsidRPr="00C462FD">
        <w:rPr>
          <w:rFonts w:eastAsia="Calibri"/>
          <w:color w:val="000000"/>
          <w:szCs w:val="24"/>
        </w:rPr>
        <w:t xml:space="preserve"> decyzję o połączeniu </w:t>
      </w:r>
      <w:r w:rsidRPr="004B6676">
        <w:rPr>
          <w:rFonts w:eastAsia="Calibri"/>
          <w:i/>
          <w:color w:val="000000"/>
          <w:szCs w:val="24"/>
        </w:rPr>
        <w:t>poddziałań 1.2.1 i 1.2.2</w:t>
      </w:r>
      <w:r w:rsidRPr="00C462FD">
        <w:rPr>
          <w:rFonts w:eastAsia="Calibri"/>
          <w:color w:val="000000"/>
          <w:szCs w:val="24"/>
        </w:rPr>
        <w:t xml:space="preserve"> i utworzeniu nowego </w:t>
      </w:r>
      <w:r w:rsidRPr="00C462FD">
        <w:rPr>
          <w:rFonts w:eastAsia="Calibri"/>
          <w:i/>
          <w:iCs/>
          <w:color w:val="000000"/>
          <w:szCs w:val="24"/>
        </w:rPr>
        <w:t>poddziałania 1.2.4 Mikro, mał</w:t>
      </w:r>
      <w:r w:rsidR="004B6676">
        <w:rPr>
          <w:rFonts w:eastAsia="Calibri"/>
          <w:i/>
          <w:iCs/>
          <w:color w:val="000000"/>
          <w:szCs w:val="24"/>
        </w:rPr>
        <w:t>e i </w:t>
      </w:r>
      <w:r w:rsidRPr="00C462FD">
        <w:rPr>
          <w:rFonts w:eastAsia="Calibri"/>
          <w:i/>
          <w:iCs/>
          <w:color w:val="000000"/>
          <w:szCs w:val="24"/>
        </w:rPr>
        <w:t xml:space="preserve">średnie przedsiębiorstwa. </w:t>
      </w:r>
      <w:r w:rsidRPr="00C462FD">
        <w:rPr>
          <w:rFonts w:eastAsia="Calibri"/>
          <w:color w:val="000000"/>
          <w:szCs w:val="24"/>
        </w:rPr>
        <w:t xml:space="preserve">Do dofinansowania w ramach nowego poddziałania uprawnionymi podmiotami </w:t>
      </w:r>
      <w:r w:rsidR="004B6676">
        <w:rPr>
          <w:rFonts w:eastAsia="Calibri"/>
          <w:color w:val="000000"/>
          <w:szCs w:val="24"/>
        </w:rPr>
        <w:t xml:space="preserve">byli </w:t>
      </w:r>
      <w:r w:rsidRPr="00C462FD">
        <w:rPr>
          <w:rFonts w:eastAsia="Calibri"/>
          <w:color w:val="000000"/>
          <w:szCs w:val="24"/>
        </w:rPr>
        <w:t>zarówno mikro, małe i średnie przedsiębiorstwa. Utrzymano podział kwot przeznaczonych dla ww. przedsiębiorstw.</w:t>
      </w:r>
    </w:p>
    <w:p w14:paraId="53288039" w14:textId="77777777" w:rsidR="00B15E47" w:rsidRPr="00705601" w:rsidRDefault="00B15E47" w:rsidP="004C5F1F">
      <w:pPr>
        <w:autoSpaceDE w:val="0"/>
        <w:autoSpaceDN w:val="0"/>
        <w:adjustRightInd w:val="0"/>
        <w:spacing w:after="0"/>
        <w:jc w:val="both"/>
        <w:rPr>
          <w:rFonts w:eastAsia="Calibri"/>
          <w:i/>
          <w:iCs/>
          <w:color w:val="538135" w:themeColor="accent6" w:themeShade="BF"/>
          <w:szCs w:val="24"/>
        </w:rPr>
      </w:pPr>
    </w:p>
    <w:bookmarkEnd w:id="254"/>
    <w:bookmarkEnd w:id="255"/>
    <w:bookmarkEnd w:id="256"/>
    <w:bookmarkEnd w:id="257"/>
    <w:bookmarkEnd w:id="258"/>
    <w:p w14:paraId="08C547BF" w14:textId="4735FE5B" w:rsidR="00FC772D" w:rsidRPr="00705601" w:rsidRDefault="00B8015D" w:rsidP="004914D8">
      <w:pPr>
        <w:pStyle w:val="Akapitzlist"/>
        <w:numPr>
          <w:ilvl w:val="1"/>
          <w:numId w:val="50"/>
        </w:numPr>
        <w:jc w:val="both"/>
        <w:rPr>
          <w:b/>
          <w:color w:val="538135" w:themeColor="accent6" w:themeShade="BF"/>
          <w:szCs w:val="24"/>
        </w:rPr>
      </w:pPr>
      <w:r w:rsidRPr="00705601">
        <w:rPr>
          <w:noProof/>
          <w:color w:val="538135" w:themeColor="accent6" w:themeShade="BF"/>
        </w:rPr>
        <w:drawing>
          <wp:anchor distT="0" distB="0" distL="114300" distR="114300" simplePos="0" relativeHeight="251694080" behindDoc="1" locked="0" layoutInCell="1" allowOverlap="1" wp14:anchorId="2147223E" wp14:editId="3D4A9FA4">
            <wp:simplePos x="0" y="0"/>
            <wp:positionH relativeFrom="column">
              <wp:posOffset>4445</wp:posOffset>
            </wp:positionH>
            <wp:positionV relativeFrom="paragraph">
              <wp:posOffset>200660</wp:posOffset>
            </wp:positionV>
            <wp:extent cx="5504656" cy="2428875"/>
            <wp:effectExtent l="0" t="0" r="1270" b="0"/>
            <wp:wrapNone/>
            <wp:docPr id="25603" name="Picture 8" descr="https://lms.sekap.pl/www/themes/default/images/logo/2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8" descr="https://lms.sekap.pl/www/themes/default/images/logo/2_logo.jpg"/>
                    <pic:cNvPicPr>
                      <a:picLocks noChangeAspect="1" noChangeArrowheads="1"/>
                    </pic:cNvPicPr>
                  </pic:nvPicPr>
                  <pic:blipFill>
                    <a:blip r:embed="rId76">
                      <a:extLst>
                        <a:ext uri="{28A0092B-C50C-407E-A947-70E740481C1C}">
                          <a14:useLocalDpi xmlns:a14="http://schemas.microsoft.com/office/drawing/2010/main" val="0"/>
                        </a:ext>
                      </a:extLst>
                    </a:blip>
                    <a:srcRect l="8040"/>
                    <a:stretch>
                      <a:fillRect/>
                    </a:stretch>
                  </pic:blipFill>
                  <pic:spPr bwMode="auto">
                    <a:xfrm>
                      <a:off x="0" y="0"/>
                      <a:ext cx="5506084" cy="2429505"/>
                    </a:xfrm>
                    <a:prstGeom prst="rect">
                      <a:avLst/>
                    </a:prstGeom>
                    <a:ln>
                      <a:noFill/>
                    </a:ln>
                    <a:effectLst>
                      <a:softEdge rad="112500"/>
                    </a:effectLst>
                    <a:extLst/>
                  </pic:spPr>
                </pic:pic>
              </a:graphicData>
            </a:graphic>
            <wp14:sizeRelH relativeFrom="page">
              <wp14:pctWidth>0</wp14:pctWidth>
            </wp14:sizeRelH>
            <wp14:sizeRelV relativeFrom="page">
              <wp14:pctHeight>0</wp14:pctHeight>
            </wp14:sizeRelV>
          </wp:anchor>
        </w:drawing>
      </w:r>
      <w:r w:rsidR="0071369D" w:rsidRPr="00705601">
        <w:rPr>
          <w:b/>
          <w:color w:val="538135" w:themeColor="accent6" w:themeShade="BF"/>
          <w:szCs w:val="24"/>
        </w:rPr>
        <w:t>PRIORYTET II SPOŁECZEŃSTWO INFORMACYJNE</w:t>
      </w:r>
    </w:p>
    <w:p w14:paraId="3CE82342" w14:textId="62E0053E" w:rsidR="00CF10B6" w:rsidRPr="00500B5C" w:rsidRDefault="00CF10B6" w:rsidP="00CF10B6">
      <w:pPr>
        <w:pStyle w:val="Akapitzlist"/>
        <w:ind w:left="360"/>
        <w:jc w:val="both"/>
        <w:rPr>
          <w:b/>
          <w:color w:val="00B050"/>
          <w:szCs w:val="24"/>
        </w:rPr>
      </w:pPr>
    </w:p>
    <w:p w14:paraId="6776AFCC" w14:textId="77777777" w:rsidR="0071369D" w:rsidRDefault="0071369D" w:rsidP="0071369D">
      <w:pPr>
        <w:pStyle w:val="Akapitzlist"/>
        <w:ind w:left="360"/>
        <w:jc w:val="both"/>
        <w:rPr>
          <w:b/>
          <w:color w:val="00B050"/>
          <w:szCs w:val="24"/>
        </w:rPr>
      </w:pPr>
    </w:p>
    <w:p w14:paraId="5B7504AD" w14:textId="77777777" w:rsidR="00CF10B6" w:rsidRDefault="00CF10B6" w:rsidP="0071369D">
      <w:pPr>
        <w:pStyle w:val="Akapitzlist"/>
        <w:ind w:left="360"/>
        <w:jc w:val="both"/>
        <w:rPr>
          <w:b/>
          <w:color w:val="00B050"/>
          <w:szCs w:val="24"/>
        </w:rPr>
      </w:pPr>
    </w:p>
    <w:p w14:paraId="334145DA" w14:textId="77777777" w:rsidR="00CF10B6" w:rsidRDefault="00CF10B6" w:rsidP="0071369D">
      <w:pPr>
        <w:pStyle w:val="Akapitzlist"/>
        <w:ind w:left="360"/>
        <w:jc w:val="both"/>
        <w:rPr>
          <w:b/>
          <w:color w:val="00B050"/>
          <w:szCs w:val="24"/>
        </w:rPr>
      </w:pPr>
    </w:p>
    <w:p w14:paraId="6A219056" w14:textId="77777777" w:rsidR="00CF10B6" w:rsidRDefault="00CF10B6" w:rsidP="0071369D">
      <w:pPr>
        <w:pStyle w:val="Akapitzlist"/>
        <w:ind w:left="360"/>
        <w:jc w:val="both"/>
        <w:rPr>
          <w:b/>
          <w:color w:val="00B050"/>
          <w:szCs w:val="24"/>
        </w:rPr>
      </w:pPr>
    </w:p>
    <w:p w14:paraId="24AB32C6" w14:textId="77777777" w:rsidR="00CF10B6" w:rsidRDefault="00CF10B6" w:rsidP="0071369D">
      <w:pPr>
        <w:pStyle w:val="Akapitzlist"/>
        <w:ind w:left="360"/>
        <w:jc w:val="both"/>
        <w:rPr>
          <w:b/>
          <w:color w:val="00B050"/>
          <w:szCs w:val="24"/>
        </w:rPr>
      </w:pPr>
    </w:p>
    <w:p w14:paraId="56C78F40" w14:textId="77777777" w:rsidR="00CF10B6" w:rsidRDefault="00CF10B6" w:rsidP="0071369D">
      <w:pPr>
        <w:pStyle w:val="Akapitzlist"/>
        <w:ind w:left="360"/>
        <w:jc w:val="both"/>
        <w:rPr>
          <w:b/>
          <w:color w:val="00B050"/>
          <w:szCs w:val="24"/>
        </w:rPr>
      </w:pPr>
    </w:p>
    <w:p w14:paraId="40CF625E" w14:textId="77777777" w:rsidR="00CF10B6" w:rsidRDefault="00CF10B6" w:rsidP="0071369D">
      <w:pPr>
        <w:pStyle w:val="Akapitzlist"/>
        <w:ind w:left="360"/>
        <w:jc w:val="both"/>
        <w:rPr>
          <w:b/>
          <w:color w:val="00B050"/>
          <w:szCs w:val="24"/>
        </w:rPr>
      </w:pPr>
    </w:p>
    <w:p w14:paraId="6EFD7B00" w14:textId="77777777" w:rsidR="00CF10B6" w:rsidRDefault="00CF10B6" w:rsidP="0071369D">
      <w:pPr>
        <w:pStyle w:val="Akapitzlist"/>
        <w:ind w:left="360"/>
        <w:jc w:val="both"/>
        <w:rPr>
          <w:b/>
          <w:color w:val="00B050"/>
          <w:szCs w:val="24"/>
        </w:rPr>
      </w:pPr>
    </w:p>
    <w:p w14:paraId="0D649A73" w14:textId="77777777" w:rsidR="00CF10B6" w:rsidRDefault="00CF10B6" w:rsidP="0071369D">
      <w:pPr>
        <w:pStyle w:val="Akapitzlist"/>
        <w:ind w:left="360"/>
        <w:jc w:val="both"/>
        <w:rPr>
          <w:b/>
          <w:color w:val="00B050"/>
          <w:szCs w:val="24"/>
        </w:rPr>
      </w:pPr>
    </w:p>
    <w:p w14:paraId="6785F389" w14:textId="77777777" w:rsidR="00CF10B6" w:rsidRDefault="00CF10B6" w:rsidP="0071369D">
      <w:pPr>
        <w:pStyle w:val="Akapitzlist"/>
        <w:ind w:left="360"/>
        <w:jc w:val="both"/>
        <w:rPr>
          <w:b/>
          <w:color w:val="00B050"/>
          <w:szCs w:val="24"/>
        </w:rPr>
      </w:pPr>
    </w:p>
    <w:p w14:paraId="342FA1CD" w14:textId="77777777" w:rsidR="00CF10B6" w:rsidRPr="00B8015D" w:rsidRDefault="00CF10B6" w:rsidP="00B8015D">
      <w:pPr>
        <w:jc w:val="both"/>
        <w:rPr>
          <w:b/>
          <w:color w:val="00B050"/>
          <w:szCs w:val="24"/>
        </w:rPr>
      </w:pPr>
    </w:p>
    <w:p w14:paraId="5D41D831" w14:textId="1A6557DB" w:rsidR="00CF10B6" w:rsidRPr="00CF10B6" w:rsidRDefault="008E478B" w:rsidP="004914D8">
      <w:pPr>
        <w:pStyle w:val="Akapitzlist"/>
        <w:numPr>
          <w:ilvl w:val="2"/>
          <w:numId w:val="50"/>
        </w:numPr>
        <w:jc w:val="both"/>
        <w:rPr>
          <w:b/>
          <w:szCs w:val="24"/>
        </w:rPr>
      </w:pPr>
      <w:r w:rsidRPr="0094320D">
        <w:rPr>
          <w:b/>
          <w:szCs w:val="24"/>
        </w:rPr>
        <w:t>OSIĄGNIĘCIE CELÓW I ANALIZA POSTĘPÓW</w:t>
      </w:r>
    </w:p>
    <w:p w14:paraId="34AF14DE" w14:textId="5B115141" w:rsidR="00274857" w:rsidRPr="0094320D" w:rsidRDefault="0071369D" w:rsidP="0094320D">
      <w:pPr>
        <w:spacing w:before="240"/>
        <w:jc w:val="both"/>
        <w:rPr>
          <w:b/>
          <w:szCs w:val="24"/>
        </w:rPr>
      </w:pPr>
      <w:r w:rsidRPr="0094320D">
        <w:rPr>
          <w:b/>
          <w:szCs w:val="24"/>
        </w:rPr>
        <w:t>Informacje ogólne</w:t>
      </w:r>
    </w:p>
    <w:p w14:paraId="3BC05440" w14:textId="53530229" w:rsidR="00274857" w:rsidRPr="0094320D" w:rsidRDefault="00274857" w:rsidP="0094320D">
      <w:pPr>
        <w:spacing w:before="240"/>
        <w:jc w:val="both"/>
        <w:rPr>
          <w:szCs w:val="24"/>
        </w:rPr>
      </w:pPr>
      <w:r w:rsidRPr="0094320D">
        <w:rPr>
          <w:szCs w:val="24"/>
        </w:rPr>
        <w:t xml:space="preserve">Celem głównym </w:t>
      </w:r>
      <w:r w:rsidRPr="008D3201">
        <w:rPr>
          <w:i/>
          <w:szCs w:val="24"/>
        </w:rPr>
        <w:t>priorytetu II</w:t>
      </w:r>
      <w:r w:rsidRPr="0094320D">
        <w:rPr>
          <w:szCs w:val="24"/>
        </w:rPr>
        <w:t xml:space="preserve"> </w:t>
      </w:r>
      <w:r w:rsidR="0071369D">
        <w:rPr>
          <w:szCs w:val="24"/>
        </w:rPr>
        <w:t>było</w:t>
      </w:r>
      <w:r w:rsidRPr="0094320D">
        <w:rPr>
          <w:szCs w:val="24"/>
        </w:rPr>
        <w:t xml:space="preserve"> </w:t>
      </w:r>
      <w:r w:rsidRPr="0094320D">
        <w:rPr>
          <w:i/>
          <w:szCs w:val="24"/>
        </w:rPr>
        <w:t>stworzenie warunków do rozwoju społeczeństwa informacyjnego w regionie</w:t>
      </w:r>
      <w:r w:rsidRPr="0094320D">
        <w:rPr>
          <w:szCs w:val="24"/>
        </w:rPr>
        <w:t xml:space="preserve">. W ramach priorytetu wspierane </w:t>
      </w:r>
      <w:r w:rsidR="0071369D">
        <w:rPr>
          <w:szCs w:val="24"/>
        </w:rPr>
        <w:t>były</w:t>
      </w:r>
      <w:r w:rsidRPr="0094320D">
        <w:rPr>
          <w:szCs w:val="24"/>
        </w:rPr>
        <w:t xml:space="preserve"> działania w zakresie zapewnienia szybkiego i bezpiecznego dostępu do Internetu, a także rozwój usług publicznych świadczonych drogą elektroniczną.</w:t>
      </w:r>
    </w:p>
    <w:p w14:paraId="5C6CFFA7" w14:textId="7707C358" w:rsidR="00274857" w:rsidRPr="0094320D" w:rsidRDefault="0071369D" w:rsidP="0094320D">
      <w:pPr>
        <w:spacing w:after="120"/>
        <w:jc w:val="both"/>
        <w:rPr>
          <w:szCs w:val="24"/>
        </w:rPr>
      </w:pPr>
      <w:r>
        <w:rPr>
          <w:szCs w:val="24"/>
        </w:rPr>
        <w:t>Realizacji priorytetu służyły</w:t>
      </w:r>
      <w:r w:rsidR="00274857" w:rsidRPr="0094320D">
        <w:rPr>
          <w:szCs w:val="24"/>
        </w:rPr>
        <w:t xml:space="preserve"> dwa działania:</w:t>
      </w:r>
    </w:p>
    <w:p w14:paraId="5C9892CA" w14:textId="77777777" w:rsidR="00274857" w:rsidRPr="0094320D" w:rsidRDefault="00274857" w:rsidP="0094320D">
      <w:pPr>
        <w:numPr>
          <w:ilvl w:val="0"/>
          <w:numId w:val="4"/>
        </w:numPr>
        <w:spacing w:after="0"/>
        <w:contextualSpacing/>
        <w:jc w:val="both"/>
        <w:rPr>
          <w:i/>
          <w:szCs w:val="24"/>
        </w:rPr>
      </w:pPr>
      <w:r w:rsidRPr="0094320D">
        <w:rPr>
          <w:i/>
          <w:szCs w:val="24"/>
        </w:rPr>
        <w:t>2.1 Infrastruktura społeczeństwa informacyjnego,</w:t>
      </w:r>
    </w:p>
    <w:p w14:paraId="64444984" w14:textId="77777777" w:rsidR="00274857" w:rsidRPr="0094320D" w:rsidRDefault="00274857" w:rsidP="0094320D">
      <w:pPr>
        <w:numPr>
          <w:ilvl w:val="0"/>
          <w:numId w:val="4"/>
        </w:numPr>
        <w:spacing w:before="240" w:after="240"/>
        <w:ind w:left="714" w:hanging="357"/>
        <w:contextualSpacing/>
        <w:jc w:val="both"/>
        <w:rPr>
          <w:szCs w:val="24"/>
        </w:rPr>
      </w:pPr>
      <w:r w:rsidRPr="0094320D">
        <w:rPr>
          <w:i/>
          <w:szCs w:val="24"/>
        </w:rPr>
        <w:t>2.2 Rozwój elektronicznych usług publicznych</w:t>
      </w:r>
      <w:r w:rsidRPr="0094320D">
        <w:rPr>
          <w:szCs w:val="24"/>
        </w:rPr>
        <w:t>.</w:t>
      </w:r>
    </w:p>
    <w:p w14:paraId="2AC529A4" w14:textId="77777777" w:rsidR="008E478B" w:rsidRPr="0094320D" w:rsidRDefault="008E478B" w:rsidP="0094320D">
      <w:pPr>
        <w:spacing w:after="0"/>
        <w:jc w:val="both"/>
        <w:rPr>
          <w:szCs w:val="24"/>
        </w:rPr>
      </w:pPr>
    </w:p>
    <w:p w14:paraId="68DB4680" w14:textId="77777777" w:rsidR="00274857" w:rsidRPr="0094320D" w:rsidRDefault="00274857" w:rsidP="0094320D">
      <w:pPr>
        <w:spacing w:after="120"/>
        <w:jc w:val="both"/>
        <w:rPr>
          <w:szCs w:val="24"/>
        </w:rPr>
      </w:pPr>
      <w:r w:rsidRPr="0094320D">
        <w:rPr>
          <w:szCs w:val="24"/>
        </w:rPr>
        <w:t xml:space="preserve">Na realizację priorytetu II alokowano 150 000 000 EUR pochodzących z EFRR, co stanowi 8,59% wartości </w:t>
      </w:r>
      <w:r w:rsidRPr="0094320D">
        <w:rPr>
          <w:i/>
          <w:szCs w:val="24"/>
        </w:rPr>
        <w:t>Programu</w:t>
      </w:r>
      <w:r w:rsidRPr="0094320D">
        <w:rPr>
          <w:szCs w:val="24"/>
        </w:rPr>
        <w:t>.</w:t>
      </w:r>
      <w:r w:rsidRPr="0094320D">
        <w:rPr>
          <w:rFonts w:eastAsia="Calibri"/>
          <w:szCs w:val="24"/>
        </w:rPr>
        <w:t xml:space="preserve"> Na wykonanie Strategii Europa 2020 przeznaczono środki EFRR stanowiące </w:t>
      </w:r>
      <w:r w:rsidRPr="0094320D">
        <w:rPr>
          <w:rFonts w:eastAsia="Calibri"/>
          <w:bCs/>
          <w:szCs w:val="24"/>
        </w:rPr>
        <w:t>100%</w:t>
      </w:r>
      <w:r w:rsidRPr="0094320D">
        <w:rPr>
          <w:rFonts w:eastAsia="Calibri"/>
          <w:b/>
          <w:bCs/>
          <w:szCs w:val="24"/>
        </w:rPr>
        <w:t xml:space="preserve"> </w:t>
      </w:r>
      <w:r w:rsidRPr="0094320D">
        <w:rPr>
          <w:rFonts w:eastAsia="Calibri"/>
          <w:szCs w:val="24"/>
        </w:rPr>
        <w:t xml:space="preserve">alokacji w ramach całego </w:t>
      </w:r>
      <w:r w:rsidRPr="008D3201">
        <w:rPr>
          <w:rFonts w:eastAsia="Calibri"/>
          <w:i/>
          <w:szCs w:val="24"/>
        </w:rPr>
        <w:t>priorytetu II.</w:t>
      </w:r>
    </w:p>
    <w:p w14:paraId="3F2C991B" w14:textId="37E20AC0" w:rsidR="00274857" w:rsidRPr="0094320D" w:rsidRDefault="00274857" w:rsidP="0094320D">
      <w:pPr>
        <w:widowControl w:val="0"/>
        <w:autoSpaceDE w:val="0"/>
        <w:autoSpaceDN w:val="0"/>
        <w:adjustRightInd w:val="0"/>
        <w:spacing w:after="120"/>
        <w:ind w:right="-23"/>
        <w:jc w:val="both"/>
        <w:rPr>
          <w:szCs w:val="24"/>
        </w:rPr>
      </w:pPr>
      <w:r w:rsidRPr="0094320D">
        <w:rPr>
          <w:szCs w:val="24"/>
        </w:rPr>
        <w:t>Opis wkładu osi priorytetowej w promowanie równości szans k</w:t>
      </w:r>
      <w:r w:rsidR="00B8015D">
        <w:rPr>
          <w:szCs w:val="24"/>
        </w:rPr>
        <w:t>obiet i mężczyzn znajduje się w </w:t>
      </w:r>
      <w:r w:rsidRPr="0094320D">
        <w:rPr>
          <w:szCs w:val="24"/>
        </w:rPr>
        <w:t xml:space="preserve">pkt. 2.2.1 </w:t>
      </w:r>
      <w:r w:rsidRPr="0094320D">
        <w:rPr>
          <w:i/>
          <w:szCs w:val="24"/>
        </w:rPr>
        <w:t>Sprawozdania.</w:t>
      </w:r>
    </w:p>
    <w:p w14:paraId="5BFC77F7" w14:textId="0B8C2136" w:rsidR="00A44293" w:rsidRPr="001D3D24" w:rsidRDefault="00274857" w:rsidP="0094320D">
      <w:pPr>
        <w:widowControl w:val="0"/>
        <w:autoSpaceDE w:val="0"/>
        <w:autoSpaceDN w:val="0"/>
        <w:adjustRightInd w:val="0"/>
        <w:spacing w:after="240"/>
        <w:ind w:right="-23"/>
        <w:jc w:val="both"/>
        <w:rPr>
          <w:szCs w:val="24"/>
        </w:rPr>
      </w:pPr>
      <w:r w:rsidRPr="0094320D">
        <w:rPr>
          <w:szCs w:val="24"/>
        </w:rPr>
        <w:lastRenderedPageBreak/>
        <w:t>W ramach priorytetu przewidziano finansowanie krzyżowe. Informacje nt. cross–</w:t>
      </w:r>
      <w:r w:rsidR="00674FED">
        <w:rPr>
          <w:szCs w:val="24"/>
        </w:rPr>
        <w:t>f</w:t>
      </w:r>
      <w:r w:rsidRPr="0094320D">
        <w:rPr>
          <w:szCs w:val="24"/>
        </w:rPr>
        <w:t>inancing</w:t>
      </w:r>
      <w:r w:rsidR="001D3D24">
        <w:rPr>
          <w:szCs w:val="24"/>
        </w:rPr>
        <w:t>u</w:t>
      </w:r>
      <w:r w:rsidRPr="0094320D">
        <w:rPr>
          <w:szCs w:val="24"/>
        </w:rPr>
        <w:t xml:space="preserve"> realizowanej w ramach przedmiotowego priorytetu znajdują się w pkt. 2.6.3 </w:t>
      </w:r>
      <w:r w:rsidRPr="0094320D">
        <w:rPr>
          <w:i/>
          <w:szCs w:val="24"/>
        </w:rPr>
        <w:t>Sprawozdania.</w:t>
      </w:r>
    </w:p>
    <w:p w14:paraId="027A1B56" w14:textId="03C33B62" w:rsidR="00274857" w:rsidRDefault="0071369D" w:rsidP="0094320D">
      <w:pPr>
        <w:widowControl w:val="0"/>
        <w:autoSpaceDE w:val="0"/>
        <w:autoSpaceDN w:val="0"/>
        <w:adjustRightInd w:val="0"/>
        <w:spacing w:after="240"/>
        <w:ind w:right="-23"/>
        <w:jc w:val="both"/>
        <w:rPr>
          <w:b/>
          <w:szCs w:val="24"/>
        </w:rPr>
      </w:pPr>
      <w:r w:rsidRPr="0094320D">
        <w:rPr>
          <w:b/>
          <w:szCs w:val="24"/>
        </w:rPr>
        <w:t>Analiza postępu finansowego</w:t>
      </w:r>
    </w:p>
    <w:p w14:paraId="2FA23D61" w14:textId="7CD26F2C" w:rsidR="00807806" w:rsidRPr="0016304B" w:rsidRDefault="00807806" w:rsidP="00807806">
      <w:pPr>
        <w:spacing w:after="120"/>
        <w:jc w:val="both"/>
        <w:rPr>
          <w:szCs w:val="24"/>
        </w:rPr>
      </w:pPr>
      <w:r w:rsidRPr="0016304B">
        <w:rPr>
          <w:szCs w:val="24"/>
        </w:rPr>
        <w:t>W ramach przedmiotowego priorytetu do końca 2016 roku złożono 279 wniosków o dofinansowanie poprawnych formalnie, na kwotę wnioskowanego dofinansowania 181,24</w:t>
      </w:r>
      <w:r w:rsidR="00556BA1">
        <w:rPr>
          <w:szCs w:val="24"/>
        </w:rPr>
        <w:t xml:space="preserve"> </w:t>
      </w:r>
      <w:r w:rsidRPr="0016304B">
        <w:rPr>
          <w:szCs w:val="24"/>
        </w:rPr>
        <w:t>mln EUR, co stanowi 1</w:t>
      </w:r>
      <w:r w:rsidR="00556BA1">
        <w:rPr>
          <w:szCs w:val="24"/>
        </w:rPr>
        <w:t>21</w:t>
      </w:r>
      <w:r w:rsidRPr="0016304B">
        <w:rPr>
          <w:szCs w:val="24"/>
        </w:rPr>
        <w:t>% alokacji priorytetu. Do dofinan</w:t>
      </w:r>
      <w:r w:rsidR="00556BA1">
        <w:rPr>
          <w:szCs w:val="24"/>
        </w:rPr>
        <w:t>sowania wybrano 235 projekty, w </w:t>
      </w:r>
      <w:r w:rsidRPr="0016304B">
        <w:rPr>
          <w:szCs w:val="24"/>
        </w:rPr>
        <w:t xml:space="preserve">których zatwierdzone dofinansowanie to 161,99 mln EUR. </w:t>
      </w:r>
    </w:p>
    <w:p w14:paraId="310F1BC1" w14:textId="1E966E64" w:rsidR="00807806" w:rsidRPr="0016304B" w:rsidRDefault="00674FED" w:rsidP="00807806">
      <w:pPr>
        <w:spacing w:after="120"/>
        <w:jc w:val="both"/>
        <w:rPr>
          <w:szCs w:val="24"/>
        </w:rPr>
      </w:pPr>
      <w:r>
        <w:rPr>
          <w:szCs w:val="24"/>
        </w:rPr>
        <w:t>Podpisano 227 umów</w:t>
      </w:r>
      <w:r w:rsidR="00807806" w:rsidRPr="0016304B">
        <w:rPr>
          <w:szCs w:val="24"/>
        </w:rPr>
        <w:t xml:space="preserve"> o dofinansowanie. Łączna wartość dofinansowania to 130,</w:t>
      </w:r>
      <w:r w:rsidR="00D30576">
        <w:rPr>
          <w:szCs w:val="24"/>
        </w:rPr>
        <w:t>80</w:t>
      </w:r>
      <w:r w:rsidR="00807806" w:rsidRPr="0016304B">
        <w:rPr>
          <w:szCs w:val="24"/>
        </w:rPr>
        <w:t xml:space="preserve"> mln EUR, co stanowi </w:t>
      </w:r>
      <w:r w:rsidR="00D30576">
        <w:rPr>
          <w:szCs w:val="24"/>
        </w:rPr>
        <w:t>8</w:t>
      </w:r>
      <w:r w:rsidR="00807806" w:rsidRPr="0016304B">
        <w:rPr>
          <w:szCs w:val="24"/>
        </w:rPr>
        <w:t xml:space="preserve">7% dostępnej alokacji na priorytet. </w:t>
      </w:r>
    </w:p>
    <w:p w14:paraId="7CAF2E96" w14:textId="0BCF4540" w:rsidR="00807806" w:rsidRDefault="00807806" w:rsidP="00807806">
      <w:pPr>
        <w:spacing w:after="120"/>
        <w:jc w:val="both"/>
        <w:rPr>
          <w:color w:val="00B050"/>
          <w:szCs w:val="24"/>
        </w:rPr>
      </w:pPr>
      <w:r w:rsidRPr="0016304B">
        <w:rPr>
          <w:szCs w:val="24"/>
        </w:rPr>
        <w:t xml:space="preserve">Do końca 2016 roku certyfikowano wydatki na kwotę </w:t>
      </w:r>
      <w:r w:rsidR="00A91433">
        <w:rPr>
          <w:szCs w:val="24"/>
        </w:rPr>
        <w:t>134,61</w:t>
      </w:r>
      <w:r w:rsidRPr="0016304B">
        <w:rPr>
          <w:szCs w:val="24"/>
        </w:rPr>
        <w:t xml:space="preserve"> mln </w:t>
      </w:r>
      <w:r w:rsidR="00D30576" w:rsidRPr="0016304B">
        <w:rPr>
          <w:szCs w:val="24"/>
        </w:rPr>
        <w:t>EUR, co</w:t>
      </w:r>
      <w:r w:rsidRPr="0016304B">
        <w:rPr>
          <w:szCs w:val="24"/>
        </w:rPr>
        <w:t xml:space="preserve"> stanowi </w:t>
      </w:r>
      <w:r w:rsidR="00D30576">
        <w:rPr>
          <w:szCs w:val="24"/>
        </w:rPr>
        <w:t>90</w:t>
      </w:r>
      <w:r w:rsidRPr="0016304B">
        <w:rPr>
          <w:szCs w:val="24"/>
        </w:rPr>
        <w:t>% dostępnej alokacji</w:t>
      </w:r>
      <w:r w:rsidRPr="00AF07C2">
        <w:rPr>
          <w:color w:val="00B050"/>
          <w:szCs w:val="24"/>
        </w:rPr>
        <w:t xml:space="preserve">. </w:t>
      </w:r>
    </w:p>
    <w:p w14:paraId="0462DB87" w14:textId="35A91FF5" w:rsidR="00556BA1" w:rsidRDefault="00556BA1" w:rsidP="00556BA1">
      <w:pPr>
        <w:spacing w:after="0"/>
        <w:jc w:val="both"/>
        <w:rPr>
          <w:szCs w:val="24"/>
        </w:rPr>
      </w:pPr>
      <w:r>
        <w:rPr>
          <w:szCs w:val="24"/>
        </w:rPr>
        <w:t>Na poniższym wykresie prze</w:t>
      </w:r>
      <w:r w:rsidR="00674FED">
        <w:rPr>
          <w:szCs w:val="24"/>
        </w:rPr>
        <w:t>dstawiono ogólną informację dotyczącą</w:t>
      </w:r>
      <w:r>
        <w:rPr>
          <w:szCs w:val="24"/>
        </w:rPr>
        <w:t xml:space="preserve"> postępu realizacji priorytetu II na koniec 2016 roku oraz poziom wykorzystania alokacji.</w:t>
      </w:r>
    </w:p>
    <w:p w14:paraId="50C7E051" w14:textId="77777777" w:rsidR="00D30576" w:rsidRPr="00D30576" w:rsidRDefault="00D30576" w:rsidP="00807806">
      <w:pPr>
        <w:spacing w:after="120"/>
        <w:jc w:val="both"/>
        <w:rPr>
          <w:b/>
          <w:color w:val="00B050"/>
          <w:szCs w:val="24"/>
        </w:rPr>
      </w:pPr>
    </w:p>
    <w:p w14:paraId="679B2B73" w14:textId="7DDAC0C8" w:rsidR="00807806" w:rsidRDefault="00D30576" w:rsidP="00D30576">
      <w:pPr>
        <w:spacing w:line="240" w:lineRule="auto"/>
        <w:ind w:left="-426"/>
        <w:jc w:val="both"/>
        <w:rPr>
          <w:b/>
          <w:bCs/>
          <w:szCs w:val="24"/>
        </w:rPr>
      </w:pPr>
      <w:bookmarkStart w:id="293" w:name="_Toc355688732"/>
      <w:r>
        <w:rPr>
          <w:noProof/>
        </w:rPr>
        <w:drawing>
          <wp:inline distT="0" distB="0" distL="0" distR="0" wp14:anchorId="4C22AC92" wp14:editId="51E878C9">
            <wp:extent cx="6457950" cy="3295650"/>
            <wp:effectExtent l="0" t="0" r="0" b="0"/>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5069C4A" w14:textId="19E2C1A7" w:rsidR="00B0267C" w:rsidRPr="0098471F" w:rsidRDefault="00B66319" w:rsidP="00B66319">
      <w:pPr>
        <w:pStyle w:val="Legenda"/>
        <w:rPr>
          <w:color w:val="auto"/>
        </w:rPr>
      </w:pPr>
      <w:bookmarkStart w:id="294" w:name="_Toc476832948"/>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30</w:t>
      </w:r>
      <w:r w:rsidR="00A44293" w:rsidRPr="00A44293">
        <w:rPr>
          <w:noProof/>
          <w:color w:val="auto"/>
        </w:rPr>
        <w:fldChar w:fldCharType="end"/>
      </w:r>
      <w:r w:rsidRPr="00A44293">
        <w:rPr>
          <w:color w:val="auto"/>
        </w:rPr>
        <w:t xml:space="preserve"> </w:t>
      </w:r>
      <w:r w:rsidR="00B15E47">
        <w:rPr>
          <w:b w:val="0"/>
          <w:i/>
          <w:color w:val="auto"/>
        </w:rPr>
        <w:t xml:space="preserve">Postęp finansowy w ramach </w:t>
      </w:r>
      <w:r w:rsidR="0098471F" w:rsidRPr="0098471F">
        <w:rPr>
          <w:b w:val="0"/>
          <w:i/>
          <w:color w:val="auto"/>
        </w:rPr>
        <w:t>priorytetu II</w:t>
      </w:r>
      <w:bookmarkEnd w:id="294"/>
    </w:p>
    <w:p w14:paraId="62B601BA" w14:textId="35536225" w:rsidR="00B0267C" w:rsidRDefault="00B0267C" w:rsidP="00B0267C">
      <w:r w:rsidRPr="00B0267C">
        <w:t xml:space="preserve">Poniżej przedstawiono </w:t>
      </w:r>
      <w:r>
        <w:t xml:space="preserve">realizacje priorytetu w podziale </w:t>
      </w:r>
      <w:r w:rsidRPr="00B0267C">
        <w:t>na działania.</w:t>
      </w:r>
    </w:p>
    <w:p w14:paraId="7D65C559" w14:textId="77777777" w:rsidR="001F484B" w:rsidRDefault="001F484B">
      <w:pPr>
        <w:spacing w:after="0" w:line="240" w:lineRule="auto"/>
        <w:rPr>
          <w:b/>
          <w:bCs/>
          <w:sz w:val="18"/>
          <w:szCs w:val="18"/>
        </w:rPr>
      </w:pPr>
      <w:bookmarkStart w:id="295" w:name="_Toc476131798"/>
      <w:r>
        <w:br w:type="page"/>
      </w:r>
    </w:p>
    <w:p w14:paraId="77C7AD2B" w14:textId="18EAA918" w:rsidR="0098471F" w:rsidRPr="0098471F" w:rsidRDefault="00B66319" w:rsidP="00B66319">
      <w:pPr>
        <w:pStyle w:val="Legenda"/>
        <w:rPr>
          <w:b w:val="0"/>
          <w:bCs w:val="0"/>
          <w:color w:val="auto"/>
          <w:sz w:val="20"/>
          <w:szCs w:val="20"/>
        </w:rPr>
      </w:pPr>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15</w:t>
      </w:r>
      <w:r w:rsidR="00A44293" w:rsidRPr="00A44293">
        <w:rPr>
          <w:noProof/>
          <w:color w:val="auto"/>
        </w:rPr>
        <w:fldChar w:fldCharType="end"/>
      </w:r>
      <w:r>
        <w:t xml:space="preserve"> </w:t>
      </w:r>
      <w:r w:rsidR="0098471F" w:rsidRPr="0098471F">
        <w:rPr>
          <w:b w:val="0"/>
          <w:i/>
          <w:color w:val="auto"/>
          <w:sz w:val="20"/>
          <w:szCs w:val="20"/>
        </w:rPr>
        <w:t xml:space="preserve">Postęp </w:t>
      </w:r>
      <w:r w:rsidR="00B15E47">
        <w:rPr>
          <w:b w:val="0"/>
          <w:i/>
          <w:color w:val="auto"/>
          <w:sz w:val="20"/>
          <w:szCs w:val="20"/>
        </w:rPr>
        <w:t>finansowy</w:t>
      </w:r>
      <w:r w:rsidR="0098471F" w:rsidRPr="0098471F">
        <w:rPr>
          <w:b w:val="0"/>
          <w:i/>
          <w:color w:val="auto"/>
          <w:sz w:val="20"/>
          <w:szCs w:val="20"/>
        </w:rPr>
        <w:t xml:space="preserve"> priorytetu II w podziale na działania</w:t>
      </w:r>
      <w:bookmarkEnd w:id="295"/>
    </w:p>
    <w:tbl>
      <w:tblPr>
        <w:tblStyle w:val="Tabelalisty3akcent6"/>
        <w:tblW w:w="10207" w:type="dxa"/>
        <w:jc w:val="center"/>
        <w:tblLayout w:type="fixed"/>
        <w:tblLook w:val="04A0" w:firstRow="1" w:lastRow="0" w:firstColumn="1" w:lastColumn="0" w:noHBand="0" w:noVBand="1"/>
      </w:tblPr>
      <w:tblGrid>
        <w:gridCol w:w="992"/>
        <w:gridCol w:w="1419"/>
        <w:gridCol w:w="992"/>
        <w:gridCol w:w="1134"/>
        <w:gridCol w:w="851"/>
        <w:gridCol w:w="992"/>
        <w:gridCol w:w="850"/>
        <w:gridCol w:w="993"/>
        <w:gridCol w:w="850"/>
        <w:gridCol w:w="1134"/>
      </w:tblGrid>
      <w:tr w:rsidR="00B0267C" w:rsidRPr="00F86D5F" w14:paraId="3E68B1E8" w14:textId="77777777" w:rsidTr="00F86D5F">
        <w:trPr>
          <w:cnfStyle w:val="100000000000" w:firstRow="1" w:lastRow="0" w:firstColumn="0" w:lastColumn="0" w:oddVBand="0" w:evenVBand="0" w:oddHBand="0" w:evenHBand="0" w:firstRowFirstColumn="0" w:firstRowLastColumn="0" w:lastRowFirstColumn="0" w:lastRowLastColumn="0"/>
          <w:trHeight w:val="1597"/>
          <w:jc w:val="center"/>
        </w:trPr>
        <w:tc>
          <w:tcPr>
            <w:cnfStyle w:val="001000000100" w:firstRow="0" w:lastRow="0" w:firstColumn="1" w:lastColumn="0" w:oddVBand="0" w:evenVBand="0" w:oddHBand="0" w:evenHBand="0" w:firstRowFirstColumn="1" w:firstRowLastColumn="0" w:lastRowFirstColumn="0" w:lastRowLastColumn="0"/>
            <w:tcW w:w="992" w:type="dxa"/>
            <w:vMerge w:val="restart"/>
            <w:noWrap/>
            <w:textDirection w:val="btLr"/>
            <w:vAlign w:val="center"/>
            <w:hideMark/>
          </w:tcPr>
          <w:bookmarkEnd w:id="293"/>
          <w:p w14:paraId="34DD3725" w14:textId="725DF56C" w:rsidR="00B0267C" w:rsidRPr="00F2703C" w:rsidRDefault="00534A43" w:rsidP="00F86D5F">
            <w:pPr>
              <w:spacing w:after="0" w:line="240" w:lineRule="auto"/>
              <w:ind w:left="113" w:right="113"/>
              <w:jc w:val="center"/>
              <w:rPr>
                <w:bCs w:val="0"/>
                <w:color w:val="000000"/>
                <w:sz w:val="18"/>
                <w:szCs w:val="18"/>
              </w:rPr>
            </w:pPr>
            <w:r w:rsidRPr="00F2703C">
              <w:rPr>
                <w:bCs w:val="0"/>
                <w:color w:val="000000"/>
                <w:sz w:val="18"/>
                <w:szCs w:val="18"/>
              </w:rPr>
              <w:t>DZIAŁANIE</w:t>
            </w:r>
          </w:p>
        </w:tc>
        <w:tc>
          <w:tcPr>
            <w:tcW w:w="1419" w:type="dxa"/>
            <w:vMerge w:val="restart"/>
            <w:textDirection w:val="btLr"/>
            <w:vAlign w:val="center"/>
            <w:hideMark/>
          </w:tcPr>
          <w:p w14:paraId="25995E7C" w14:textId="3CFC3A28" w:rsidR="00B0267C" w:rsidRPr="00F2703C" w:rsidRDefault="00534A43" w:rsidP="00F86D5F">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F2703C">
              <w:rPr>
                <w:bCs w:val="0"/>
                <w:color w:val="000000"/>
                <w:sz w:val="18"/>
                <w:szCs w:val="18"/>
              </w:rPr>
              <w:t>ALOKACJA MLN EUR</w:t>
            </w:r>
          </w:p>
        </w:tc>
        <w:tc>
          <w:tcPr>
            <w:tcW w:w="2126" w:type="dxa"/>
            <w:gridSpan w:val="2"/>
            <w:vAlign w:val="center"/>
            <w:hideMark/>
          </w:tcPr>
          <w:p w14:paraId="07CA7EF0" w14:textId="1E93F1A4" w:rsidR="00B0267C" w:rsidRPr="00F2703C" w:rsidRDefault="00534A43"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F2703C">
              <w:rPr>
                <w:bCs w:val="0"/>
                <w:color w:val="000000"/>
                <w:sz w:val="18"/>
                <w:szCs w:val="18"/>
              </w:rPr>
              <w:t>WNIOSKI WYBRANE DO DOFINANSOWANIA</w:t>
            </w:r>
          </w:p>
        </w:tc>
        <w:tc>
          <w:tcPr>
            <w:tcW w:w="1843" w:type="dxa"/>
            <w:gridSpan w:val="2"/>
            <w:vAlign w:val="center"/>
            <w:hideMark/>
          </w:tcPr>
          <w:p w14:paraId="7E746007" w14:textId="0AB76912" w:rsidR="00B0267C" w:rsidRPr="00F2703C" w:rsidRDefault="00534A43"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F2703C">
              <w:rPr>
                <w:bCs w:val="0"/>
                <w:color w:val="000000"/>
                <w:sz w:val="18"/>
                <w:szCs w:val="18"/>
              </w:rPr>
              <w:t>KONTRAKTACJA</w:t>
            </w:r>
          </w:p>
        </w:tc>
        <w:tc>
          <w:tcPr>
            <w:tcW w:w="1843" w:type="dxa"/>
            <w:gridSpan w:val="2"/>
            <w:noWrap/>
            <w:vAlign w:val="center"/>
            <w:hideMark/>
          </w:tcPr>
          <w:p w14:paraId="5194D824" w14:textId="63D118CB" w:rsidR="00B0267C" w:rsidRPr="00F2703C" w:rsidRDefault="00534A43"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F2703C">
              <w:rPr>
                <w:bCs w:val="0"/>
                <w:color w:val="000000"/>
                <w:sz w:val="18"/>
                <w:szCs w:val="18"/>
              </w:rPr>
              <w:t>PŁATNOŚCI</w:t>
            </w:r>
          </w:p>
        </w:tc>
        <w:tc>
          <w:tcPr>
            <w:tcW w:w="1984" w:type="dxa"/>
            <w:gridSpan w:val="2"/>
            <w:noWrap/>
            <w:vAlign w:val="center"/>
            <w:hideMark/>
          </w:tcPr>
          <w:p w14:paraId="5634B09F" w14:textId="0F670DDA" w:rsidR="00B0267C" w:rsidRPr="00F2703C" w:rsidRDefault="00534A43"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18"/>
                <w:szCs w:val="18"/>
              </w:rPr>
            </w:pPr>
            <w:r w:rsidRPr="00F2703C">
              <w:rPr>
                <w:bCs w:val="0"/>
                <w:color w:val="000000"/>
                <w:sz w:val="18"/>
                <w:szCs w:val="18"/>
              </w:rPr>
              <w:t>CERTYFIKACJA</w:t>
            </w:r>
          </w:p>
        </w:tc>
      </w:tr>
      <w:tr w:rsidR="00B0267C" w:rsidRPr="00F86D5F" w14:paraId="7E133D96" w14:textId="77777777" w:rsidTr="00F86D5F">
        <w:trPr>
          <w:cnfStyle w:val="000000100000" w:firstRow="0" w:lastRow="0" w:firstColumn="0" w:lastColumn="0" w:oddVBand="0" w:evenVBand="0" w:oddHBand="1" w:evenHBand="0" w:firstRowFirstColumn="0" w:firstRowLastColumn="0" w:lastRowFirstColumn="0" w:lastRowLastColumn="0"/>
          <w:trHeight w:val="930"/>
          <w:jc w:val="center"/>
        </w:trPr>
        <w:tc>
          <w:tcPr>
            <w:cnfStyle w:val="001000000000" w:firstRow="0" w:lastRow="0" w:firstColumn="1" w:lastColumn="0" w:oddVBand="0" w:evenVBand="0" w:oddHBand="0" w:evenHBand="0" w:firstRowFirstColumn="0" w:firstRowLastColumn="0" w:lastRowFirstColumn="0" w:lastRowLastColumn="0"/>
            <w:tcW w:w="992" w:type="dxa"/>
            <w:vMerge/>
            <w:vAlign w:val="center"/>
            <w:hideMark/>
          </w:tcPr>
          <w:p w14:paraId="517DEB92" w14:textId="77777777" w:rsidR="00B0267C" w:rsidRPr="00F86D5F" w:rsidRDefault="00B0267C" w:rsidP="00F86D5F">
            <w:pPr>
              <w:spacing w:after="0" w:line="240" w:lineRule="auto"/>
              <w:jc w:val="center"/>
              <w:rPr>
                <w:b w:val="0"/>
                <w:bCs w:val="0"/>
                <w:color w:val="000000"/>
                <w:sz w:val="20"/>
                <w:szCs w:val="20"/>
              </w:rPr>
            </w:pPr>
          </w:p>
        </w:tc>
        <w:tc>
          <w:tcPr>
            <w:tcW w:w="1419" w:type="dxa"/>
            <w:vMerge/>
            <w:vAlign w:val="center"/>
            <w:hideMark/>
          </w:tcPr>
          <w:p w14:paraId="66C31528"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Cs/>
                <w:color w:val="000000"/>
                <w:sz w:val="20"/>
                <w:szCs w:val="20"/>
              </w:rPr>
            </w:pPr>
          </w:p>
        </w:tc>
        <w:tc>
          <w:tcPr>
            <w:tcW w:w="992" w:type="dxa"/>
            <w:vAlign w:val="center"/>
            <w:hideMark/>
          </w:tcPr>
          <w:p w14:paraId="650F868E"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mln EUR</w:t>
            </w:r>
          </w:p>
        </w:tc>
        <w:tc>
          <w:tcPr>
            <w:tcW w:w="1134" w:type="dxa"/>
            <w:vAlign w:val="center"/>
            <w:hideMark/>
          </w:tcPr>
          <w:p w14:paraId="1FA9EC6D"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w:t>
            </w:r>
          </w:p>
        </w:tc>
        <w:tc>
          <w:tcPr>
            <w:tcW w:w="851" w:type="dxa"/>
            <w:vAlign w:val="center"/>
            <w:hideMark/>
          </w:tcPr>
          <w:p w14:paraId="54DFC838"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mln EUR</w:t>
            </w:r>
          </w:p>
        </w:tc>
        <w:tc>
          <w:tcPr>
            <w:tcW w:w="992" w:type="dxa"/>
            <w:vAlign w:val="center"/>
            <w:hideMark/>
          </w:tcPr>
          <w:p w14:paraId="2810F625"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w:t>
            </w:r>
          </w:p>
        </w:tc>
        <w:tc>
          <w:tcPr>
            <w:tcW w:w="850" w:type="dxa"/>
            <w:vAlign w:val="center"/>
            <w:hideMark/>
          </w:tcPr>
          <w:p w14:paraId="2DBFAF33"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mln EUR</w:t>
            </w:r>
          </w:p>
        </w:tc>
        <w:tc>
          <w:tcPr>
            <w:tcW w:w="993" w:type="dxa"/>
            <w:vAlign w:val="center"/>
            <w:hideMark/>
          </w:tcPr>
          <w:p w14:paraId="2DB1157D"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w:t>
            </w:r>
          </w:p>
        </w:tc>
        <w:tc>
          <w:tcPr>
            <w:tcW w:w="850" w:type="dxa"/>
            <w:vAlign w:val="center"/>
            <w:hideMark/>
          </w:tcPr>
          <w:p w14:paraId="7D922DB4"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mln EUR</w:t>
            </w:r>
          </w:p>
        </w:tc>
        <w:tc>
          <w:tcPr>
            <w:tcW w:w="1134" w:type="dxa"/>
            <w:vAlign w:val="center"/>
            <w:hideMark/>
          </w:tcPr>
          <w:p w14:paraId="6BF055AA"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86D5F">
              <w:rPr>
                <w:b/>
                <w:bCs/>
                <w:sz w:val="20"/>
                <w:szCs w:val="20"/>
              </w:rPr>
              <w:t>%</w:t>
            </w:r>
          </w:p>
        </w:tc>
      </w:tr>
      <w:tr w:rsidR="00B0267C" w:rsidRPr="00F86D5F" w14:paraId="6351959A" w14:textId="77777777" w:rsidTr="00F86D5F">
        <w:trPr>
          <w:trHeight w:val="474"/>
          <w:jc w:val="center"/>
        </w:trPr>
        <w:tc>
          <w:tcPr>
            <w:cnfStyle w:val="001000000000" w:firstRow="0" w:lastRow="0" w:firstColumn="1" w:lastColumn="0" w:oddVBand="0" w:evenVBand="0" w:oddHBand="0" w:evenHBand="0" w:firstRowFirstColumn="0" w:firstRowLastColumn="0" w:lastRowFirstColumn="0" w:lastRowLastColumn="0"/>
            <w:tcW w:w="992" w:type="dxa"/>
            <w:noWrap/>
            <w:vAlign w:val="center"/>
            <w:hideMark/>
          </w:tcPr>
          <w:p w14:paraId="432E93CF" w14:textId="77777777" w:rsidR="00B0267C" w:rsidRPr="00F86D5F" w:rsidRDefault="00B0267C" w:rsidP="00F86D5F">
            <w:pPr>
              <w:spacing w:after="0" w:line="240" w:lineRule="auto"/>
              <w:jc w:val="center"/>
              <w:rPr>
                <w:b w:val="0"/>
                <w:bCs w:val="0"/>
                <w:color w:val="000000"/>
                <w:sz w:val="20"/>
                <w:szCs w:val="20"/>
              </w:rPr>
            </w:pPr>
            <w:r w:rsidRPr="00F86D5F">
              <w:rPr>
                <w:b w:val="0"/>
                <w:bCs w:val="0"/>
                <w:color w:val="000000"/>
                <w:sz w:val="20"/>
                <w:szCs w:val="20"/>
              </w:rPr>
              <w:t>2.1</w:t>
            </w:r>
          </w:p>
        </w:tc>
        <w:tc>
          <w:tcPr>
            <w:tcW w:w="1419" w:type="dxa"/>
            <w:noWrap/>
            <w:vAlign w:val="center"/>
            <w:hideMark/>
          </w:tcPr>
          <w:p w14:paraId="6CE950D3"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F86D5F">
              <w:rPr>
                <w:sz w:val="20"/>
                <w:szCs w:val="20"/>
              </w:rPr>
              <w:t>62,88</w:t>
            </w:r>
          </w:p>
        </w:tc>
        <w:tc>
          <w:tcPr>
            <w:tcW w:w="992" w:type="dxa"/>
            <w:noWrap/>
            <w:vAlign w:val="center"/>
            <w:hideMark/>
          </w:tcPr>
          <w:p w14:paraId="4DCEACAE"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75,94</w:t>
            </w:r>
          </w:p>
        </w:tc>
        <w:tc>
          <w:tcPr>
            <w:tcW w:w="1134" w:type="dxa"/>
            <w:noWrap/>
            <w:vAlign w:val="center"/>
            <w:hideMark/>
          </w:tcPr>
          <w:p w14:paraId="0CC37D22"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120,77</w:t>
            </w:r>
          </w:p>
        </w:tc>
        <w:tc>
          <w:tcPr>
            <w:tcW w:w="851" w:type="dxa"/>
            <w:noWrap/>
            <w:vAlign w:val="center"/>
            <w:hideMark/>
          </w:tcPr>
          <w:p w14:paraId="42A446BC"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54,91</w:t>
            </w:r>
          </w:p>
        </w:tc>
        <w:tc>
          <w:tcPr>
            <w:tcW w:w="992" w:type="dxa"/>
            <w:noWrap/>
            <w:vAlign w:val="center"/>
            <w:hideMark/>
          </w:tcPr>
          <w:p w14:paraId="333A7BC8"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87,33</w:t>
            </w:r>
          </w:p>
        </w:tc>
        <w:tc>
          <w:tcPr>
            <w:tcW w:w="850" w:type="dxa"/>
            <w:noWrap/>
            <w:vAlign w:val="center"/>
            <w:hideMark/>
          </w:tcPr>
          <w:p w14:paraId="65AB6732"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54,33</w:t>
            </w:r>
          </w:p>
        </w:tc>
        <w:tc>
          <w:tcPr>
            <w:tcW w:w="993" w:type="dxa"/>
            <w:noWrap/>
            <w:vAlign w:val="center"/>
            <w:hideMark/>
          </w:tcPr>
          <w:p w14:paraId="7BA2C433"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86,40</w:t>
            </w:r>
          </w:p>
        </w:tc>
        <w:tc>
          <w:tcPr>
            <w:tcW w:w="850" w:type="dxa"/>
            <w:vAlign w:val="center"/>
            <w:hideMark/>
          </w:tcPr>
          <w:p w14:paraId="2E4DCCF8"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F86D5F">
              <w:rPr>
                <w:sz w:val="20"/>
                <w:szCs w:val="20"/>
              </w:rPr>
              <w:t>56,63</w:t>
            </w:r>
          </w:p>
        </w:tc>
        <w:tc>
          <w:tcPr>
            <w:tcW w:w="1134" w:type="dxa"/>
            <w:noWrap/>
            <w:vAlign w:val="center"/>
            <w:hideMark/>
          </w:tcPr>
          <w:p w14:paraId="79BD040E" w14:textId="77777777" w:rsidR="00B0267C" w:rsidRPr="00F86D5F" w:rsidRDefault="00B0267C"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86D5F">
              <w:rPr>
                <w:color w:val="000000"/>
                <w:sz w:val="20"/>
                <w:szCs w:val="20"/>
              </w:rPr>
              <w:t>90,06</w:t>
            </w:r>
          </w:p>
        </w:tc>
      </w:tr>
      <w:tr w:rsidR="00B0267C" w:rsidRPr="00F86D5F" w14:paraId="2B6C8FF5" w14:textId="77777777" w:rsidTr="00F86D5F">
        <w:trPr>
          <w:cnfStyle w:val="000000100000" w:firstRow="0" w:lastRow="0" w:firstColumn="0" w:lastColumn="0" w:oddVBand="0" w:evenVBand="0" w:oddHBand="1" w:evenHBand="0" w:firstRowFirstColumn="0" w:firstRowLastColumn="0" w:lastRowFirstColumn="0" w:lastRowLastColumn="0"/>
          <w:trHeight w:val="437"/>
          <w:jc w:val="center"/>
        </w:trPr>
        <w:tc>
          <w:tcPr>
            <w:cnfStyle w:val="001000000000" w:firstRow="0" w:lastRow="0" w:firstColumn="1" w:lastColumn="0" w:oddVBand="0" w:evenVBand="0" w:oddHBand="0" w:evenHBand="0" w:firstRowFirstColumn="0" w:firstRowLastColumn="0" w:lastRowFirstColumn="0" w:lastRowLastColumn="0"/>
            <w:tcW w:w="992" w:type="dxa"/>
            <w:noWrap/>
            <w:vAlign w:val="center"/>
            <w:hideMark/>
          </w:tcPr>
          <w:p w14:paraId="4BE53359" w14:textId="77777777" w:rsidR="00B0267C" w:rsidRPr="00F86D5F" w:rsidRDefault="00B0267C" w:rsidP="00F86D5F">
            <w:pPr>
              <w:spacing w:after="0" w:line="240" w:lineRule="auto"/>
              <w:jc w:val="center"/>
              <w:rPr>
                <w:b w:val="0"/>
                <w:bCs w:val="0"/>
                <w:color w:val="000000"/>
                <w:sz w:val="20"/>
                <w:szCs w:val="20"/>
              </w:rPr>
            </w:pPr>
            <w:r w:rsidRPr="00F86D5F">
              <w:rPr>
                <w:b w:val="0"/>
                <w:bCs w:val="0"/>
                <w:color w:val="000000"/>
                <w:sz w:val="20"/>
                <w:szCs w:val="20"/>
              </w:rPr>
              <w:t>2.2</w:t>
            </w:r>
          </w:p>
        </w:tc>
        <w:tc>
          <w:tcPr>
            <w:tcW w:w="1419" w:type="dxa"/>
            <w:noWrap/>
            <w:vAlign w:val="center"/>
            <w:hideMark/>
          </w:tcPr>
          <w:p w14:paraId="32EFC795" w14:textId="0A2AA661" w:rsidR="00B0267C" w:rsidRPr="00F86D5F" w:rsidRDefault="00692C52"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F86D5F">
              <w:rPr>
                <w:sz w:val="20"/>
                <w:szCs w:val="20"/>
              </w:rPr>
              <w:t>87,1</w:t>
            </w:r>
            <w:r w:rsidR="00710E9D" w:rsidRPr="00F86D5F">
              <w:rPr>
                <w:sz w:val="20"/>
                <w:szCs w:val="20"/>
              </w:rPr>
              <w:t>2</w:t>
            </w:r>
            <w:r w:rsidRPr="00F86D5F">
              <w:rPr>
                <w:sz w:val="20"/>
                <w:szCs w:val="20"/>
              </w:rPr>
              <w:t xml:space="preserve"> </w:t>
            </w:r>
          </w:p>
        </w:tc>
        <w:tc>
          <w:tcPr>
            <w:tcW w:w="992" w:type="dxa"/>
            <w:noWrap/>
            <w:vAlign w:val="center"/>
            <w:hideMark/>
          </w:tcPr>
          <w:p w14:paraId="33C86856"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86,05</w:t>
            </w:r>
          </w:p>
        </w:tc>
        <w:tc>
          <w:tcPr>
            <w:tcW w:w="1134" w:type="dxa"/>
            <w:noWrap/>
            <w:vAlign w:val="center"/>
            <w:hideMark/>
          </w:tcPr>
          <w:p w14:paraId="2A57707A"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98,77</w:t>
            </w:r>
          </w:p>
        </w:tc>
        <w:tc>
          <w:tcPr>
            <w:tcW w:w="851" w:type="dxa"/>
            <w:noWrap/>
            <w:vAlign w:val="center"/>
            <w:hideMark/>
          </w:tcPr>
          <w:p w14:paraId="7782CBDD"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75,89</w:t>
            </w:r>
          </w:p>
        </w:tc>
        <w:tc>
          <w:tcPr>
            <w:tcW w:w="992" w:type="dxa"/>
            <w:noWrap/>
            <w:vAlign w:val="center"/>
            <w:hideMark/>
          </w:tcPr>
          <w:p w14:paraId="6FD3CB6D"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87,11</w:t>
            </w:r>
          </w:p>
        </w:tc>
        <w:tc>
          <w:tcPr>
            <w:tcW w:w="850" w:type="dxa"/>
            <w:noWrap/>
            <w:vAlign w:val="center"/>
            <w:hideMark/>
          </w:tcPr>
          <w:p w14:paraId="2B301567"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74,86</w:t>
            </w:r>
          </w:p>
        </w:tc>
        <w:tc>
          <w:tcPr>
            <w:tcW w:w="993" w:type="dxa"/>
            <w:noWrap/>
            <w:vAlign w:val="center"/>
            <w:hideMark/>
          </w:tcPr>
          <w:p w14:paraId="6EB1CD2F" w14:textId="77777777" w:rsidR="00B0267C" w:rsidRPr="00F86D5F" w:rsidRDefault="00B0267C"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85,93</w:t>
            </w:r>
          </w:p>
        </w:tc>
        <w:tc>
          <w:tcPr>
            <w:tcW w:w="850" w:type="dxa"/>
            <w:vAlign w:val="center"/>
            <w:hideMark/>
          </w:tcPr>
          <w:p w14:paraId="361969D4" w14:textId="53E4FEC9" w:rsidR="00B0267C" w:rsidRPr="00F86D5F" w:rsidRDefault="00692C52"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F86D5F">
              <w:rPr>
                <w:sz w:val="20"/>
                <w:szCs w:val="20"/>
              </w:rPr>
              <w:t xml:space="preserve">77,98 </w:t>
            </w:r>
          </w:p>
        </w:tc>
        <w:tc>
          <w:tcPr>
            <w:tcW w:w="1134" w:type="dxa"/>
            <w:noWrap/>
            <w:vAlign w:val="center"/>
            <w:hideMark/>
          </w:tcPr>
          <w:p w14:paraId="07FDB745" w14:textId="130F495A" w:rsidR="00B0267C" w:rsidRPr="00F86D5F" w:rsidRDefault="00692C52"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86D5F">
              <w:rPr>
                <w:color w:val="000000"/>
                <w:sz w:val="20"/>
                <w:szCs w:val="20"/>
              </w:rPr>
              <w:t xml:space="preserve"> 89,51</w:t>
            </w:r>
          </w:p>
        </w:tc>
      </w:tr>
    </w:tbl>
    <w:p w14:paraId="11023A8E" w14:textId="77777777" w:rsidR="00B0267C" w:rsidRDefault="00B0267C" w:rsidP="00B0267C">
      <w:pPr>
        <w:ind w:left="-567"/>
        <w:jc w:val="both"/>
        <w:rPr>
          <w:b/>
          <w:szCs w:val="24"/>
          <w:lang w:eastAsia="ar-SA"/>
        </w:rPr>
      </w:pPr>
    </w:p>
    <w:p w14:paraId="3A729F4B" w14:textId="328AB893" w:rsidR="00D30576" w:rsidRDefault="000E197A" w:rsidP="00B8015D">
      <w:pPr>
        <w:spacing w:after="0"/>
        <w:jc w:val="both"/>
        <w:rPr>
          <w:b/>
          <w:szCs w:val="24"/>
          <w:lang w:eastAsia="ar-SA"/>
        </w:rPr>
      </w:pPr>
      <w:r w:rsidRPr="00D07049">
        <w:rPr>
          <w:b/>
          <w:szCs w:val="24"/>
          <w:lang w:eastAsia="ar-SA"/>
        </w:rPr>
        <w:t>Rozkład projektów</w:t>
      </w:r>
    </w:p>
    <w:p w14:paraId="2C2AEFA0" w14:textId="3E4DBE56" w:rsidR="004E6046" w:rsidRPr="004E6046" w:rsidRDefault="004E6046" w:rsidP="004E6046">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w:t>
      </w:r>
      <w:r w:rsidRPr="00D90934">
        <w:rPr>
          <w:szCs w:val="24"/>
          <w:lang w:eastAsia="ar-SA"/>
        </w:rPr>
        <w:t>w przypadkach braku danych w KS</w:t>
      </w:r>
      <w:r>
        <w:rPr>
          <w:szCs w:val="24"/>
          <w:lang w:eastAsia="ar-SA"/>
        </w:rPr>
        <w:t>I</w:t>
      </w:r>
      <w:r w:rsidR="00674FED">
        <w:rPr>
          <w:szCs w:val="24"/>
          <w:lang w:eastAsia="ar-SA"/>
        </w:rPr>
        <w:t>,</w:t>
      </w:r>
      <w:r>
        <w:rPr>
          <w:szCs w:val="24"/>
          <w:lang w:eastAsia="ar-SA"/>
        </w:rPr>
        <w:t xml:space="preserve"> dane pochodzą z LSI.</w:t>
      </w:r>
    </w:p>
    <w:p w14:paraId="5A55E326" w14:textId="6195D042" w:rsidR="00D30576" w:rsidRPr="00D30576" w:rsidRDefault="00D30576" w:rsidP="00D30576">
      <w:pPr>
        <w:spacing w:before="120" w:after="120"/>
        <w:contextualSpacing/>
        <w:jc w:val="both"/>
        <w:rPr>
          <w:b/>
          <w:szCs w:val="24"/>
          <w:lang w:eastAsia="ar-SA"/>
        </w:rPr>
      </w:pPr>
      <w:r w:rsidRPr="00D30576">
        <w:rPr>
          <w:b/>
          <w:szCs w:val="24"/>
          <w:lang w:eastAsia="ar-SA"/>
        </w:rPr>
        <w:t>Projekty w podziale na sektory gospodarki</w:t>
      </w:r>
    </w:p>
    <w:p w14:paraId="2BF82004" w14:textId="07FCB03E" w:rsidR="00D30576" w:rsidRPr="00D30576" w:rsidRDefault="00D30576" w:rsidP="00D30576">
      <w:pPr>
        <w:spacing w:before="120" w:after="120"/>
        <w:jc w:val="both"/>
        <w:rPr>
          <w:szCs w:val="24"/>
          <w:lang w:eastAsia="ar-SA"/>
        </w:rPr>
      </w:pPr>
      <w:r w:rsidRPr="00D30576">
        <w:rPr>
          <w:szCs w:val="24"/>
          <w:lang w:eastAsia="ar-SA"/>
        </w:rPr>
        <w:t>W ramach przedmiotowego priorytet</w:t>
      </w:r>
      <w:r>
        <w:rPr>
          <w:szCs w:val="24"/>
          <w:lang w:eastAsia="ar-SA"/>
        </w:rPr>
        <w:t xml:space="preserve">u, nie </w:t>
      </w:r>
      <w:r w:rsidR="00540919">
        <w:rPr>
          <w:szCs w:val="24"/>
          <w:lang w:eastAsia="ar-SA"/>
        </w:rPr>
        <w:t>były</w:t>
      </w:r>
      <w:r>
        <w:rPr>
          <w:szCs w:val="24"/>
          <w:lang w:eastAsia="ar-SA"/>
        </w:rPr>
        <w:t xml:space="preserve"> realizowane projekty,</w:t>
      </w:r>
      <w:r w:rsidR="00556BA1">
        <w:rPr>
          <w:szCs w:val="24"/>
          <w:lang w:eastAsia="ar-SA"/>
        </w:rPr>
        <w:t xml:space="preserve"> które można podzielić na </w:t>
      </w:r>
      <w:r w:rsidRPr="00D30576">
        <w:rPr>
          <w:szCs w:val="24"/>
          <w:lang w:eastAsia="ar-SA"/>
        </w:rPr>
        <w:t>sektory gospodarki.</w:t>
      </w:r>
    </w:p>
    <w:p w14:paraId="68F112EA" w14:textId="75C347BB" w:rsidR="00D30576" w:rsidRPr="00D30576" w:rsidRDefault="00D30576" w:rsidP="00D30576">
      <w:pPr>
        <w:spacing w:after="120"/>
        <w:contextualSpacing/>
        <w:jc w:val="both"/>
        <w:rPr>
          <w:b/>
          <w:szCs w:val="24"/>
          <w:lang w:eastAsia="ar-SA"/>
        </w:rPr>
      </w:pPr>
      <w:r w:rsidRPr="00D30576">
        <w:rPr>
          <w:b/>
          <w:szCs w:val="24"/>
          <w:lang w:eastAsia="ar-SA"/>
        </w:rPr>
        <w:t>Projekty w podziale na formy prawne beneficjentów</w:t>
      </w:r>
    </w:p>
    <w:p w14:paraId="036F9692" w14:textId="59136A09" w:rsidR="00D30576" w:rsidRPr="00D30576" w:rsidRDefault="00D30576" w:rsidP="00D30576">
      <w:pPr>
        <w:jc w:val="both"/>
        <w:rPr>
          <w:szCs w:val="24"/>
        </w:rPr>
      </w:pPr>
      <w:r w:rsidRPr="00D30576">
        <w:rPr>
          <w:szCs w:val="24"/>
        </w:rPr>
        <w:t>Dominującą grupę beneficjentów w ra</w:t>
      </w:r>
      <w:r w:rsidR="00F86D5F">
        <w:rPr>
          <w:szCs w:val="24"/>
        </w:rPr>
        <w:t>mach priorytetu II stanowiły</w:t>
      </w:r>
      <w:r w:rsidR="00674FED">
        <w:rPr>
          <w:szCs w:val="24"/>
        </w:rPr>
        <w:t xml:space="preserve"> JST. Z</w:t>
      </w:r>
      <w:r w:rsidRPr="00D30576">
        <w:rPr>
          <w:szCs w:val="24"/>
        </w:rPr>
        <w:t xml:space="preserve">wiązane </w:t>
      </w:r>
      <w:r w:rsidR="00F86D5F">
        <w:rPr>
          <w:szCs w:val="24"/>
        </w:rPr>
        <w:t>było</w:t>
      </w:r>
      <w:r w:rsidRPr="00D30576">
        <w:rPr>
          <w:szCs w:val="24"/>
        </w:rPr>
        <w:t xml:space="preserve"> to przede wszystkim z zakresem przedmiotowego prioryte</w:t>
      </w:r>
      <w:r w:rsidR="00F86D5F">
        <w:rPr>
          <w:szCs w:val="24"/>
        </w:rPr>
        <w:t>tu, który miał</w:t>
      </w:r>
      <w:r w:rsidR="00902182">
        <w:rPr>
          <w:szCs w:val="24"/>
        </w:rPr>
        <w:t xml:space="preserve"> na celu zwiększenie</w:t>
      </w:r>
      <w:r w:rsidRPr="00D30576">
        <w:rPr>
          <w:szCs w:val="24"/>
        </w:rPr>
        <w:t xml:space="preserve"> liczby usług publicznych świadczonych drogą</w:t>
      </w:r>
      <w:r>
        <w:rPr>
          <w:szCs w:val="24"/>
        </w:rPr>
        <w:t xml:space="preserve"> elektroniczną oraz zapewnienie </w:t>
      </w:r>
      <w:r w:rsidRPr="00D30576">
        <w:rPr>
          <w:szCs w:val="24"/>
        </w:rPr>
        <w:t xml:space="preserve">powszechnego, szerokopasmowego dostępu do Internetu. W przedmiotowym priorytecie beneficjenci </w:t>
      </w:r>
      <w:r w:rsidR="00902182" w:rsidRPr="00D30576">
        <w:rPr>
          <w:szCs w:val="24"/>
        </w:rPr>
        <w:t>sklasyfikowani, jako</w:t>
      </w:r>
      <w:r w:rsidRPr="00D30576">
        <w:rPr>
          <w:szCs w:val="24"/>
        </w:rPr>
        <w:t xml:space="preserve"> przedsiębiorcy to podmioty, w których większość udziałów lub akcji posiadają jednostki samorządu terytorialnego lub ich związki i stowarzyszenia.</w:t>
      </w:r>
    </w:p>
    <w:p w14:paraId="6AF0004E" w14:textId="5582BE64" w:rsidR="00D30576" w:rsidRPr="00D30576" w:rsidRDefault="00D30576" w:rsidP="00D30576">
      <w:pPr>
        <w:jc w:val="center"/>
        <w:rPr>
          <w:szCs w:val="24"/>
        </w:rPr>
      </w:pPr>
      <w:r>
        <w:rPr>
          <w:noProof/>
        </w:rPr>
        <w:lastRenderedPageBreak/>
        <w:drawing>
          <wp:inline distT="0" distB="0" distL="0" distR="0" wp14:anchorId="13CED8A6" wp14:editId="3CC2C33D">
            <wp:extent cx="5759450" cy="3199765"/>
            <wp:effectExtent l="0" t="0" r="0" b="635"/>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84260A7" w14:textId="62755B55" w:rsidR="0098471F" w:rsidRPr="0098471F" w:rsidRDefault="00B66319" w:rsidP="00B66319">
      <w:pPr>
        <w:pStyle w:val="Legenda"/>
        <w:rPr>
          <w:b w:val="0"/>
          <w:color w:val="auto"/>
          <w:sz w:val="20"/>
          <w:szCs w:val="20"/>
          <w:lang w:eastAsia="ar-SA"/>
        </w:rPr>
      </w:pPr>
      <w:bookmarkStart w:id="296" w:name="_Toc476832949"/>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31</w:t>
      </w:r>
      <w:r w:rsidR="00A44293" w:rsidRPr="00A44293">
        <w:rPr>
          <w:noProof/>
          <w:color w:val="auto"/>
        </w:rPr>
        <w:fldChar w:fldCharType="end"/>
      </w:r>
      <w:r w:rsidRPr="00A44293">
        <w:rPr>
          <w:color w:val="auto"/>
        </w:rPr>
        <w:t xml:space="preserve"> </w:t>
      </w:r>
      <w:r w:rsidR="0098471F" w:rsidRPr="0098471F">
        <w:rPr>
          <w:b w:val="0"/>
          <w:i/>
          <w:color w:val="auto"/>
          <w:sz w:val="20"/>
          <w:szCs w:val="20"/>
        </w:rPr>
        <w:t xml:space="preserve">Rozkład projektów </w:t>
      </w:r>
      <w:r w:rsidR="00B15E47">
        <w:rPr>
          <w:b w:val="0"/>
          <w:i/>
          <w:color w:val="auto"/>
          <w:sz w:val="20"/>
          <w:szCs w:val="20"/>
        </w:rPr>
        <w:t xml:space="preserve">w ramach priorytetu II </w:t>
      </w:r>
      <w:r w:rsidR="0098471F" w:rsidRPr="0098471F">
        <w:rPr>
          <w:b w:val="0"/>
          <w:i/>
          <w:color w:val="auto"/>
          <w:sz w:val="20"/>
          <w:szCs w:val="20"/>
        </w:rPr>
        <w:t>w podziale na beneficjentów</w:t>
      </w:r>
      <w:bookmarkEnd w:id="296"/>
    </w:p>
    <w:p w14:paraId="1448A30E" w14:textId="77777777" w:rsidR="00D30576" w:rsidRPr="00D30576" w:rsidRDefault="00D30576" w:rsidP="00D30576">
      <w:pPr>
        <w:spacing w:after="120"/>
        <w:contextualSpacing/>
        <w:jc w:val="both"/>
        <w:rPr>
          <w:b/>
          <w:szCs w:val="24"/>
          <w:lang w:eastAsia="ar-SA"/>
        </w:rPr>
      </w:pPr>
      <w:r w:rsidRPr="00D30576">
        <w:rPr>
          <w:b/>
          <w:szCs w:val="24"/>
          <w:lang w:eastAsia="ar-SA"/>
        </w:rPr>
        <w:t>Projekty w podziale na rozkład terytorialny</w:t>
      </w:r>
    </w:p>
    <w:p w14:paraId="41A40729" w14:textId="6DF376A4" w:rsidR="00D30576" w:rsidRPr="00D30576" w:rsidRDefault="0098471F" w:rsidP="00D30576">
      <w:pPr>
        <w:autoSpaceDE w:val="0"/>
        <w:autoSpaceDN w:val="0"/>
        <w:adjustRightInd w:val="0"/>
        <w:spacing w:after="240"/>
        <w:jc w:val="both"/>
        <w:rPr>
          <w:rFonts w:eastAsia="Calibri"/>
          <w:szCs w:val="24"/>
        </w:rPr>
      </w:pPr>
      <w:r>
        <w:rPr>
          <w:rFonts w:eastAsia="Calibri"/>
          <w:szCs w:val="24"/>
        </w:rPr>
        <w:t>Około 82</w:t>
      </w:r>
      <w:r w:rsidRPr="00D30576">
        <w:rPr>
          <w:rFonts w:eastAsia="Calibri"/>
          <w:bCs/>
          <w:szCs w:val="24"/>
        </w:rPr>
        <w:t xml:space="preserve"> </w:t>
      </w:r>
      <w:r w:rsidR="00D30576" w:rsidRPr="00D30576">
        <w:rPr>
          <w:rFonts w:eastAsia="Calibri"/>
          <w:bCs/>
          <w:szCs w:val="24"/>
        </w:rPr>
        <w:t xml:space="preserve">% środków alokowanych na przedmiotowy priorytet </w:t>
      </w:r>
      <w:r>
        <w:rPr>
          <w:rFonts w:eastAsia="Calibri"/>
          <w:szCs w:val="24"/>
        </w:rPr>
        <w:t>skierowanych zostało na </w:t>
      </w:r>
      <w:r w:rsidR="00D30576" w:rsidRPr="00D30576">
        <w:rPr>
          <w:rFonts w:eastAsia="Calibri"/>
          <w:szCs w:val="24"/>
        </w:rPr>
        <w:t xml:space="preserve">realizacje inwestycji na obszarach miejskich, natomiast około </w:t>
      </w:r>
      <w:r>
        <w:rPr>
          <w:rFonts w:eastAsia="Calibri"/>
          <w:bCs/>
          <w:szCs w:val="24"/>
        </w:rPr>
        <w:t>16</w:t>
      </w:r>
      <w:r w:rsidR="00D30576" w:rsidRPr="00D30576">
        <w:rPr>
          <w:rFonts w:eastAsia="Calibri"/>
          <w:bCs/>
          <w:szCs w:val="24"/>
        </w:rPr>
        <w:t>%</w:t>
      </w:r>
      <w:r w:rsidR="00D30576" w:rsidRPr="00D30576">
        <w:rPr>
          <w:rFonts w:eastAsia="Calibri"/>
          <w:b/>
          <w:bCs/>
          <w:szCs w:val="24"/>
        </w:rPr>
        <w:t xml:space="preserve"> </w:t>
      </w:r>
      <w:r w:rsidR="00D30576" w:rsidRPr="00D30576">
        <w:rPr>
          <w:rFonts w:eastAsia="Calibri"/>
          <w:szCs w:val="24"/>
        </w:rPr>
        <w:t>na terenach wiejskich.</w:t>
      </w:r>
      <w:bookmarkStart w:id="297" w:name="_Toc324853718"/>
      <w:bookmarkStart w:id="298" w:name="_Toc326046371"/>
      <w:bookmarkStart w:id="299" w:name="_Toc355688734"/>
    </w:p>
    <w:p w14:paraId="4CB376C7" w14:textId="73EACFCD" w:rsidR="00D30576" w:rsidRPr="009430EA" w:rsidRDefault="00B66319" w:rsidP="00B66319">
      <w:pPr>
        <w:pStyle w:val="Legenda"/>
        <w:rPr>
          <w:color w:val="auto"/>
          <w:sz w:val="20"/>
          <w:szCs w:val="20"/>
        </w:rPr>
      </w:pPr>
      <w:bookmarkStart w:id="300" w:name="_Toc476131799"/>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16</w:t>
      </w:r>
      <w:r w:rsidR="00A44293" w:rsidRPr="00A44293">
        <w:rPr>
          <w:noProof/>
          <w:color w:val="auto"/>
        </w:rPr>
        <w:fldChar w:fldCharType="end"/>
      </w:r>
      <w:r>
        <w:t xml:space="preserve"> </w:t>
      </w:r>
      <w:r w:rsidR="00D30576" w:rsidRPr="009430EA">
        <w:rPr>
          <w:b w:val="0"/>
          <w:i/>
          <w:color w:val="auto"/>
          <w:sz w:val="20"/>
          <w:szCs w:val="20"/>
        </w:rPr>
        <w:t xml:space="preserve">Rozkład projektów </w:t>
      </w:r>
      <w:r w:rsidR="00B15E47">
        <w:rPr>
          <w:b w:val="0"/>
          <w:i/>
          <w:color w:val="auto"/>
          <w:sz w:val="20"/>
          <w:szCs w:val="20"/>
        </w:rPr>
        <w:t xml:space="preserve">w ramach priorytetu II </w:t>
      </w:r>
      <w:r w:rsidR="00D30576" w:rsidRPr="009430EA">
        <w:rPr>
          <w:b w:val="0"/>
          <w:i/>
          <w:color w:val="auto"/>
          <w:sz w:val="20"/>
          <w:szCs w:val="20"/>
        </w:rPr>
        <w:t>w podziale na obszary</w:t>
      </w:r>
      <w:bookmarkEnd w:id="300"/>
      <w:r w:rsidR="00D30576" w:rsidRPr="009430EA">
        <w:rPr>
          <w:i/>
          <w:color w:val="auto"/>
          <w:sz w:val="20"/>
          <w:szCs w:val="20"/>
        </w:rPr>
        <w:t xml:space="preserve"> </w:t>
      </w:r>
      <w:bookmarkEnd w:id="297"/>
      <w:bookmarkEnd w:id="298"/>
      <w:bookmarkEnd w:id="299"/>
    </w:p>
    <w:tbl>
      <w:tblPr>
        <w:tblStyle w:val="Tabelalisty3akcent61"/>
        <w:tblW w:w="5260" w:type="dxa"/>
        <w:jc w:val="center"/>
        <w:tblLook w:val="04A0" w:firstRow="1" w:lastRow="0" w:firstColumn="1" w:lastColumn="0" w:noHBand="0" w:noVBand="1"/>
      </w:tblPr>
      <w:tblGrid>
        <w:gridCol w:w="1500"/>
        <w:gridCol w:w="1560"/>
        <w:gridCol w:w="2200"/>
      </w:tblGrid>
      <w:tr w:rsidR="00D30576" w:rsidRPr="0098471F" w14:paraId="23DD8CD4" w14:textId="77777777" w:rsidTr="00F86D5F">
        <w:trPr>
          <w:cnfStyle w:val="100000000000" w:firstRow="1" w:lastRow="0" w:firstColumn="0" w:lastColumn="0" w:oddVBand="0" w:evenVBand="0" w:oddHBand="0" w:evenHBand="0" w:firstRowFirstColumn="0" w:firstRowLastColumn="0" w:lastRowFirstColumn="0" w:lastRowLastColumn="0"/>
          <w:trHeight w:val="633"/>
          <w:jc w:val="center"/>
        </w:trPr>
        <w:tc>
          <w:tcPr>
            <w:cnfStyle w:val="001000000100" w:firstRow="0" w:lastRow="0" w:firstColumn="1" w:lastColumn="0" w:oddVBand="0" w:evenVBand="0" w:oddHBand="0" w:evenHBand="0" w:firstRowFirstColumn="1" w:firstRowLastColumn="0" w:lastRowFirstColumn="0" w:lastRowLastColumn="0"/>
            <w:tcW w:w="1500" w:type="dxa"/>
            <w:noWrap/>
            <w:vAlign w:val="center"/>
            <w:hideMark/>
          </w:tcPr>
          <w:p w14:paraId="1BE083B1" w14:textId="77777777" w:rsidR="00D30576" w:rsidRPr="0098471F" w:rsidRDefault="00D30576" w:rsidP="00F86D5F">
            <w:pPr>
              <w:spacing w:after="0" w:line="240" w:lineRule="auto"/>
              <w:jc w:val="center"/>
              <w:rPr>
                <w:color w:val="auto"/>
                <w:sz w:val="20"/>
                <w:szCs w:val="20"/>
              </w:rPr>
            </w:pPr>
            <w:r w:rsidRPr="0098471F">
              <w:rPr>
                <w:color w:val="auto"/>
                <w:sz w:val="20"/>
                <w:szCs w:val="20"/>
              </w:rPr>
              <w:t>OBSZAR</w:t>
            </w:r>
          </w:p>
        </w:tc>
        <w:tc>
          <w:tcPr>
            <w:tcW w:w="1560" w:type="dxa"/>
            <w:noWrap/>
            <w:vAlign w:val="center"/>
            <w:hideMark/>
          </w:tcPr>
          <w:p w14:paraId="0F28D726" w14:textId="77777777" w:rsidR="00D30576" w:rsidRPr="0098471F" w:rsidRDefault="00D30576"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98471F">
              <w:rPr>
                <w:color w:val="auto"/>
                <w:sz w:val="20"/>
                <w:szCs w:val="20"/>
              </w:rPr>
              <w:t>LICZBA</w:t>
            </w:r>
          </w:p>
        </w:tc>
        <w:tc>
          <w:tcPr>
            <w:tcW w:w="2200" w:type="dxa"/>
            <w:noWrap/>
            <w:vAlign w:val="center"/>
            <w:hideMark/>
          </w:tcPr>
          <w:p w14:paraId="2CD288F9" w14:textId="77777777" w:rsidR="00D30576" w:rsidRPr="0098471F" w:rsidRDefault="00D30576"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98471F">
              <w:rPr>
                <w:color w:val="auto"/>
                <w:sz w:val="20"/>
                <w:szCs w:val="20"/>
              </w:rPr>
              <w:t>DOFINANSOWANIE UE W MLN EUR</w:t>
            </w:r>
          </w:p>
        </w:tc>
      </w:tr>
      <w:tr w:rsidR="00D30576" w:rsidRPr="0098471F" w14:paraId="39B7E8CF" w14:textId="77777777" w:rsidTr="00F86D5F">
        <w:trPr>
          <w:cnfStyle w:val="000000100000" w:firstRow="0" w:lastRow="0" w:firstColumn="0" w:lastColumn="0" w:oddVBand="0" w:evenVBand="0" w:oddHBand="1" w:evenHBand="0" w:firstRowFirstColumn="0" w:firstRowLastColumn="0" w:lastRowFirstColumn="0" w:lastRowLastColumn="0"/>
          <w:trHeight w:val="449"/>
          <w:jc w:val="center"/>
        </w:trPr>
        <w:tc>
          <w:tcPr>
            <w:cnfStyle w:val="001000000000" w:firstRow="0" w:lastRow="0" w:firstColumn="1" w:lastColumn="0" w:oddVBand="0" w:evenVBand="0" w:oddHBand="0" w:evenHBand="0" w:firstRowFirstColumn="0" w:firstRowLastColumn="0" w:lastRowFirstColumn="0" w:lastRowLastColumn="0"/>
            <w:tcW w:w="1500" w:type="dxa"/>
            <w:vAlign w:val="center"/>
            <w:hideMark/>
          </w:tcPr>
          <w:p w14:paraId="057068BA" w14:textId="0EA61188" w:rsidR="00D30576" w:rsidRPr="00E76F39" w:rsidRDefault="00E76F39" w:rsidP="00F86D5F">
            <w:pPr>
              <w:spacing w:after="0" w:line="240" w:lineRule="auto"/>
              <w:jc w:val="center"/>
              <w:rPr>
                <w:b w:val="0"/>
                <w:bCs w:val="0"/>
                <w:sz w:val="20"/>
                <w:szCs w:val="20"/>
              </w:rPr>
            </w:pPr>
            <w:r w:rsidRPr="00E76F39">
              <w:rPr>
                <w:b w:val="0"/>
                <w:bCs w:val="0"/>
                <w:sz w:val="20"/>
                <w:szCs w:val="20"/>
              </w:rPr>
              <w:t>Miejski</w:t>
            </w:r>
          </w:p>
        </w:tc>
        <w:tc>
          <w:tcPr>
            <w:tcW w:w="1560" w:type="dxa"/>
            <w:noWrap/>
            <w:vAlign w:val="center"/>
            <w:hideMark/>
          </w:tcPr>
          <w:p w14:paraId="446E5487" w14:textId="57F382CF" w:rsidR="00D30576" w:rsidRPr="00E76F39" w:rsidRDefault="0098471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E76F39">
              <w:rPr>
                <w:sz w:val="20"/>
                <w:szCs w:val="20"/>
              </w:rPr>
              <w:t>167</w:t>
            </w:r>
          </w:p>
        </w:tc>
        <w:tc>
          <w:tcPr>
            <w:tcW w:w="2200" w:type="dxa"/>
            <w:noWrap/>
            <w:vAlign w:val="center"/>
            <w:hideMark/>
          </w:tcPr>
          <w:p w14:paraId="57AD9848" w14:textId="280E5B74" w:rsidR="00D30576" w:rsidRPr="00E76F39" w:rsidRDefault="0098471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iCs/>
                <w:sz w:val="20"/>
                <w:szCs w:val="20"/>
              </w:rPr>
            </w:pPr>
            <w:r w:rsidRPr="00E76F39">
              <w:rPr>
                <w:iCs/>
                <w:sz w:val="20"/>
                <w:szCs w:val="20"/>
              </w:rPr>
              <w:t>108,33</w:t>
            </w:r>
          </w:p>
        </w:tc>
      </w:tr>
      <w:tr w:rsidR="00D30576" w:rsidRPr="0098471F" w14:paraId="0DC25EFC" w14:textId="77777777" w:rsidTr="00F86D5F">
        <w:trPr>
          <w:trHeight w:val="300"/>
          <w:jc w:val="center"/>
        </w:trPr>
        <w:tc>
          <w:tcPr>
            <w:cnfStyle w:val="001000000000" w:firstRow="0" w:lastRow="0" w:firstColumn="1" w:lastColumn="0" w:oddVBand="0" w:evenVBand="0" w:oddHBand="0" w:evenHBand="0" w:firstRowFirstColumn="0" w:firstRowLastColumn="0" w:lastRowFirstColumn="0" w:lastRowLastColumn="0"/>
            <w:tcW w:w="1500" w:type="dxa"/>
            <w:vAlign w:val="center"/>
            <w:hideMark/>
          </w:tcPr>
          <w:p w14:paraId="5F6B2131" w14:textId="29B685CB" w:rsidR="00D30576" w:rsidRPr="00E76F39" w:rsidRDefault="00E76F39" w:rsidP="00F86D5F">
            <w:pPr>
              <w:spacing w:after="0" w:line="240" w:lineRule="auto"/>
              <w:jc w:val="center"/>
              <w:rPr>
                <w:b w:val="0"/>
                <w:bCs w:val="0"/>
                <w:sz w:val="20"/>
                <w:szCs w:val="20"/>
              </w:rPr>
            </w:pPr>
            <w:r w:rsidRPr="00E76F39">
              <w:rPr>
                <w:b w:val="0"/>
                <w:bCs w:val="0"/>
                <w:sz w:val="20"/>
                <w:szCs w:val="20"/>
              </w:rPr>
              <w:t>Wiejski</w:t>
            </w:r>
          </w:p>
        </w:tc>
        <w:tc>
          <w:tcPr>
            <w:tcW w:w="1560" w:type="dxa"/>
            <w:noWrap/>
            <w:vAlign w:val="center"/>
            <w:hideMark/>
          </w:tcPr>
          <w:p w14:paraId="2BE54665" w14:textId="514BDA68" w:rsidR="00D30576" w:rsidRPr="00E76F39" w:rsidRDefault="0098471F"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E76F39">
              <w:rPr>
                <w:sz w:val="20"/>
                <w:szCs w:val="20"/>
              </w:rPr>
              <w:t>56</w:t>
            </w:r>
          </w:p>
        </w:tc>
        <w:tc>
          <w:tcPr>
            <w:tcW w:w="2200" w:type="dxa"/>
            <w:noWrap/>
            <w:vAlign w:val="center"/>
            <w:hideMark/>
          </w:tcPr>
          <w:p w14:paraId="15CA5242" w14:textId="5EB886A7" w:rsidR="00D30576" w:rsidRPr="00E76F39" w:rsidRDefault="0098471F"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iCs/>
                <w:sz w:val="20"/>
                <w:szCs w:val="20"/>
              </w:rPr>
            </w:pPr>
            <w:r w:rsidRPr="00E76F39">
              <w:rPr>
                <w:iCs/>
                <w:sz w:val="20"/>
                <w:szCs w:val="20"/>
              </w:rPr>
              <w:t>21,57</w:t>
            </w:r>
          </w:p>
        </w:tc>
      </w:tr>
      <w:tr w:rsidR="00D30576" w:rsidRPr="0098471F" w14:paraId="7EFFC738" w14:textId="77777777" w:rsidTr="00F86D5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0" w:type="dxa"/>
            <w:vAlign w:val="center"/>
            <w:hideMark/>
          </w:tcPr>
          <w:p w14:paraId="74C29514" w14:textId="4B247422" w:rsidR="00D30576" w:rsidRPr="00E76F39" w:rsidRDefault="00E76F39" w:rsidP="00F86D5F">
            <w:pPr>
              <w:spacing w:after="0" w:line="240" w:lineRule="auto"/>
              <w:jc w:val="center"/>
              <w:rPr>
                <w:b w:val="0"/>
                <w:bCs w:val="0"/>
                <w:sz w:val="20"/>
                <w:szCs w:val="20"/>
              </w:rPr>
            </w:pPr>
            <w:r w:rsidRPr="00E76F39">
              <w:rPr>
                <w:b w:val="0"/>
                <w:bCs w:val="0"/>
                <w:sz w:val="20"/>
                <w:szCs w:val="20"/>
              </w:rPr>
              <w:t>Gór</w:t>
            </w:r>
            <w:r>
              <w:rPr>
                <w:b w:val="0"/>
                <w:bCs w:val="0"/>
                <w:sz w:val="20"/>
                <w:szCs w:val="20"/>
              </w:rPr>
              <w:t>s</w:t>
            </w:r>
            <w:r w:rsidRPr="00E76F39">
              <w:rPr>
                <w:b w:val="0"/>
                <w:bCs w:val="0"/>
                <w:sz w:val="20"/>
                <w:szCs w:val="20"/>
              </w:rPr>
              <w:t>ki</w:t>
            </w:r>
          </w:p>
        </w:tc>
        <w:tc>
          <w:tcPr>
            <w:tcW w:w="1560" w:type="dxa"/>
            <w:noWrap/>
            <w:vAlign w:val="center"/>
            <w:hideMark/>
          </w:tcPr>
          <w:p w14:paraId="67DE0E8F" w14:textId="77777777" w:rsidR="00D30576" w:rsidRPr="00E76F39" w:rsidRDefault="00D3057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E76F39">
              <w:rPr>
                <w:sz w:val="20"/>
                <w:szCs w:val="20"/>
              </w:rPr>
              <w:t>4</w:t>
            </w:r>
          </w:p>
        </w:tc>
        <w:tc>
          <w:tcPr>
            <w:tcW w:w="2200" w:type="dxa"/>
            <w:noWrap/>
            <w:vAlign w:val="center"/>
            <w:hideMark/>
          </w:tcPr>
          <w:p w14:paraId="4CE16C2D" w14:textId="2ED47627" w:rsidR="00D30576" w:rsidRPr="00E76F39" w:rsidRDefault="0098471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iCs/>
                <w:sz w:val="20"/>
                <w:szCs w:val="20"/>
              </w:rPr>
            </w:pPr>
            <w:r w:rsidRPr="00E76F39">
              <w:rPr>
                <w:iCs/>
                <w:sz w:val="20"/>
                <w:szCs w:val="20"/>
              </w:rPr>
              <w:t>0,90</w:t>
            </w:r>
          </w:p>
        </w:tc>
      </w:tr>
    </w:tbl>
    <w:p w14:paraId="358ABD7C" w14:textId="77777777" w:rsidR="00D30576" w:rsidRPr="00D30576" w:rsidRDefault="00D30576" w:rsidP="00D30576">
      <w:pPr>
        <w:autoSpaceDE w:val="0"/>
        <w:autoSpaceDN w:val="0"/>
        <w:adjustRightInd w:val="0"/>
        <w:spacing w:after="120"/>
        <w:jc w:val="both"/>
        <w:rPr>
          <w:rFonts w:eastAsia="Calibri"/>
          <w:szCs w:val="24"/>
        </w:rPr>
      </w:pPr>
    </w:p>
    <w:p w14:paraId="2694078E" w14:textId="64D33334" w:rsidR="00D30576" w:rsidRDefault="00D30576" w:rsidP="00D30576">
      <w:pPr>
        <w:spacing w:after="120"/>
        <w:jc w:val="both"/>
        <w:rPr>
          <w:szCs w:val="24"/>
          <w:lang w:eastAsia="ar-SA"/>
        </w:rPr>
      </w:pPr>
      <w:r w:rsidRPr="00D30576">
        <w:rPr>
          <w:szCs w:val="24"/>
          <w:lang w:eastAsia="ar-SA"/>
        </w:rPr>
        <w:t>W ramach przedmiotowego priorytetu</w:t>
      </w:r>
      <w:r w:rsidR="00A81EC0">
        <w:rPr>
          <w:szCs w:val="24"/>
          <w:lang w:eastAsia="ar-SA"/>
        </w:rPr>
        <w:t>,</w:t>
      </w:r>
      <w:r w:rsidR="002C60D0">
        <w:rPr>
          <w:szCs w:val="24"/>
          <w:lang w:eastAsia="ar-SA"/>
        </w:rPr>
        <w:t xml:space="preserve"> najwięcej beneficjentów </w:t>
      </w:r>
      <w:r w:rsidR="00F86D5F">
        <w:rPr>
          <w:szCs w:val="24"/>
          <w:lang w:eastAsia="ar-SA"/>
        </w:rPr>
        <w:t>z</w:t>
      </w:r>
      <w:r w:rsidR="002C60D0">
        <w:rPr>
          <w:szCs w:val="24"/>
          <w:lang w:eastAsia="ar-SA"/>
        </w:rPr>
        <w:t>realizowało swoje projekty na terenie</w:t>
      </w:r>
      <w:r w:rsidRPr="00D30576">
        <w:rPr>
          <w:szCs w:val="24"/>
          <w:lang w:eastAsia="ar-SA"/>
        </w:rPr>
        <w:t xml:space="preserve"> </w:t>
      </w:r>
      <w:r w:rsidR="002C60D0">
        <w:rPr>
          <w:szCs w:val="24"/>
          <w:lang w:eastAsia="ar-SA"/>
        </w:rPr>
        <w:t>Sosnowca (dofinansowanie</w:t>
      </w:r>
      <w:r w:rsidRPr="00D30576">
        <w:rPr>
          <w:szCs w:val="24"/>
          <w:lang w:eastAsia="ar-SA"/>
        </w:rPr>
        <w:t xml:space="preserve"> UE </w:t>
      </w:r>
      <w:r w:rsidR="002C60D0">
        <w:rPr>
          <w:szCs w:val="24"/>
          <w:lang w:eastAsia="ar-SA"/>
        </w:rPr>
        <w:t xml:space="preserve">- </w:t>
      </w:r>
      <w:r w:rsidR="00010D8F">
        <w:rPr>
          <w:szCs w:val="24"/>
          <w:lang w:eastAsia="ar-SA"/>
        </w:rPr>
        <w:t>8,96</w:t>
      </w:r>
      <w:r w:rsidRPr="00D30576">
        <w:rPr>
          <w:szCs w:val="24"/>
          <w:lang w:eastAsia="ar-SA"/>
        </w:rPr>
        <w:t xml:space="preserve"> mln EUR</w:t>
      </w:r>
      <w:r w:rsidR="002C60D0">
        <w:rPr>
          <w:szCs w:val="24"/>
          <w:lang w:eastAsia="ar-SA"/>
        </w:rPr>
        <w:t xml:space="preserve">) oraz na terenie </w:t>
      </w:r>
      <w:r w:rsidRPr="00D30576">
        <w:rPr>
          <w:szCs w:val="24"/>
          <w:lang w:eastAsia="ar-SA"/>
        </w:rPr>
        <w:t>Rybnik</w:t>
      </w:r>
      <w:r w:rsidR="002C60D0">
        <w:rPr>
          <w:szCs w:val="24"/>
          <w:lang w:eastAsia="ar-SA"/>
        </w:rPr>
        <w:t>a</w:t>
      </w:r>
      <w:r w:rsidRPr="00D30576">
        <w:rPr>
          <w:szCs w:val="24"/>
          <w:lang w:eastAsia="ar-SA"/>
        </w:rPr>
        <w:t xml:space="preserve"> </w:t>
      </w:r>
      <w:r w:rsidR="002C60D0">
        <w:rPr>
          <w:szCs w:val="24"/>
          <w:lang w:eastAsia="ar-SA"/>
        </w:rPr>
        <w:t>i</w:t>
      </w:r>
      <w:r w:rsidRPr="00D30576">
        <w:rPr>
          <w:szCs w:val="24"/>
          <w:lang w:eastAsia="ar-SA"/>
        </w:rPr>
        <w:t xml:space="preserve"> </w:t>
      </w:r>
      <w:bookmarkStart w:id="301" w:name="_Toc324786939"/>
      <w:bookmarkStart w:id="302" w:name="_Toc324854704"/>
      <w:bookmarkStart w:id="303" w:name="_Toc324854768"/>
      <w:bookmarkStart w:id="304" w:name="_Toc326055348"/>
      <w:r w:rsidR="002C60D0">
        <w:rPr>
          <w:szCs w:val="24"/>
          <w:lang w:eastAsia="ar-SA"/>
        </w:rPr>
        <w:t>Zabrza. Po </w:t>
      </w:r>
      <w:r w:rsidRPr="00D30576">
        <w:rPr>
          <w:szCs w:val="24"/>
          <w:lang w:eastAsia="ar-SA"/>
        </w:rPr>
        <w:t xml:space="preserve">przeciwnej stronie z umowami opiewającymi na kwotę nieprzekraczającą 0,5 mln EUR </w:t>
      </w:r>
      <w:r w:rsidR="002C60D0">
        <w:rPr>
          <w:szCs w:val="24"/>
          <w:lang w:eastAsia="ar-SA"/>
        </w:rPr>
        <w:t>był teren</w:t>
      </w:r>
      <w:r w:rsidRPr="00D30576">
        <w:rPr>
          <w:szCs w:val="24"/>
          <w:lang w:eastAsia="ar-SA"/>
        </w:rPr>
        <w:t xml:space="preserve"> powiat</w:t>
      </w:r>
      <w:r w:rsidR="002C60D0">
        <w:rPr>
          <w:szCs w:val="24"/>
          <w:lang w:eastAsia="ar-SA"/>
        </w:rPr>
        <w:t>u</w:t>
      </w:r>
      <w:r w:rsidRPr="00D30576">
        <w:rPr>
          <w:szCs w:val="24"/>
          <w:lang w:eastAsia="ar-SA"/>
        </w:rPr>
        <w:t xml:space="preserve"> rybnicki</w:t>
      </w:r>
      <w:r w:rsidR="002C60D0">
        <w:rPr>
          <w:szCs w:val="24"/>
          <w:lang w:eastAsia="ar-SA"/>
        </w:rPr>
        <w:t>ego</w:t>
      </w:r>
      <w:r w:rsidRPr="00D30576">
        <w:rPr>
          <w:szCs w:val="24"/>
          <w:lang w:eastAsia="ar-SA"/>
        </w:rPr>
        <w:t xml:space="preserve">. </w:t>
      </w:r>
      <w:bookmarkStart w:id="305" w:name="_Toc355688683"/>
    </w:p>
    <w:p w14:paraId="377EF682" w14:textId="67E28CFD" w:rsidR="00DD2AE5" w:rsidRPr="00A44293" w:rsidRDefault="00DD2AE5" w:rsidP="00A44293">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bookmarkEnd w:id="301"/>
    <w:bookmarkEnd w:id="302"/>
    <w:bookmarkEnd w:id="303"/>
    <w:bookmarkEnd w:id="304"/>
    <w:bookmarkEnd w:id="305"/>
    <w:p w14:paraId="17F28D55" w14:textId="3F7EA639" w:rsidR="00D30576" w:rsidRPr="00D30576" w:rsidRDefault="0098471F" w:rsidP="00D30576">
      <w:pPr>
        <w:spacing w:after="120"/>
        <w:jc w:val="both"/>
        <w:rPr>
          <w:szCs w:val="24"/>
        </w:rPr>
      </w:pPr>
      <w:r w:rsidRPr="0098471F">
        <w:rPr>
          <w:noProof/>
          <w:szCs w:val="24"/>
        </w:rPr>
        <w:lastRenderedPageBreak/>
        <w:drawing>
          <wp:inline distT="0" distB="0" distL="0" distR="0" wp14:anchorId="4D3F27CD" wp14:editId="4738C4CB">
            <wp:extent cx="5759090" cy="6680579"/>
            <wp:effectExtent l="0" t="0" r="0" b="6350"/>
            <wp:docPr id="13" name="Obraz 13" descr="W:\RRF\!Zespół ds monitoringu\Perspektywa 2007-2013\Sprawozdanie końcowe\Piotr\mapki\P2\P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RRF\!Zespół ds monitoringu\Perspektywa 2007-2013\Sprawozdanie końcowe\Piotr\mapki\P2\P2.jpe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4363" cy="6686695"/>
                    </a:xfrm>
                    <a:prstGeom prst="rect">
                      <a:avLst/>
                    </a:prstGeom>
                    <a:noFill/>
                    <a:ln>
                      <a:noFill/>
                    </a:ln>
                  </pic:spPr>
                </pic:pic>
              </a:graphicData>
            </a:graphic>
          </wp:inline>
        </w:drawing>
      </w:r>
    </w:p>
    <w:p w14:paraId="4F24B8F0" w14:textId="05B710D8" w:rsidR="00D30576" w:rsidRPr="00A44293" w:rsidRDefault="00B66319" w:rsidP="00B66319">
      <w:pPr>
        <w:pStyle w:val="Legenda"/>
        <w:rPr>
          <w:b w:val="0"/>
          <w:color w:val="auto"/>
        </w:rPr>
      </w:pPr>
      <w:bookmarkStart w:id="306" w:name="_Toc476832950"/>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32</w:t>
      </w:r>
      <w:r w:rsidR="00A44293" w:rsidRPr="00A44293">
        <w:rPr>
          <w:noProof/>
          <w:color w:val="auto"/>
        </w:rPr>
        <w:fldChar w:fldCharType="end"/>
      </w:r>
      <w:r w:rsidRPr="00A44293">
        <w:rPr>
          <w:b w:val="0"/>
          <w:color w:val="auto"/>
        </w:rPr>
        <w:t xml:space="preserve"> </w:t>
      </w:r>
      <w:r w:rsidR="00D30576" w:rsidRPr="00A44293">
        <w:rPr>
          <w:b w:val="0"/>
          <w:i/>
          <w:color w:val="auto"/>
        </w:rPr>
        <w:t xml:space="preserve">Rozkład projektów </w:t>
      </w:r>
      <w:r w:rsidR="00B15E47" w:rsidRPr="00A44293">
        <w:rPr>
          <w:b w:val="0"/>
          <w:i/>
          <w:color w:val="auto"/>
        </w:rPr>
        <w:t xml:space="preserve">w ramach priorytetu II </w:t>
      </w:r>
      <w:r w:rsidR="00D30576" w:rsidRPr="00A44293">
        <w:rPr>
          <w:b w:val="0"/>
          <w:i/>
          <w:color w:val="auto"/>
        </w:rPr>
        <w:t>w podziale na powiaty</w:t>
      </w:r>
      <w:bookmarkEnd w:id="306"/>
      <w:r w:rsidR="00D30576" w:rsidRPr="00A44293">
        <w:rPr>
          <w:b w:val="0"/>
          <w:color w:val="auto"/>
        </w:rPr>
        <w:t xml:space="preserve"> </w:t>
      </w:r>
    </w:p>
    <w:p w14:paraId="0E35CC8E" w14:textId="77777777" w:rsidR="00D30576" w:rsidRPr="00D30576" w:rsidRDefault="00D30576" w:rsidP="00D30576">
      <w:pPr>
        <w:spacing w:after="120"/>
        <w:contextualSpacing/>
        <w:jc w:val="both"/>
        <w:rPr>
          <w:b/>
          <w:szCs w:val="24"/>
          <w:lang w:eastAsia="ar-SA"/>
        </w:rPr>
      </w:pPr>
      <w:r w:rsidRPr="00D30576">
        <w:rPr>
          <w:b/>
          <w:szCs w:val="24"/>
          <w:lang w:eastAsia="ar-SA"/>
        </w:rPr>
        <w:t>Projekty w podziale na obszary wsparcia</w:t>
      </w:r>
    </w:p>
    <w:p w14:paraId="40F52BBE" w14:textId="274941C9" w:rsidR="00D30576" w:rsidRPr="00D30576" w:rsidRDefault="00D30576" w:rsidP="00D30576">
      <w:pPr>
        <w:spacing w:after="120"/>
        <w:jc w:val="both"/>
        <w:rPr>
          <w:szCs w:val="24"/>
        </w:rPr>
      </w:pPr>
      <w:r w:rsidRPr="00D30576">
        <w:rPr>
          <w:szCs w:val="24"/>
          <w:lang w:eastAsia="ar-SA"/>
        </w:rPr>
        <w:t xml:space="preserve">W priorytecie II wszystkie projekty realizowane są w ramach obszaru wsparcia społeczeństwo informacyjne. </w:t>
      </w:r>
      <w:r w:rsidRPr="00D30576">
        <w:rPr>
          <w:szCs w:val="24"/>
        </w:rPr>
        <w:t xml:space="preserve">Działania podejmowane w ramach priorytetu </w:t>
      </w:r>
      <w:r w:rsidR="00F86D5F">
        <w:rPr>
          <w:szCs w:val="24"/>
        </w:rPr>
        <w:t>były</w:t>
      </w:r>
      <w:r w:rsidRPr="00D30576">
        <w:rPr>
          <w:szCs w:val="24"/>
        </w:rPr>
        <w:t xml:space="preserve"> powiązane z działaniami realizowanymi w ramach </w:t>
      </w:r>
      <w:r w:rsidRPr="00D30576">
        <w:rPr>
          <w:i/>
          <w:szCs w:val="24"/>
        </w:rPr>
        <w:t>Programu Innowacyjna Gospodarka, Kapitał Ludzi, oraz Programu Rozwoju Obszarów Wiejskich</w:t>
      </w:r>
      <w:r w:rsidRPr="00D30576">
        <w:rPr>
          <w:szCs w:val="24"/>
        </w:rPr>
        <w:t xml:space="preserve"> (komplementarność międzyprogramowa).</w:t>
      </w:r>
    </w:p>
    <w:p w14:paraId="33AE2C55" w14:textId="77777777" w:rsidR="0071369D" w:rsidRPr="000B287D" w:rsidRDefault="0071369D" w:rsidP="0071369D">
      <w:pPr>
        <w:spacing w:after="120"/>
        <w:contextualSpacing/>
        <w:jc w:val="both"/>
        <w:rPr>
          <w:b/>
          <w:szCs w:val="24"/>
        </w:rPr>
      </w:pPr>
      <w:r w:rsidRPr="000B287D">
        <w:rPr>
          <w:b/>
          <w:szCs w:val="24"/>
        </w:rPr>
        <w:t>Projekty kluczowe</w:t>
      </w:r>
    </w:p>
    <w:p w14:paraId="3BE779D8" w14:textId="00DC66DC" w:rsidR="0071369D" w:rsidRPr="00274857" w:rsidRDefault="0071369D" w:rsidP="0071369D">
      <w:pPr>
        <w:spacing w:after="120"/>
        <w:jc w:val="both"/>
        <w:rPr>
          <w:szCs w:val="24"/>
        </w:rPr>
      </w:pPr>
      <w:r w:rsidRPr="00274857">
        <w:rPr>
          <w:szCs w:val="24"/>
        </w:rPr>
        <w:t xml:space="preserve">W ramach priorytetu nie </w:t>
      </w:r>
      <w:r w:rsidR="00A81EC0">
        <w:rPr>
          <w:szCs w:val="24"/>
        </w:rPr>
        <w:t>był</w:t>
      </w:r>
      <w:r w:rsidRPr="00274857">
        <w:rPr>
          <w:szCs w:val="24"/>
        </w:rPr>
        <w:t xml:space="preserve"> realizowany żaden projekt kluczowy</w:t>
      </w:r>
    </w:p>
    <w:p w14:paraId="6CC9DBCB" w14:textId="77777777" w:rsidR="001F484B" w:rsidRDefault="001F484B">
      <w:pPr>
        <w:spacing w:after="0" w:line="240" w:lineRule="auto"/>
        <w:rPr>
          <w:b/>
          <w:szCs w:val="24"/>
          <w:lang w:eastAsia="ar-SA"/>
        </w:rPr>
      </w:pPr>
      <w:r>
        <w:rPr>
          <w:b/>
          <w:szCs w:val="24"/>
          <w:lang w:eastAsia="ar-SA"/>
        </w:rPr>
        <w:br w:type="page"/>
      </w:r>
    </w:p>
    <w:p w14:paraId="3A3A1974" w14:textId="4450DA0C" w:rsidR="0071369D" w:rsidRPr="00D07049" w:rsidRDefault="0071369D" w:rsidP="0071369D">
      <w:pPr>
        <w:spacing w:after="120"/>
        <w:contextualSpacing/>
        <w:jc w:val="both"/>
        <w:rPr>
          <w:b/>
          <w:szCs w:val="24"/>
          <w:lang w:eastAsia="ar-SA"/>
        </w:rPr>
      </w:pPr>
      <w:r w:rsidRPr="00D07049">
        <w:rPr>
          <w:b/>
          <w:szCs w:val="24"/>
          <w:lang w:eastAsia="ar-SA"/>
        </w:rPr>
        <w:lastRenderedPageBreak/>
        <w:t>Harmonogram konkursów</w:t>
      </w:r>
    </w:p>
    <w:p w14:paraId="61EF43A4" w14:textId="77777777" w:rsidR="0071369D" w:rsidRDefault="0071369D" w:rsidP="0071369D">
      <w:pPr>
        <w:jc w:val="both"/>
        <w:rPr>
          <w:szCs w:val="24"/>
        </w:rPr>
      </w:pPr>
      <w:r w:rsidRPr="00274857">
        <w:rPr>
          <w:szCs w:val="24"/>
        </w:rPr>
        <w:t xml:space="preserve">Od uruchomienia Programu w ramach priorytetu ogłoszono 8 konkursów na kwotę 81,7 mln EUR. </w:t>
      </w:r>
    </w:p>
    <w:p w14:paraId="520E12DF" w14:textId="2ECA90AD" w:rsidR="006D3457" w:rsidRPr="006D3457" w:rsidRDefault="006D3457" w:rsidP="006D3457">
      <w:pPr>
        <w:jc w:val="both"/>
        <w:rPr>
          <w:b/>
          <w:szCs w:val="24"/>
        </w:rPr>
      </w:pPr>
      <w:r w:rsidRPr="006D3457">
        <w:rPr>
          <w:b/>
          <w:szCs w:val="24"/>
        </w:rPr>
        <w:t xml:space="preserve">Analiza </w:t>
      </w:r>
      <w:r w:rsidR="00DF7ADF">
        <w:rPr>
          <w:b/>
          <w:szCs w:val="24"/>
        </w:rPr>
        <w:t>postępu rzeczowego</w:t>
      </w:r>
    </w:p>
    <w:p w14:paraId="00F6DD77" w14:textId="03EBD911" w:rsidR="006D3457" w:rsidRPr="006D3457" w:rsidRDefault="006D3457" w:rsidP="006D3457">
      <w:pPr>
        <w:pStyle w:val="Nagwek2"/>
        <w:numPr>
          <w:ilvl w:val="0"/>
          <w:numId w:val="0"/>
        </w:numPr>
        <w:spacing w:before="0" w:beforeAutospacing="0" w:after="120" w:afterAutospacing="0" w:line="276" w:lineRule="auto"/>
        <w:ind w:hanging="9"/>
        <w:jc w:val="both"/>
        <w:rPr>
          <w:b w:val="0"/>
          <w:sz w:val="24"/>
          <w:szCs w:val="24"/>
        </w:rPr>
      </w:pPr>
      <w:bookmarkStart w:id="307" w:name="_Toc259704452"/>
      <w:bookmarkStart w:id="308" w:name="_Toc259704702"/>
      <w:bookmarkStart w:id="309" w:name="_Toc260298356"/>
      <w:bookmarkStart w:id="310" w:name="_Toc260298719"/>
      <w:bookmarkStart w:id="311" w:name="_Toc261941860"/>
      <w:bookmarkStart w:id="312" w:name="_Toc261942033"/>
      <w:bookmarkStart w:id="313" w:name="_Toc261943700"/>
      <w:bookmarkStart w:id="314" w:name="_Toc262031899"/>
      <w:bookmarkStart w:id="315" w:name="_Toc292789285"/>
      <w:bookmarkStart w:id="316" w:name="_Toc292793579"/>
      <w:bookmarkStart w:id="317" w:name="_Toc292888961"/>
      <w:bookmarkStart w:id="318" w:name="_Toc473117334"/>
      <w:bookmarkStart w:id="319" w:name="_Toc477779774"/>
      <w:r w:rsidRPr="006D3457">
        <w:rPr>
          <w:b w:val="0"/>
          <w:sz w:val="24"/>
          <w:szCs w:val="24"/>
        </w:rPr>
        <w:t xml:space="preserve">W załączniku IV do niniejszego </w:t>
      </w:r>
      <w:r w:rsidRPr="006D3457">
        <w:rPr>
          <w:b w:val="0"/>
          <w:i/>
          <w:sz w:val="24"/>
          <w:szCs w:val="24"/>
        </w:rPr>
        <w:t>Sprawozdania</w:t>
      </w:r>
      <w:r w:rsidRPr="006D3457">
        <w:rPr>
          <w:b w:val="0"/>
          <w:sz w:val="24"/>
          <w:szCs w:val="24"/>
        </w:rPr>
        <w:t xml:space="preserve"> zostały przedstawione programowe wskaźniki produktu i rezultatu dla priorytetu II, dla kolejnych lat w ujęciu kumulatywnym. Przedstawione informacje prezentowane są według stanu na koniec 2016 roku i zostały oparte na danych dotyczących operacji zakończonych. Określone zostały war</w:t>
      </w:r>
      <w:r w:rsidR="00F86D5F">
        <w:rPr>
          <w:b w:val="0"/>
          <w:sz w:val="24"/>
          <w:szCs w:val="24"/>
        </w:rPr>
        <w:t>tości docelowe dla 2010, 2013 i </w:t>
      </w:r>
      <w:r w:rsidRPr="006D3457">
        <w:rPr>
          <w:b w:val="0"/>
          <w:sz w:val="24"/>
          <w:szCs w:val="24"/>
        </w:rPr>
        <w:t>2015.</w:t>
      </w:r>
      <w:bookmarkEnd w:id="307"/>
      <w:bookmarkEnd w:id="308"/>
      <w:bookmarkEnd w:id="309"/>
      <w:bookmarkEnd w:id="310"/>
      <w:bookmarkEnd w:id="311"/>
      <w:bookmarkEnd w:id="312"/>
      <w:bookmarkEnd w:id="313"/>
      <w:bookmarkEnd w:id="314"/>
      <w:r w:rsidRPr="006D3457">
        <w:rPr>
          <w:b w:val="0"/>
          <w:sz w:val="24"/>
          <w:szCs w:val="24"/>
        </w:rPr>
        <w:t xml:space="preserve"> Przedstawiono także wskaźniki przedmiotowego prior</w:t>
      </w:r>
      <w:r w:rsidR="00F86D5F">
        <w:rPr>
          <w:b w:val="0"/>
          <w:sz w:val="24"/>
          <w:szCs w:val="24"/>
        </w:rPr>
        <w:t>ytetu w podziale na działania i </w:t>
      </w:r>
      <w:r w:rsidRPr="006D3457">
        <w:rPr>
          <w:b w:val="0"/>
          <w:sz w:val="24"/>
          <w:szCs w:val="24"/>
        </w:rPr>
        <w:t>poddziałania.</w:t>
      </w:r>
      <w:bookmarkEnd w:id="315"/>
      <w:bookmarkEnd w:id="316"/>
      <w:bookmarkEnd w:id="317"/>
      <w:bookmarkEnd w:id="318"/>
      <w:bookmarkEnd w:id="319"/>
    </w:p>
    <w:p w14:paraId="0932E2D9" w14:textId="4B986875" w:rsidR="00FB2805" w:rsidRPr="006D3457" w:rsidRDefault="006D3457" w:rsidP="00FB2805">
      <w:pPr>
        <w:autoSpaceDE w:val="0"/>
        <w:autoSpaceDN w:val="0"/>
        <w:adjustRightInd w:val="0"/>
        <w:spacing w:before="120" w:after="120"/>
        <w:jc w:val="both"/>
      </w:pPr>
      <w:r w:rsidRPr="006D3457">
        <w:t>W ramach przedmiotowego priorytetu większość wskaźników znacznie przekroczyło załażoną wartość docelową.</w:t>
      </w:r>
      <w:r w:rsidR="00FB2805">
        <w:t xml:space="preserve"> Jest to w przede wszystkim konsekwencja niższych niż zakładano na etapie programowania, kosztów jednostkowych poszczególnych projektów. To właśnie przez to możliwa była w ramach dostępnej alokacji realizacja tak dużej liczby projektów</w:t>
      </w:r>
      <w:r w:rsidR="009E6A89">
        <w:t>,</w:t>
      </w:r>
      <w:r w:rsidR="00FB2805">
        <w:t xml:space="preserve"> czego następstwem są wysokie wartości osiągniętych wskaźników tak produktu jak i rezultatu. </w:t>
      </w:r>
    </w:p>
    <w:p w14:paraId="7D8A2DD0" w14:textId="2C25FCF7" w:rsidR="006D3457" w:rsidRPr="006D3457" w:rsidRDefault="006D3457" w:rsidP="006D3457">
      <w:pPr>
        <w:autoSpaceDE w:val="0"/>
        <w:autoSpaceDN w:val="0"/>
        <w:adjustRightInd w:val="0"/>
        <w:spacing w:after="120"/>
        <w:jc w:val="both"/>
      </w:pPr>
      <w:r w:rsidRPr="006D3457">
        <w:t xml:space="preserve">Najbardziej problematycznymi w monitorowaniu wskaźnikami były wskaźniki rezultatu dot. liczby podłączeń do Internetu szerokopasmowego. Wskaźnik </w:t>
      </w:r>
      <w:r w:rsidRPr="006D3457">
        <w:rPr>
          <w:i/>
        </w:rPr>
        <w:t xml:space="preserve">Liczba podłączeń do Internetu szerokopasmowego, </w:t>
      </w:r>
      <w:r w:rsidRPr="006D3457">
        <w:t xml:space="preserve">który ze względu na niekorzystne zapisy prawne o braku możliwości podłączania użytkowników ostatecznych, nie był wybierany przez beneficjentów. Podczas renegocjacji Programu wskaźnik został zmieniony na: </w:t>
      </w:r>
      <w:r w:rsidRPr="006D3457">
        <w:rPr>
          <w:i/>
        </w:rPr>
        <w:t>Liczba osób, które uzyskały możliwość dostępu do Internetu</w:t>
      </w:r>
      <w:r w:rsidRPr="006D3457">
        <w:t>. Powyższa zmiana nie rozwiązała jednak problemów z monitorowaniem wskaźnika, i ostatecznie dane pozyskane zostały n</w:t>
      </w:r>
      <w:r w:rsidR="00B8015D">
        <w:t>a podstawie ankiet wysłanych do </w:t>
      </w:r>
      <w:r w:rsidRPr="006D3457">
        <w:t xml:space="preserve">beneficjentów, którzy mogli monitorować ww. wskaźnik. Analogiczna sytuacja miała miejsce w przypadku dwóch pozostałych wskaźników tj. </w:t>
      </w:r>
      <w:r w:rsidRPr="006D3457">
        <w:rPr>
          <w:i/>
        </w:rPr>
        <w:t>Liczba przedsiębiorstw, które uzyskały możliwość dostępu do Internetu</w:t>
      </w:r>
      <w:r w:rsidRPr="006D3457">
        <w:t xml:space="preserve"> oraz </w:t>
      </w:r>
      <w:r w:rsidRPr="006D3457">
        <w:rPr>
          <w:i/>
        </w:rPr>
        <w:t>Liczba instytucji, które uzyskały możliwość dostępu do Internetu</w:t>
      </w:r>
      <w:r w:rsidRPr="006D3457">
        <w:t xml:space="preserve">. Znaczne przekroczenie wartości docelowej w przypadku trzech ww. wskaźników wynika ze zmiany charakteru wskaźnika z faktycznych podłączeń do Internetu na potencjalne podłączenia. </w:t>
      </w:r>
    </w:p>
    <w:p w14:paraId="7C7779F7" w14:textId="5B86EBF7" w:rsidR="00FB2805" w:rsidRPr="006D3457" w:rsidRDefault="00FB2805" w:rsidP="00FB2805">
      <w:pPr>
        <w:autoSpaceDE w:val="0"/>
        <w:autoSpaceDN w:val="0"/>
        <w:adjustRightInd w:val="0"/>
        <w:spacing w:after="0"/>
        <w:jc w:val="both"/>
        <w:rPr>
          <w:szCs w:val="24"/>
        </w:rPr>
      </w:pPr>
      <w:r w:rsidRPr="006D3457">
        <w:rPr>
          <w:szCs w:val="24"/>
        </w:rPr>
        <w:t>Wskaźnik</w:t>
      </w:r>
      <w:r w:rsidRPr="006D3457">
        <w:rPr>
          <w:i/>
          <w:szCs w:val="24"/>
        </w:rPr>
        <w:t xml:space="preserve"> Liczba użytkowników korzystających z usług online uruchomionych dzięki wsparciu programu </w:t>
      </w:r>
      <w:r w:rsidRPr="006D3457">
        <w:rPr>
          <w:szCs w:val="24"/>
        </w:rPr>
        <w:t xml:space="preserve">osiągnął wysoki poziom głównie dzięki </w:t>
      </w:r>
      <w:r>
        <w:rPr>
          <w:szCs w:val="24"/>
        </w:rPr>
        <w:t>dwóm projektom</w:t>
      </w:r>
      <w:r w:rsidRPr="006D3457">
        <w:rPr>
          <w:szCs w:val="24"/>
        </w:rPr>
        <w:t xml:space="preserve">, </w:t>
      </w:r>
      <w:r>
        <w:rPr>
          <w:szCs w:val="24"/>
        </w:rPr>
        <w:t xml:space="preserve">Pierwszy </w:t>
      </w:r>
      <w:r w:rsidRPr="006D3457">
        <w:rPr>
          <w:szCs w:val="24"/>
        </w:rPr>
        <w:t>realizowany był na terenie całego województwa przez Komendę Wojewódzką Policji w Katowicach</w:t>
      </w:r>
      <w:r w:rsidR="009E6A89">
        <w:rPr>
          <w:szCs w:val="24"/>
        </w:rPr>
        <w:t>,</w:t>
      </w:r>
      <w:r>
        <w:rPr>
          <w:szCs w:val="24"/>
        </w:rPr>
        <w:t xml:space="preserve"> drugi zaś realizowany przez Uniwersytet Śląski</w:t>
      </w:r>
      <w:r w:rsidR="009E6A89">
        <w:rPr>
          <w:szCs w:val="24"/>
        </w:rPr>
        <w:t>,</w:t>
      </w:r>
      <w:r>
        <w:rPr>
          <w:szCs w:val="24"/>
        </w:rPr>
        <w:t xml:space="preserve"> który dotyczył Śląskiej Biblioteki Cyfrowej</w:t>
      </w:r>
      <w:r w:rsidRPr="006D3457">
        <w:rPr>
          <w:szCs w:val="24"/>
        </w:rPr>
        <w:t>.</w:t>
      </w:r>
    </w:p>
    <w:p w14:paraId="2D7405CD" w14:textId="77777777" w:rsidR="006D3457" w:rsidRPr="00E55833" w:rsidRDefault="006D3457" w:rsidP="006D3457">
      <w:pPr>
        <w:autoSpaceDE w:val="0"/>
        <w:autoSpaceDN w:val="0"/>
        <w:adjustRightInd w:val="0"/>
        <w:spacing w:after="0" w:line="240" w:lineRule="auto"/>
        <w:rPr>
          <w:sz w:val="23"/>
          <w:szCs w:val="23"/>
        </w:rPr>
      </w:pPr>
    </w:p>
    <w:p w14:paraId="570F4E68" w14:textId="7B66E98D" w:rsidR="006D3457" w:rsidRDefault="006D3457" w:rsidP="006D3457">
      <w:pPr>
        <w:spacing w:after="360"/>
        <w:jc w:val="both"/>
      </w:pPr>
      <w:r>
        <w:rPr>
          <w:szCs w:val="24"/>
        </w:rPr>
        <w:t>Jedynym wskaźnikiem, który nie osiągnął założonej wartości docelowej jest</w:t>
      </w:r>
      <w:r w:rsidRPr="0069713D">
        <w:rPr>
          <w:szCs w:val="24"/>
        </w:rPr>
        <w:t xml:space="preserve"> wskaźnik rezultatu </w:t>
      </w:r>
      <w:r>
        <w:rPr>
          <w:i/>
          <w:iCs/>
        </w:rPr>
        <w:t>Liczba bezpośrednio utworzonych nowych miejsc pracy (EPC)</w:t>
      </w:r>
      <w:r>
        <w:rPr>
          <w:szCs w:val="24"/>
        </w:rPr>
        <w:t xml:space="preserve">. </w:t>
      </w:r>
      <w:r w:rsidRPr="000A0241">
        <w:rPr>
          <w:szCs w:val="24"/>
        </w:rPr>
        <w:t>Niski poziom realizacji wynika przede wszystkim ze specyfiki wsparcia</w:t>
      </w:r>
      <w:r>
        <w:rPr>
          <w:szCs w:val="24"/>
        </w:rPr>
        <w:t xml:space="preserve"> w ramach priorytetu II</w:t>
      </w:r>
      <w:r w:rsidR="00B8015D">
        <w:rPr>
          <w:szCs w:val="24"/>
        </w:rPr>
        <w:t>, które było skierowane do </w:t>
      </w:r>
      <w:r w:rsidRPr="000A0241">
        <w:rPr>
          <w:szCs w:val="24"/>
        </w:rPr>
        <w:t xml:space="preserve">podmiotów i instytucji publicznych a jego zakres nie </w:t>
      </w:r>
      <w:r>
        <w:rPr>
          <w:szCs w:val="24"/>
        </w:rPr>
        <w:t xml:space="preserve">był </w:t>
      </w:r>
      <w:r w:rsidRPr="000A0241">
        <w:rPr>
          <w:szCs w:val="24"/>
        </w:rPr>
        <w:t>związany wprost z</w:t>
      </w:r>
      <w:r>
        <w:rPr>
          <w:szCs w:val="24"/>
        </w:rPr>
        <w:t> </w:t>
      </w:r>
      <w:r w:rsidRPr="000A0241">
        <w:rPr>
          <w:szCs w:val="24"/>
        </w:rPr>
        <w:t>powstawaniem nowych miejsc pracy.</w:t>
      </w:r>
      <w:r>
        <w:rPr>
          <w:szCs w:val="24"/>
        </w:rPr>
        <w:t xml:space="preserve"> P</w:t>
      </w:r>
      <w:r w:rsidRPr="000A0241">
        <w:rPr>
          <w:szCs w:val="24"/>
        </w:rPr>
        <w:t>owstające miejsca pracy dotyczy</w:t>
      </w:r>
      <w:r>
        <w:rPr>
          <w:szCs w:val="24"/>
        </w:rPr>
        <w:t>ły</w:t>
      </w:r>
      <w:r w:rsidRPr="000A0241">
        <w:rPr>
          <w:szCs w:val="24"/>
        </w:rPr>
        <w:t xml:space="preserve"> przede wszystkim informatyków lub osób odpowiedzialnych za zarządzanie powstałą infrastrukturą.</w:t>
      </w:r>
      <w:r>
        <w:rPr>
          <w:szCs w:val="24"/>
        </w:rPr>
        <w:t xml:space="preserve"> Ponadto</w:t>
      </w:r>
      <w:r w:rsidR="00A81EC0">
        <w:rPr>
          <w:szCs w:val="24"/>
        </w:rPr>
        <w:t>,</w:t>
      </w:r>
      <w:r>
        <w:rPr>
          <w:szCs w:val="24"/>
        </w:rPr>
        <w:t xml:space="preserve"> założeniem projektów informatycznych jest wykorzystywanie techniki, nowoczesnych informatycznych rozwiązań w celu sprawniejszego wykonywania zadań, co ogranicza tworzenie miejsc pracy.</w:t>
      </w:r>
      <w:r>
        <w:t xml:space="preserve"> Realizacja ww. wskaźnika w podziale na kobiety i mężczyzn w omawianym priorytecie </w:t>
      </w:r>
      <w:r>
        <w:lastRenderedPageBreak/>
        <w:t>wskazuje na większą liczbę utworzonych miejsc prac dla</w:t>
      </w:r>
      <w:r w:rsidR="00B8015D">
        <w:t xml:space="preserve"> kobiet. Równość szans kobiet i </w:t>
      </w:r>
      <w:r>
        <w:t xml:space="preserve">mężczyzn jest ważnym elementem szerszej kwestii równości szans, której przestrzeganie stanowi jedną z podstawowych zasad RPO WSL. Przy programowaniu zostały założone podwskaźniki: miejsca pracy w podziale na płeć na równym poziomie, beneficjenci składając wnioski o dofinansowanie nie deklarowali, kogo zatrudnią, gdyż zostałaby zaburzona zasada, każdy ma mieć równy dostęp do zatrudnienia. Analizując </w:t>
      </w:r>
      <w:r w:rsidR="00B8015D">
        <w:t>omawiany wskaźnik w podziale na </w:t>
      </w:r>
      <w:r>
        <w:t>priorytety można zaobserwować, że w jednych zatrud</w:t>
      </w:r>
      <w:r w:rsidR="00B8015D">
        <w:t>nionych zostało więcej kobiet w </w:t>
      </w:r>
      <w:r>
        <w:t>innych mężczyzn. IZ RPO WSL przyjęła odpowiedn</w:t>
      </w:r>
      <w:r w:rsidR="00B8015D">
        <w:t>ie kryteria wyboru projektów do </w:t>
      </w:r>
      <w:r>
        <w:t>dofinansowania dot. polityk horyzontalnych (określenie stopnia realizacji polityki równych szans, polityki ochrony środowiska, wpływ projektu na utworzenie nowych miejsc pracy). Projekt mający pozytywny wpływ na realizacje poszczególnych polityk horyzontalnych otrzymywał dodatkowe punkty w trakcie przeprowadzanej oceny</w:t>
      </w:r>
      <w:r w:rsidR="00B8015D">
        <w:t xml:space="preserve"> merytoryczno-technicznej, co w </w:t>
      </w:r>
      <w:r>
        <w:t>konsekwencji zwiększało jego szansę na otrzymanie dofinansowania.</w:t>
      </w:r>
    </w:p>
    <w:p w14:paraId="072E2F32" w14:textId="459560A6" w:rsidR="006D3457" w:rsidRDefault="006D3457" w:rsidP="006D3457">
      <w:pPr>
        <w:jc w:val="both"/>
      </w:pPr>
      <w:r>
        <w:t>Poniżej na wykresie zaprezentowano podział wskaźników ze względu na procent realizacji wartości docelowej.</w:t>
      </w:r>
    </w:p>
    <w:p w14:paraId="11D54398" w14:textId="77777777" w:rsidR="006D3457" w:rsidRDefault="006D3457" w:rsidP="006D3457">
      <w:pPr>
        <w:jc w:val="both"/>
      </w:pPr>
      <w:r>
        <w:rPr>
          <w:noProof/>
        </w:rPr>
        <w:drawing>
          <wp:inline distT="0" distB="0" distL="0" distR="0" wp14:anchorId="530BD48E" wp14:editId="35EAB587">
            <wp:extent cx="5766179" cy="2825086"/>
            <wp:effectExtent l="0" t="0" r="6350" b="0"/>
            <wp:docPr id="30" name="Wykres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541AB8F7" w14:textId="4CA60217" w:rsidR="006D3457" w:rsidRPr="00B71F85" w:rsidRDefault="00B66319" w:rsidP="00B66319">
      <w:pPr>
        <w:pStyle w:val="Legenda"/>
        <w:rPr>
          <w:color w:val="auto"/>
          <w:sz w:val="20"/>
          <w:szCs w:val="20"/>
        </w:rPr>
      </w:pPr>
      <w:bookmarkStart w:id="320" w:name="_Toc476832951"/>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33</w:t>
      </w:r>
      <w:r w:rsidR="00A44293" w:rsidRPr="00A44293">
        <w:rPr>
          <w:noProof/>
          <w:color w:val="auto"/>
        </w:rPr>
        <w:fldChar w:fldCharType="end"/>
      </w:r>
      <w:r w:rsidRPr="00A44293">
        <w:rPr>
          <w:color w:val="auto"/>
        </w:rPr>
        <w:t xml:space="preserve"> </w:t>
      </w:r>
      <w:r w:rsidR="00B15E47">
        <w:rPr>
          <w:b w:val="0"/>
          <w:i/>
          <w:color w:val="auto"/>
          <w:sz w:val="20"/>
          <w:szCs w:val="20"/>
        </w:rPr>
        <w:t>Osiągnięty poziom wartości docelowej wskaźników w ramach priorytetu II</w:t>
      </w:r>
      <w:bookmarkEnd w:id="320"/>
      <w:r w:rsidR="006D3457" w:rsidRPr="00B71F85">
        <w:rPr>
          <w:color w:val="auto"/>
          <w:sz w:val="20"/>
          <w:szCs w:val="20"/>
        </w:rPr>
        <w:t xml:space="preserve"> </w:t>
      </w:r>
    </w:p>
    <w:p w14:paraId="3AA9B7F3" w14:textId="3DC7C37F" w:rsidR="006D3457" w:rsidRDefault="006D3457" w:rsidP="006D3457">
      <w:pPr>
        <w:jc w:val="both"/>
      </w:pPr>
      <w:r>
        <w:rPr>
          <w:color w:val="000000"/>
        </w:rPr>
        <w:t xml:space="preserve">Odnosząc się do analizy SWOT zawartej w </w:t>
      </w:r>
      <w:r>
        <w:rPr>
          <w:i/>
          <w:color w:val="000000"/>
        </w:rPr>
        <w:t xml:space="preserve">Programie </w:t>
      </w:r>
      <w:r w:rsidR="00B71F85">
        <w:rPr>
          <w:color w:val="000000"/>
        </w:rPr>
        <w:t>w p</w:t>
      </w:r>
      <w:r>
        <w:rPr>
          <w:color w:val="000000"/>
        </w:rPr>
        <w:t>riorytecie II realizacja wskaźnika</w:t>
      </w:r>
      <w:r w:rsidRPr="00F47424">
        <w:rPr>
          <w:i/>
        </w:rPr>
        <w:t xml:space="preserve"> </w:t>
      </w:r>
      <w:r w:rsidRPr="0005200C">
        <w:rPr>
          <w:i/>
        </w:rPr>
        <w:t xml:space="preserve">Długość sieci Internetu </w:t>
      </w:r>
      <w:r>
        <w:rPr>
          <w:i/>
        </w:rPr>
        <w:t xml:space="preserve">szerokopasmowego </w:t>
      </w:r>
      <w:r w:rsidRPr="00F47424">
        <w:t>stanowi odpowiedź na</w:t>
      </w:r>
      <w:r>
        <w:t xml:space="preserve"> zdefiniowaną słabą stronę województwa</w:t>
      </w:r>
      <w:r w:rsidR="00A81EC0">
        <w:t>:</w:t>
      </w:r>
      <w:r w:rsidRPr="008F6F44">
        <w:t xml:space="preserve"> nierównomierna gęstość sieci teleinformatycznej</w:t>
      </w:r>
      <w:r>
        <w:t>.</w:t>
      </w:r>
      <w:r>
        <w:rPr>
          <w:i/>
        </w:rPr>
        <w:t xml:space="preserve"> </w:t>
      </w:r>
      <w:r>
        <w:t>Z przedstawionej szacowanej realizacji na koniec okresu sprawozdawczego wynika, iż</w:t>
      </w:r>
      <w:r w:rsidR="00B8015D">
        <w:t xml:space="preserve"> wskaźnik został zrealizowany w </w:t>
      </w:r>
      <w:r>
        <w:t>137%.</w:t>
      </w:r>
    </w:p>
    <w:p w14:paraId="3D8EE690" w14:textId="347BE9A5" w:rsidR="006D3457" w:rsidRDefault="006D3457" w:rsidP="006D3457">
      <w:pPr>
        <w:jc w:val="both"/>
      </w:pPr>
      <w:r>
        <w:t xml:space="preserve">Korelację pomiędzy wskaźnikami w ramach </w:t>
      </w:r>
      <w:r w:rsidR="009E3592">
        <w:t>priorytetu II</w:t>
      </w:r>
      <w:r>
        <w:t xml:space="preserve"> a Strategią UE 2020 przedstawia poniższa tabela</w:t>
      </w:r>
      <w:r w:rsidR="00705601">
        <w:t>.</w:t>
      </w:r>
    </w:p>
    <w:p w14:paraId="0956A8F5" w14:textId="77777777" w:rsidR="00832C38" w:rsidRDefault="00832C38">
      <w:pPr>
        <w:spacing w:after="0" w:line="240" w:lineRule="auto"/>
        <w:rPr>
          <w:b/>
          <w:bCs/>
          <w:sz w:val="18"/>
          <w:szCs w:val="18"/>
        </w:rPr>
      </w:pPr>
      <w:bookmarkStart w:id="321" w:name="_Toc476131800"/>
      <w:r>
        <w:br w:type="page"/>
      </w:r>
    </w:p>
    <w:p w14:paraId="19978156" w14:textId="13A70425" w:rsidR="009430EA" w:rsidRPr="004F1346" w:rsidRDefault="00B66319" w:rsidP="00B66319">
      <w:pPr>
        <w:pStyle w:val="Legenda"/>
      </w:pPr>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17</w:t>
      </w:r>
      <w:r w:rsidR="00A44293" w:rsidRPr="00A44293">
        <w:rPr>
          <w:noProof/>
          <w:color w:val="auto"/>
        </w:rPr>
        <w:fldChar w:fldCharType="end"/>
      </w:r>
      <w:r>
        <w:t xml:space="preserve"> </w:t>
      </w:r>
      <w:r w:rsidR="009430EA" w:rsidRPr="0086566F">
        <w:rPr>
          <w:b w:val="0"/>
          <w:i/>
          <w:color w:val="auto"/>
          <w:sz w:val="20"/>
          <w:szCs w:val="20"/>
        </w:rPr>
        <w:t xml:space="preserve">Korelacja pomiędzy </w:t>
      </w:r>
      <w:r w:rsidR="009E3592">
        <w:rPr>
          <w:b w:val="0"/>
          <w:i/>
          <w:color w:val="auto"/>
          <w:sz w:val="20"/>
          <w:szCs w:val="20"/>
        </w:rPr>
        <w:t>wskaźnikami w ramach priorytetu II</w:t>
      </w:r>
      <w:r w:rsidR="009430EA" w:rsidRPr="0086566F">
        <w:rPr>
          <w:b w:val="0"/>
          <w:i/>
          <w:color w:val="auto"/>
          <w:sz w:val="20"/>
          <w:szCs w:val="20"/>
        </w:rPr>
        <w:t xml:space="preserve"> a Strategią UE 2020 w zakresie wskaźników</w:t>
      </w:r>
      <w:bookmarkEnd w:id="321"/>
    </w:p>
    <w:tbl>
      <w:tblPr>
        <w:tblStyle w:val="Tabelalisty3akcent6"/>
        <w:tblW w:w="0" w:type="auto"/>
        <w:jc w:val="center"/>
        <w:tblLook w:val="04A0" w:firstRow="1" w:lastRow="0" w:firstColumn="1" w:lastColumn="0" w:noHBand="0" w:noVBand="1"/>
      </w:tblPr>
      <w:tblGrid>
        <w:gridCol w:w="2968"/>
        <w:gridCol w:w="6094"/>
      </w:tblGrid>
      <w:tr w:rsidR="00B71F85" w:rsidRPr="00B71F85" w14:paraId="2207147C" w14:textId="77777777" w:rsidTr="00F86D5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vAlign w:val="center"/>
          </w:tcPr>
          <w:p w14:paraId="2E2FF752" w14:textId="662BB537" w:rsidR="006D3457" w:rsidRPr="00B71F85" w:rsidRDefault="00440CAD" w:rsidP="00F86D5F">
            <w:pPr>
              <w:jc w:val="center"/>
              <w:rPr>
                <w:color w:val="auto"/>
                <w:sz w:val="20"/>
                <w:szCs w:val="20"/>
              </w:rPr>
            </w:pPr>
            <w:r w:rsidRPr="00B71F85">
              <w:rPr>
                <w:color w:val="auto"/>
                <w:sz w:val="20"/>
                <w:szCs w:val="20"/>
              </w:rPr>
              <w:t>INICJATYWA FLAGOWA</w:t>
            </w:r>
          </w:p>
        </w:tc>
        <w:tc>
          <w:tcPr>
            <w:tcW w:w="0" w:type="auto"/>
            <w:vAlign w:val="center"/>
          </w:tcPr>
          <w:p w14:paraId="012FCE39" w14:textId="1C067865" w:rsidR="006D3457" w:rsidRPr="00B71F85" w:rsidRDefault="00440CAD" w:rsidP="00F86D5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71F85">
              <w:rPr>
                <w:color w:val="auto"/>
                <w:sz w:val="20"/>
                <w:szCs w:val="20"/>
              </w:rPr>
              <w:t>WSKAŹNIK</w:t>
            </w:r>
          </w:p>
        </w:tc>
      </w:tr>
      <w:tr w:rsidR="00B71F85" w:rsidRPr="00B71F85" w14:paraId="6DBCD57A" w14:textId="77777777" w:rsidTr="00F86D5F">
        <w:trPr>
          <w:cnfStyle w:val="000000100000" w:firstRow="0" w:lastRow="0" w:firstColumn="0" w:lastColumn="0" w:oddVBand="0" w:evenVBand="0" w:oddHBand="1" w:evenHBand="0" w:firstRowFirstColumn="0" w:firstRowLastColumn="0" w:lastRowFirstColumn="0" w:lastRowLastColumn="0"/>
          <w:trHeight w:val="1044"/>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4A9A03C" w14:textId="77777777" w:rsidR="006D3457" w:rsidRPr="00F86D5F" w:rsidRDefault="006D3457" w:rsidP="00367271">
            <w:pPr>
              <w:rPr>
                <w:b w:val="0"/>
                <w:sz w:val="20"/>
                <w:szCs w:val="20"/>
              </w:rPr>
            </w:pPr>
            <w:r w:rsidRPr="00F86D5F">
              <w:rPr>
                <w:b w:val="0"/>
                <w:sz w:val="20"/>
                <w:szCs w:val="20"/>
              </w:rPr>
              <w:t>Polityka przemysłowa w erze globalizacji</w:t>
            </w:r>
          </w:p>
        </w:tc>
        <w:tc>
          <w:tcPr>
            <w:tcW w:w="0" w:type="auto"/>
            <w:vAlign w:val="center"/>
          </w:tcPr>
          <w:p w14:paraId="7A74CBD6" w14:textId="77777777" w:rsidR="006D3457" w:rsidRPr="00F86D5F" w:rsidRDefault="006D3457" w:rsidP="00F86D5F">
            <w:pPr>
              <w:cnfStyle w:val="000000100000" w:firstRow="0" w:lastRow="0" w:firstColumn="0" w:lastColumn="0" w:oddVBand="0" w:evenVBand="0" w:oddHBand="1" w:evenHBand="0" w:firstRowFirstColumn="0" w:firstRowLastColumn="0" w:lastRowFirstColumn="0" w:lastRowLastColumn="0"/>
              <w:rPr>
                <w:sz w:val="20"/>
                <w:szCs w:val="20"/>
              </w:rPr>
            </w:pPr>
            <w:r w:rsidRPr="00F86D5F">
              <w:rPr>
                <w:sz w:val="20"/>
                <w:szCs w:val="20"/>
              </w:rPr>
              <w:t>Liczba przedsiębiorstw, które uzyskały możliwość dostępu do Internetu</w:t>
            </w:r>
          </w:p>
        </w:tc>
      </w:tr>
      <w:tr w:rsidR="00B71F85" w:rsidRPr="00B71F85" w14:paraId="4C3F6969" w14:textId="77777777" w:rsidTr="00F86D5F">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6DE496D" w14:textId="77777777" w:rsidR="00440CAD" w:rsidRPr="00F86D5F" w:rsidRDefault="00440CAD" w:rsidP="00367271">
            <w:pPr>
              <w:rPr>
                <w:b w:val="0"/>
                <w:sz w:val="20"/>
                <w:szCs w:val="20"/>
              </w:rPr>
            </w:pPr>
          </w:p>
          <w:p w14:paraId="08B3A12F" w14:textId="77777777" w:rsidR="00440CAD" w:rsidRPr="00F86D5F" w:rsidRDefault="00440CAD" w:rsidP="00367271">
            <w:pPr>
              <w:rPr>
                <w:b w:val="0"/>
                <w:sz w:val="20"/>
                <w:szCs w:val="20"/>
              </w:rPr>
            </w:pPr>
          </w:p>
          <w:p w14:paraId="6E3B3F98" w14:textId="77777777" w:rsidR="00440CAD" w:rsidRPr="00F86D5F" w:rsidRDefault="00440CAD" w:rsidP="00367271">
            <w:pPr>
              <w:rPr>
                <w:b w:val="0"/>
                <w:sz w:val="20"/>
                <w:szCs w:val="20"/>
              </w:rPr>
            </w:pPr>
          </w:p>
          <w:p w14:paraId="72039AE8" w14:textId="77777777" w:rsidR="00440CAD" w:rsidRPr="00F86D5F" w:rsidRDefault="00440CAD" w:rsidP="00367271">
            <w:pPr>
              <w:rPr>
                <w:b w:val="0"/>
                <w:sz w:val="20"/>
                <w:szCs w:val="20"/>
              </w:rPr>
            </w:pPr>
          </w:p>
          <w:p w14:paraId="00568DCE" w14:textId="77777777" w:rsidR="006D3457" w:rsidRPr="00F86D5F" w:rsidRDefault="006D3457" w:rsidP="00367271">
            <w:pPr>
              <w:rPr>
                <w:b w:val="0"/>
                <w:sz w:val="20"/>
                <w:szCs w:val="20"/>
              </w:rPr>
            </w:pPr>
            <w:r w:rsidRPr="00F86D5F">
              <w:rPr>
                <w:b w:val="0"/>
                <w:sz w:val="20"/>
                <w:szCs w:val="20"/>
              </w:rPr>
              <w:t>Europejska Agenda Cyfrowa</w:t>
            </w:r>
          </w:p>
        </w:tc>
        <w:tc>
          <w:tcPr>
            <w:tcW w:w="0" w:type="auto"/>
            <w:vAlign w:val="center"/>
          </w:tcPr>
          <w:p w14:paraId="138ABB48" w14:textId="77777777" w:rsidR="006D3457" w:rsidRPr="00F86D5F" w:rsidRDefault="006D3457" w:rsidP="00F86D5F">
            <w:pPr>
              <w:cnfStyle w:val="000000000000" w:firstRow="0" w:lastRow="0" w:firstColumn="0" w:lastColumn="0" w:oddVBand="0" w:evenVBand="0" w:oddHBand="0" w:evenHBand="0" w:firstRowFirstColumn="0" w:firstRowLastColumn="0" w:lastRowFirstColumn="0" w:lastRowLastColumn="0"/>
              <w:rPr>
                <w:sz w:val="20"/>
                <w:szCs w:val="20"/>
              </w:rPr>
            </w:pPr>
            <w:r w:rsidRPr="00F86D5F">
              <w:rPr>
                <w:sz w:val="20"/>
                <w:szCs w:val="20"/>
              </w:rPr>
              <w:t>Liczba projektów dot. infrastruktury społeczeństwa informacyjnego</w:t>
            </w:r>
          </w:p>
        </w:tc>
      </w:tr>
      <w:tr w:rsidR="00B71F85" w:rsidRPr="00B71F85" w14:paraId="0D3BFA8D" w14:textId="77777777" w:rsidTr="00F86D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BBC874" w14:textId="77777777" w:rsidR="006D3457" w:rsidRPr="00F86D5F" w:rsidRDefault="006D3457" w:rsidP="00F86D5F">
            <w:pPr>
              <w:rPr>
                <w:b w:val="0"/>
                <w:sz w:val="20"/>
                <w:szCs w:val="20"/>
              </w:rPr>
            </w:pPr>
          </w:p>
        </w:tc>
        <w:tc>
          <w:tcPr>
            <w:tcW w:w="0" w:type="auto"/>
            <w:vAlign w:val="center"/>
          </w:tcPr>
          <w:p w14:paraId="3A05D7FE" w14:textId="77777777" w:rsidR="006D3457" w:rsidRPr="00F86D5F" w:rsidRDefault="006D3457" w:rsidP="00F86D5F">
            <w:pPr>
              <w:cnfStyle w:val="000000100000" w:firstRow="0" w:lastRow="0" w:firstColumn="0" w:lastColumn="0" w:oddVBand="0" w:evenVBand="0" w:oddHBand="1" w:evenHBand="0" w:firstRowFirstColumn="0" w:firstRowLastColumn="0" w:lastRowFirstColumn="0" w:lastRowLastColumn="0"/>
              <w:rPr>
                <w:sz w:val="20"/>
                <w:szCs w:val="20"/>
              </w:rPr>
            </w:pPr>
            <w:r w:rsidRPr="00F86D5F">
              <w:rPr>
                <w:sz w:val="20"/>
                <w:szCs w:val="20"/>
              </w:rPr>
              <w:t>Długość sieci Internetu szerokopasmowego</w:t>
            </w:r>
          </w:p>
        </w:tc>
      </w:tr>
      <w:tr w:rsidR="00B71F85" w:rsidRPr="00B71F85" w14:paraId="3E36D094" w14:textId="77777777" w:rsidTr="00F86D5F">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07AD71" w14:textId="77777777" w:rsidR="006D3457" w:rsidRPr="00F86D5F" w:rsidRDefault="006D3457" w:rsidP="00F86D5F">
            <w:pPr>
              <w:rPr>
                <w:b w:val="0"/>
                <w:sz w:val="20"/>
                <w:szCs w:val="20"/>
              </w:rPr>
            </w:pPr>
          </w:p>
        </w:tc>
        <w:tc>
          <w:tcPr>
            <w:tcW w:w="0" w:type="auto"/>
            <w:vAlign w:val="center"/>
          </w:tcPr>
          <w:p w14:paraId="2E95A710" w14:textId="77777777" w:rsidR="006D3457" w:rsidRPr="00F86D5F" w:rsidRDefault="006D3457" w:rsidP="00F86D5F">
            <w:pPr>
              <w:cnfStyle w:val="000000000000" w:firstRow="0" w:lastRow="0" w:firstColumn="0" w:lastColumn="0" w:oddVBand="0" w:evenVBand="0" w:oddHBand="0" w:evenHBand="0" w:firstRowFirstColumn="0" w:firstRowLastColumn="0" w:lastRowFirstColumn="0" w:lastRowLastColumn="0"/>
              <w:rPr>
                <w:sz w:val="20"/>
                <w:szCs w:val="20"/>
              </w:rPr>
            </w:pPr>
            <w:r w:rsidRPr="00F86D5F">
              <w:rPr>
                <w:sz w:val="20"/>
                <w:szCs w:val="20"/>
              </w:rPr>
              <w:t>Liczba przedsiębiorstw, które uzyskały możliwość dostępu do Internetu</w:t>
            </w:r>
          </w:p>
        </w:tc>
      </w:tr>
      <w:tr w:rsidR="00B71F85" w:rsidRPr="00B71F85" w14:paraId="347A424D" w14:textId="77777777" w:rsidTr="00F86D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7EC8758" w14:textId="77777777" w:rsidR="006D3457" w:rsidRPr="00F86D5F" w:rsidRDefault="006D3457" w:rsidP="00F86D5F">
            <w:pPr>
              <w:rPr>
                <w:b w:val="0"/>
                <w:sz w:val="20"/>
                <w:szCs w:val="20"/>
              </w:rPr>
            </w:pPr>
          </w:p>
        </w:tc>
        <w:tc>
          <w:tcPr>
            <w:tcW w:w="0" w:type="auto"/>
            <w:vAlign w:val="center"/>
          </w:tcPr>
          <w:p w14:paraId="2811230C" w14:textId="77777777" w:rsidR="006D3457" w:rsidRPr="00F86D5F" w:rsidRDefault="006D3457" w:rsidP="00F86D5F">
            <w:pPr>
              <w:cnfStyle w:val="000000100000" w:firstRow="0" w:lastRow="0" w:firstColumn="0" w:lastColumn="0" w:oddVBand="0" w:evenVBand="0" w:oddHBand="1" w:evenHBand="0" w:firstRowFirstColumn="0" w:firstRowLastColumn="0" w:lastRowFirstColumn="0" w:lastRowLastColumn="0"/>
              <w:rPr>
                <w:sz w:val="20"/>
                <w:szCs w:val="20"/>
              </w:rPr>
            </w:pPr>
            <w:r w:rsidRPr="00F86D5F">
              <w:rPr>
                <w:sz w:val="20"/>
                <w:szCs w:val="20"/>
              </w:rPr>
              <w:t>Liczba osób, które uzyskały możliwość dostępu do Internetu</w:t>
            </w:r>
          </w:p>
        </w:tc>
      </w:tr>
      <w:tr w:rsidR="00B71F85" w:rsidRPr="00B71F85" w14:paraId="0A656CCF" w14:textId="77777777" w:rsidTr="00F86D5F">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4E4DA0" w14:textId="77777777" w:rsidR="006D3457" w:rsidRPr="00F86D5F" w:rsidRDefault="006D3457" w:rsidP="00F86D5F">
            <w:pPr>
              <w:rPr>
                <w:b w:val="0"/>
                <w:sz w:val="20"/>
                <w:szCs w:val="20"/>
              </w:rPr>
            </w:pPr>
          </w:p>
        </w:tc>
        <w:tc>
          <w:tcPr>
            <w:tcW w:w="0" w:type="auto"/>
            <w:vAlign w:val="center"/>
          </w:tcPr>
          <w:p w14:paraId="4404E22B" w14:textId="77777777" w:rsidR="006D3457" w:rsidRPr="00F86D5F" w:rsidRDefault="006D3457" w:rsidP="00F86D5F">
            <w:pPr>
              <w:cnfStyle w:val="000000000000" w:firstRow="0" w:lastRow="0" w:firstColumn="0" w:lastColumn="0" w:oddVBand="0" w:evenVBand="0" w:oddHBand="0" w:evenHBand="0" w:firstRowFirstColumn="0" w:firstRowLastColumn="0" w:lastRowFirstColumn="0" w:lastRowLastColumn="0"/>
              <w:rPr>
                <w:sz w:val="20"/>
                <w:szCs w:val="20"/>
              </w:rPr>
            </w:pPr>
            <w:r w:rsidRPr="00F86D5F">
              <w:rPr>
                <w:sz w:val="20"/>
                <w:szCs w:val="20"/>
              </w:rPr>
              <w:t>Liczba PIAP objętych wsparciem w ramach Programu</w:t>
            </w:r>
          </w:p>
        </w:tc>
      </w:tr>
      <w:tr w:rsidR="00B71F85" w:rsidRPr="00B71F85" w14:paraId="2CE51ADA" w14:textId="77777777" w:rsidTr="00F86D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00BE4DD" w14:textId="77777777" w:rsidR="006D3457" w:rsidRPr="00F86D5F" w:rsidRDefault="006D3457" w:rsidP="00F86D5F">
            <w:pPr>
              <w:rPr>
                <w:b w:val="0"/>
                <w:sz w:val="20"/>
                <w:szCs w:val="20"/>
              </w:rPr>
            </w:pPr>
          </w:p>
        </w:tc>
        <w:tc>
          <w:tcPr>
            <w:tcW w:w="0" w:type="auto"/>
            <w:vAlign w:val="center"/>
          </w:tcPr>
          <w:p w14:paraId="1357DDCF" w14:textId="77777777" w:rsidR="006D3457" w:rsidRPr="00F86D5F" w:rsidRDefault="006D3457" w:rsidP="00F86D5F">
            <w:pPr>
              <w:cnfStyle w:val="000000100000" w:firstRow="0" w:lastRow="0" w:firstColumn="0" w:lastColumn="0" w:oddVBand="0" w:evenVBand="0" w:oddHBand="1" w:evenHBand="0" w:firstRowFirstColumn="0" w:firstRowLastColumn="0" w:lastRowFirstColumn="0" w:lastRowLastColumn="0"/>
              <w:rPr>
                <w:sz w:val="20"/>
                <w:szCs w:val="20"/>
              </w:rPr>
            </w:pPr>
            <w:r w:rsidRPr="00F86D5F">
              <w:rPr>
                <w:sz w:val="20"/>
                <w:szCs w:val="20"/>
              </w:rPr>
              <w:t>Liczba uruchomionych usług online dzięki wsparciu programu</w:t>
            </w:r>
          </w:p>
        </w:tc>
      </w:tr>
      <w:tr w:rsidR="00B71F85" w:rsidRPr="00B71F85" w14:paraId="71B5B02E" w14:textId="77777777" w:rsidTr="00F86D5F">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43F010" w14:textId="77777777" w:rsidR="006D3457" w:rsidRPr="00F86D5F" w:rsidRDefault="006D3457" w:rsidP="00F86D5F">
            <w:pPr>
              <w:rPr>
                <w:b w:val="0"/>
                <w:sz w:val="20"/>
                <w:szCs w:val="20"/>
              </w:rPr>
            </w:pPr>
          </w:p>
        </w:tc>
        <w:tc>
          <w:tcPr>
            <w:tcW w:w="0" w:type="auto"/>
            <w:vAlign w:val="center"/>
          </w:tcPr>
          <w:p w14:paraId="055D91F9" w14:textId="77777777" w:rsidR="006D3457" w:rsidRPr="00F86D5F" w:rsidRDefault="006D3457" w:rsidP="00F86D5F">
            <w:pPr>
              <w:cnfStyle w:val="000000000000" w:firstRow="0" w:lastRow="0" w:firstColumn="0" w:lastColumn="0" w:oddVBand="0" w:evenVBand="0" w:oddHBand="0" w:evenHBand="0" w:firstRowFirstColumn="0" w:firstRowLastColumn="0" w:lastRowFirstColumn="0" w:lastRowLastColumn="0"/>
              <w:rPr>
                <w:sz w:val="20"/>
                <w:szCs w:val="20"/>
              </w:rPr>
            </w:pPr>
            <w:r w:rsidRPr="00F86D5F">
              <w:rPr>
                <w:sz w:val="20"/>
                <w:szCs w:val="20"/>
              </w:rPr>
              <w:t>Liczba użytkowników korzystających z usług online uruchomionych dzięki wsparciu programu</w:t>
            </w:r>
          </w:p>
        </w:tc>
      </w:tr>
    </w:tbl>
    <w:p w14:paraId="6234D3CA" w14:textId="77777777" w:rsidR="006D3457" w:rsidRDefault="006D3457" w:rsidP="006D3457">
      <w:pPr>
        <w:jc w:val="both"/>
        <w:rPr>
          <w:i/>
        </w:rPr>
      </w:pPr>
    </w:p>
    <w:p w14:paraId="0D08B312" w14:textId="77777777" w:rsidR="00705601" w:rsidRDefault="006D3457" w:rsidP="00705601">
      <w:pPr>
        <w:spacing w:after="0"/>
        <w:jc w:val="both"/>
        <w:rPr>
          <w:szCs w:val="24"/>
        </w:rPr>
      </w:pPr>
      <w:r w:rsidRPr="009552C3">
        <w:rPr>
          <w:szCs w:val="24"/>
        </w:rPr>
        <w:t>W ramach priorytetu II</w:t>
      </w:r>
      <w:r w:rsidRPr="009552C3">
        <w:rPr>
          <w:i/>
          <w:szCs w:val="24"/>
        </w:rPr>
        <w:t xml:space="preserve"> </w:t>
      </w:r>
      <w:r w:rsidRPr="009552C3">
        <w:rPr>
          <w:szCs w:val="24"/>
        </w:rPr>
        <w:t xml:space="preserve">realizowane </w:t>
      </w:r>
      <w:r w:rsidR="00F86D5F">
        <w:rPr>
          <w:szCs w:val="24"/>
        </w:rPr>
        <w:t>były</w:t>
      </w:r>
      <w:r w:rsidRPr="009552C3">
        <w:rPr>
          <w:szCs w:val="24"/>
        </w:rPr>
        <w:t xml:space="preserve"> </w:t>
      </w:r>
      <w:r w:rsidR="00540919">
        <w:rPr>
          <w:szCs w:val="24"/>
        </w:rPr>
        <w:t>trzy</w:t>
      </w:r>
      <w:r w:rsidRPr="009552C3">
        <w:rPr>
          <w:szCs w:val="24"/>
        </w:rPr>
        <w:t xml:space="preserve"> wskaźniki Komisji Europejskiej</w:t>
      </w:r>
      <w:r w:rsidRPr="009552C3">
        <w:rPr>
          <w:i/>
          <w:szCs w:val="24"/>
        </w:rPr>
        <w:t xml:space="preserve"> </w:t>
      </w:r>
      <w:r w:rsidR="00705601">
        <w:rPr>
          <w:szCs w:val="24"/>
        </w:rPr>
        <w:t>tzw. core i</w:t>
      </w:r>
      <w:r w:rsidRPr="00B71F85">
        <w:rPr>
          <w:szCs w:val="24"/>
        </w:rPr>
        <w:t>ndicators</w:t>
      </w:r>
      <w:r w:rsidRPr="009552C3">
        <w:rPr>
          <w:i/>
          <w:szCs w:val="24"/>
        </w:rPr>
        <w:t>:</w:t>
      </w:r>
      <w:r w:rsidRPr="009552C3">
        <w:rPr>
          <w:szCs w:val="24"/>
        </w:rPr>
        <w:t xml:space="preserve"> </w:t>
      </w:r>
    </w:p>
    <w:p w14:paraId="6DBC6483" w14:textId="77777777" w:rsidR="00705601" w:rsidRPr="00705601" w:rsidRDefault="006D3457" w:rsidP="00705601">
      <w:pPr>
        <w:pStyle w:val="Akapitzlist"/>
        <w:numPr>
          <w:ilvl w:val="0"/>
          <w:numId w:val="97"/>
        </w:numPr>
        <w:spacing w:after="0"/>
        <w:jc w:val="both"/>
        <w:rPr>
          <w:szCs w:val="24"/>
        </w:rPr>
      </w:pPr>
      <w:r w:rsidRPr="00705601">
        <w:rPr>
          <w:i/>
          <w:szCs w:val="24"/>
        </w:rPr>
        <w:t>Liczba projektów z zakresu społeczeństwa informacyjnego</w:t>
      </w:r>
      <w:r w:rsidRPr="00705601">
        <w:rPr>
          <w:szCs w:val="24"/>
        </w:rPr>
        <w:t xml:space="preserve">, </w:t>
      </w:r>
    </w:p>
    <w:p w14:paraId="24B38C39" w14:textId="77777777" w:rsidR="00705601" w:rsidRPr="00705601" w:rsidRDefault="006D3457" w:rsidP="00705601">
      <w:pPr>
        <w:pStyle w:val="Akapitzlist"/>
        <w:numPr>
          <w:ilvl w:val="0"/>
          <w:numId w:val="97"/>
        </w:numPr>
        <w:spacing w:after="0"/>
        <w:jc w:val="both"/>
        <w:rPr>
          <w:szCs w:val="24"/>
        </w:rPr>
      </w:pPr>
      <w:r w:rsidRPr="00705601">
        <w:rPr>
          <w:i/>
          <w:szCs w:val="24"/>
        </w:rPr>
        <w:t>Liczba osób, które uzyskała szerokopasmowy dostęp do Internetu</w:t>
      </w:r>
      <w:r w:rsidRPr="00705601">
        <w:rPr>
          <w:szCs w:val="24"/>
        </w:rPr>
        <w:t xml:space="preserve">, </w:t>
      </w:r>
    </w:p>
    <w:p w14:paraId="328F1396" w14:textId="63FB9211" w:rsidR="006D3457" w:rsidRDefault="006D3457" w:rsidP="00705601">
      <w:pPr>
        <w:pStyle w:val="Akapitzlist"/>
        <w:numPr>
          <w:ilvl w:val="0"/>
          <w:numId w:val="97"/>
        </w:numPr>
        <w:spacing w:after="0"/>
        <w:jc w:val="both"/>
        <w:rPr>
          <w:i/>
          <w:szCs w:val="24"/>
        </w:rPr>
      </w:pPr>
      <w:r w:rsidRPr="00705601">
        <w:rPr>
          <w:i/>
          <w:szCs w:val="24"/>
        </w:rPr>
        <w:t>Liczba bezpośrednio utworzonych nowych miejsc pracy (EPC)</w:t>
      </w:r>
      <w:r w:rsidR="00705601">
        <w:rPr>
          <w:i/>
          <w:szCs w:val="24"/>
        </w:rPr>
        <w:t xml:space="preserve"> w tym: kobiet i </w:t>
      </w:r>
      <w:r w:rsidRPr="00705601">
        <w:rPr>
          <w:i/>
          <w:szCs w:val="24"/>
        </w:rPr>
        <w:t>mężczyźni.</w:t>
      </w:r>
    </w:p>
    <w:p w14:paraId="66E05C7C" w14:textId="77777777" w:rsidR="00705601" w:rsidRPr="00705601" w:rsidRDefault="00705601" w:rsidP="00705601">
      <w:pPr>
        <w:pStyle w:val="Akapitzlist"/>
        <w:spacing w:after="0"/>
        <w:jc w:val="both"/>
        <w:rPr>
          <w:i/>
          <w:szCs w:val="24"/>
        </w:rPr>
      </w:pPr>
    </w:p>
    <w:p w14:paraId="67D3486F" w14:textId="7EC3D846" w:rsidR="00274857" w:rsidRPr="0094320D" w:rsidRDefault="0071369D" w:rsidP="0094320D">
      <w:pPr>
        <w:spacing w:after="120"/>
        <w:jc w:val="both"/>
        <w:rPr>
          <w:b/>
          <w:bCs/>
          <w:szCs w:val="24"/>
        </w:rPr>
      </w:pPr>
      <w:r w:rsidRPr="0094320D">
        <w:rPr>
          <w:b/>
          <w:bCs/>
          <w:szCs w:val="24"/>
        </w:rPr>
        <w:t>Realizacja ewentualnych zaleceń i rekomendacji</w:t>
      </w:r>
      <w:r>
        <w:rPr>
          <w:b/>
          <w:bCs/>
          <w:szCs w:val="24"/>
        </w:rPr>
        <w:t xml:space="preserve"> KE</w:t>
      </w:r>
      <w:r w:rsidRPr="0094320D">
        <w:rPr>
          <w:b/>
          <w:bCs/>
          <w:szCs w:val="24"/>
        </w:rPr>
        <w:t xml:space="preserve"> </w:t>
      </w:r>
    </w:p>
    <w:p w14:paraId="3E97F82A" w14:textId="77777777" w:rsidR="00DB4A38" w:rsidRDefault="00DB4A38" w:rsidP="00DB4A38">
      <w:pPr>
        <w:spacing w:before="120" w:after="120"/>
        <w:jc w:val="both"/>
        <w:rPr>
          <w:lang w:eastAsia="ar-SA"/>
        </w:rPr>
      </w:pPr>
      <w:r w:rsidRPr="00BA2CDA">
        <w:rPr>
          <w:lang w:eastAsia="ar-SA"/>
        </w:rPr>
        <w:t xml:space="preserve">IZ RPO WSL </w:t>
      </w:r>
      <w:r>
        <w:rPr>
          <w:lang w:eastAsia="ar-SA"/>
        </w:rPr>
        <w:t>otrzymywała zalecenia/rekomendacje ze strony KE w ramach przedmiotowego priorytetu w zakresie doprecyzowania lub uzupełnienia</w:t>
      </w:r>
      <w:r w:rsidRPr="003A7E82">
        <w:rPr>
          <w:lang w:eastAsia="ar-SA"/>
        </w:rPr>
        <w:t xml:space="preserve"> </w:t>
      </w:r>
      <w:r>
        <w:rPr>
          <w:lang w:eastAsia="ar-SA"/>
        </w:rPr>
        <w:t>w kolejnych sprawozdaniach</w:t>
      </w:r>
      <w:r w:rsidRPr="009C6E3A">
        <w:rPr>
          <w:lang w:eastAsia="ar-SA"/>
        </w:rPr>
        <w:t xml:space="preserve"> </w:t>
      </w:r>
      <w:r>
        <w:rPr>
          <w:lang w:eastAsia="ar-SA"/>
        </w:rPr>
        <w:t>przedstawianych informacji dot. wdrażania priorytetu.</w:t>
      </w:r>
    </w:p>
    <w:p w14:paraId="5BBECED1" w14:textId="77777777" w:rsidR="006601B6" w:rsidRDefault="006601B6" w:rsidP="006601B6">
      <w:pPr>
        <w:spacing w:before="120" w:after="120"/>
        <w:jc w:val="both"/>
        <w:rPr>
          <w:b/>
          <w:lang w:eastAsia="ar-SA"/>
        </w:rPr>
      </w:pPr>
      <w:r w:rsidRPr="00194369">
        <w:rPr>
          <w:b/>
          <w:lang w:eastAsia="ar-SA"/>
        </w:rPr>
        <w:t>Opis wkładu priorytetu w redukcję ubóstwa</w:t>
      </w:r>
    </w:p>
    <w:p w14:paraId="25FC5111" w14:textId="1D56144D" w:rsidR="006601B6" w:rsidRPr="006601B6" w:rsidRDefault="006601B6" w:rsidP="006601B6">
      <w:pPr>
        <w:autoSpaceDE w:val="0"/>
        <w:autoSpaceDN w:val="0"/>
        <w:adjustRightInd w:val="0"/>
        <w:spacing w:before="120" w:after="120"/>
        <w:jc w:val="both"/>
        <w:rPr>
          <w:rFonts w:eastAsia="Calibri"/>
          <w:szCs w:val="24"/>
        </w:rPr>
      </w:pPr>
      <w:r>
        <w:rPr>
          <w:rFonts w:eastAsia="Calibri"/>
          <w:szCs w:val="24"/>
        </w:rPr>
        <w:t>Oś priorytetowa II nie realizowała projekty wpływające na redukcję ubóstwa.</w:t>
      </w:r>
    </w:p>
    <w:p w14:paraId="467F69B7" w14:textId="6ACA7E8A" w:rsidR="00274857" w:rsidRPr="0094320D" w:rsidRDefault="0071369D" w:rsidP="001A6330">
      <w:pPr>
        <w:spacing w:before="120" w:after="120"/>
        <w:contextualSpacing/>
        <w:jc w:val="both"/>
        <w:rPr>
          <w:b/>
          <w:bCs/>
          <w:szCs w:val="24"/>
        </w:rPr>
      </w:pPr>
      <w:r w:rsidRPr="0094320D">
        <w:rPr>
          <w:b/>
          <w:bCs/>
          <w:szCs w:val="24"/>
        </w:rPr>
        <w:t>Podsumowanie</w:t>
      </w:r>
    </w:p>
    <w:p w14:paraId="2F56E1E7" w14:textId="1658820F" w:rsidR="0071369D" w:rsidRPr="00274857" w:rsidRDefault="0071369D" w:rsidP="0071369D">
      <w:pPr>
        <w:jc w:val="both"/>
      </w:pPr>
      <w:r w:rsidRPr="00274857">
        <w:t xml:space="preserve">Obecne tendencje gospodarki światowej wskazują, że powszechny dostęp do informacji i wiedzy jest podstawą rozwoju społeczeństwa informacyjnego, a co za tym idzie głównym czynnikiem konkurencyjności. Strategia EU 2020 przypisuje kluczowe znaczenie technikom informacyjnym i komunikacyjnym (ICT), jako motorowi wzrostu gospodarczego, konkurencyjności gospodarki i zatrudnienia. Chcąc włączyć się w realizację celów rozwoju wyznaczonych przez Unię Europejską, a także mając na uwadze sprostanie konkurencji w gospodarce opartej na wiedzy w województwie śląskim wdrażana </w:t>
      </w:r>
      <w:r>
        <w:t>była</w:t>
      </w:r>
      <w:r w:rsidRPr="00274857">
        <w:t xml:space="preserve"> </w:t>
      </w:r>
      <w:r w:rsidRPr="00274857">
        <w:rPr>
          <w:i/>
        </w:rPr>
        <w:t>Strategia Rozwoju Społeczeństwa Informacyjnego Województwa Śląskiego do roku 2015</w:t>
      </w:r>
      <w:r w:rsidRPr="00274857">
        <w:t xml:space="preserve">. Celem Strategii </w:t>
      </w:r>
      <w:r w:rsidR="005D0584">
        <w:t xml:space="preserve">było </w:t>
      </w:r>
      <w:r w:rsidRPr="00274857">
        <w:t xml:space="preserve">jeszcze silniejsze wpisanie regionu w światowe trendy związane z rozwojem komunikacji </w:t>
      </w:r>
      <w:r w:rsidRPr="00274857">
        <w:lastRenderedPageBreak/>
        <w:t xml:space="preserve">elektronicznej, a wraz z nią m.in. e-usług, e-lerningu, e-administracji, e-zdrowia, ze stałym zwiększaniem dostępu do Internetu. </w:t>
      </w:r>
    </w:p>
    <w:p w14:paraId="3325276C" w14:textId="74646B28" w:rsidR="0071369D" w:rsidRPr="00274857" w:rsidRDefault="0071369D" w:rsidP="0071369D">
      <w:pPr>
        <w:jc w:val="both"/>
        <w:rPr>
          <w:szCs w:val="24"/>
        </w:rPr>
      </w:pPr>
      <w:r w:rsidRPr="00274857">
        <w:t>Szczególną rolę w</w:t>
      </w:r>
      <w:r w:rsidR="005D0584">
        <w:t xml:space="preserve"> realizacji ww. Strategii pełnią</w:t>
      </w:r>
      <w:r w:rsidRPr="00274857">
        <w:t xml:space="preserve"> projekty realizowane w ramach RPO WSL.</w:t>
      </w:r>
      <w:r w:rsidRPr="00274857">
        <w:rPr>
          <w:szCs w:val="24"/>
        </w:rPr>
        <w:t xml:space="preserve"> Zagadnienia rozwoju społeczeństwa informacyjnego ujęte są przede wszystkim w przedmiotowym priorytecie, którego celem głównym jest </w:t>
      </w:r>
      <w:r w:rsidRPr="00274857">
        <w:rPr>
          <w:i/>
          <w:szCs w:val="24"/>
        </w:rPr>
        <w:t>stworzenie warunków do rozwoju społeczeństwa informacyjnego w regionie poprzez</w:t>
      </w:r>
      <w:r w:rsidRPr="00274857">
        <w:rPr>
          <w:szCs w:val="24"/>
        </w:rPr>
        <w:t xml:space="preserve">: </w:t>
      </w:r>
      <w:r w:rsidRPr="00274857">
        <w:rPr>
          <w:i/>
          <w:szCs w:val="24"/>
        </w:rPr>
        <w:t>zapewnienie powszechnego, szerokopasmowego i bezpiecznego dostępu do Internetu oraz wzrostu liczby usług publicznych świadczonych drogą elektroniczną</w:t>
      </w:r>
      <w:r w:rsidRPr="00274857">
        <w:rPr>
          <w:szCs w:val="24"/>
        </w:rPr>
        <w:t xml:space="preserve">. Zagadnienia rozwoju społeczeństwa informacyjnego potraktowano w </w:t>
      </w:r>
      <w:r w:rsidRPr="00274857">
        <w:rPr>
          <w:i/>
          <w:szCs w:val="24"/>
        </w:rPr>
        <w:t>Programie</w:t>
      </w:r>
      <w:r w:rsidRPr="00274857">
        <w:rPr>
          <w:szCs w:val="24"/>
        </w:rPr>
        <w:t xml:space="preserve"> także horyzontalnie, zawarte są w pozostałych priorytetach poprzez realizację treści w nich zawartych przy wykorzystaniu narzędzi ICT, tj.: bazy danych, platformy informacyjne, systemy monitoringu. </w:t>
      </w:r>
    </w:p>
    <w:p w14:paraId="33661F2B" w14:textId="628C2268" w:rsidR="0071369D" w:rsidRDefault="0071369D" w:rsidP="0071369D">
      <w:pPr>
        <w:jc w:val="both"/>
        <w:rPr>
          <w:szCs w:val="24"/>
        </w:rPr>
      </w:pPr>
      <w:r w:rsidRPr="00274857">
        <w:rPr>
          <w:rFonts w:eastAsia="Century Schoolbook"/>
          <w:szCs w:val="24"/>
        </w:rPr>
        <w:t>Województwo śląskie jest jednym z dwóch liderów w zakresie rozwoju społeczeństwa informacyjnego w kraju. Jednym z wyznaczników komputeryzacji regionu jest duży odsetek przedsiębiorstw korzystających z komputerów (95,7%). Przedsiębiorcy prowadzący działalność na terenie województwa zajmują wysokie pozycje pod względem posiadania własnych stron internetowych, jak również częstotliwości korzystania z Internetu w kontaktach z administracją publiczną. Region jest również liderem pod względem udostępniania usług drogą elektroniczną w urzędach, a także wyróżnia się pod względem liczby urzędów zajmujących się organizacją oraz wsparciem kursów i szkoleń informacyjnych dla obywateli</w:t>
      </w:r>
      <w:r w:rsidRPr="00274857">
        <w:rPr>
          <w:szCs w:val="24"/>
          <w:vertAlign w:val="superscript"/>
        </w:rPr>
        <w:footnoteReference w:id="8"/>
      </w:r>
      <w:r w:rsidRPr="00274857">
        <w:rPr>
          <w:rFonts w:eastAsia="Century Schoolbook"/>
          <w:szCs w:val="24"/>
        </w:rPr>
        <w:t>.</w:t>
      </w:r>
      <w:r w:rsidRPr="00274857">
        <w:rPr>
          <w:szCs w:val="24"/>
        </w:rPr>
        <w:t xml:space="preserve"> </w:t>
      </w:r>
    </w:p>
    <w:p w14:paraId="6FC692A7" w14:textId="7BBDF8EA" w:rsidR="0071369D" w:rsidRPr="00F93BD6" w:rsidRDefault="0071369D" w:rsidP="0071369D">
      <w:pPr>
        <w:spacing w:before="120" w:after="0" w:line="288" w:lineRule="auto"/>
        <w:jc w:val="both"/>
        <w:rPr>
          <w:szCs w:val="24"/>
        </w:rPr>
      </w:pPr>
      <w:r>
        <w:rPr>
          <w:szCs w:val="24"/>
        </w:rPr>
        <w:t xml:space="preserve">Według badania ewaluacyjnego ex –post </w:t>
      </w:r>
      <w:r w:rsidRPr="00607C45">
        <w:rPr>
          <w:szCs w:val="24"/>
        </w:rPr>
        <w:t>p</w:t>
      </w:r>
      <w:r w:rsidRPr="00F93BD6">
        <w:rPr>
          <w:szCs w:val="24"/>
        </w:rPr>
        <w:t>oziom o</w:t>
      </w:r>
      <w:r w:rsidRPr="00607C45">
        <w:rPr>
          <w:szCs w:val="24"/>
        </w:rPr>
        <w:t>sią</w:t>
      </w:r>
      <w:r w:rsidR="005D0584">
        <w:rPr>
          <w:szCs w:val="24"/>
        </w:rPr>
        <w:t xml:space="preserve">gnięcia założonych celów </w:t>
      </w:r>
      <w:r w:rsidRPr="00607C45">
        <w:rPr>
          <w:szCs w:val="24"/>
        </w:rPr>
        <w:t>p</w:t>
      </w:r>
      <w:r w:rsidRPr="00F93BD6">
        <w:rPr>
          <w:szCs w:val="24"/>
        </w:rPr>
        <w:t>riorytetu</w:t>
      </w:r>
      <w:r w:rsidR="005D0584">
        <w:rPr>
          <w:szCs w:val="24"/>
        </w:rPr>
        <w:t xml:space="preserve"> II</w:t>
      </w:r>
      <w:r w:rsidRPr="00F93BD6">
        <w:rPr>
          <w:szCs w:val="24"/>
        </w:rPr>
        <w:t xml:space="preserve"> należy uznać za umiarkowanie zadowalający. Pomimo wybudowania sieci szerokopasmowej, nie zapewniono w wystarczającym stopniu bezpośredniego dostępu do Internetu mieszkańcom regionu, a utworzone e-usługi nie spowodowały zakładanego - na etapie planowania poszczególnych inwestycji - zainteresowania ze strony potencjalnych użytkowników.</w:t>
      </w:r>
    </w:p>
    <w:p w14:paraId="2FF50F4C" w14:textId="1E9490B5" w:rsidR="0071369D" w:rsidRPr="00F93BD6" w:rsidRDefault="0071369D" w:rsidP="0071369D">
      <w:pPr>
        <w:spacing w:before="120" w:after="0" w:line="288" w:lineRule="auto"/>
        <w:jc w:val="both"/>
        <w:rPr>
          <w:szCs w:val="24"/>
        </w:rPr>
      </w:pPr>
      <w:r w:rsidRPr="00F93BD6">
        <w:rPr>
          <w:szCs w:val="24"/>
        </w:rPr>
        <w:t>W dalszym ciągu istnieją potrzeby w zakresie rozwoju</w:t>
      </w:r>
      <w:r w:rsidR="005D489D">
        <w:rPr>
          <w:szCs w:val="24"/>
        </w:rPr>
        <w:t xml:space="preserve"> społeczeństwa informacyjnego w </w:t>
      </w:r>
      <w:r w:rsidRPr="00F93BD6">
        <w:rPr>
          <w:szCs w:val="24"/>
        </w:rPr>
        <w:t>regionie. Znamienny jest tu podział między województwem a jego składowymi (subregionami). Na poziomie całego regionu wskazuje się przede wszystkim na potrzeby związane z rozwojem e-usług, cyfryzacji danych publicznych oraz wzrostem kompetencji cyfrowych. Z kolei na poziomie trzech subregionów</w:t>
      </w:r>
      <w:r w:rsidRPr="00F93BD6">
        <w:rPr>
          <w:rStyle w:val="Odwoanieprzypisudolnego"/>
          <w:szCs w:val="24"/>
        </w:rPr>
        <w:footnoteReference w:id="9"/>
      </w:r>
      <w:r w:rsidRPr="00F93BD6">
        <w:rPr>
          <w:szCs w:val="24"/>
        </w:rPr>
        <w:t xml:space="preserve"> nadal widoczne są potrzeby w zakresie rozwoju infrastruktury szerokopasmowej czy punktów dostępowych – szczególnie w zakresie dostępu zwykłych mieszkańców</w:t>
      </w:r>
      <w:r w:rsidRPr="00F93BD6">
        <w:rPr>
          <w:rStyle w:val="Odwoanieprzypisudolnego"/>
          <w:szCs w:val="24"/>
        </w:rPr>
        <w:footnoteReference w:id="10"/>
      </w:r>
      <w:r w:rsidR="00FC772D">
        <w:rPr>
          <w:szCs w:val="24"/>
        </w:rPr>
        <w:t xml:space="preserve"> (istnieją</w:t>
      </w:r>
      <w:r w:rsidRPr="00F93BD6">
        <w:rPr>
          <w:szCs w:val="24"/>
        </w:rPr>
        <w:t xml:space="preserve"> nadal białe i szare plamy w regionie). Wyjątkiem jest tu jedynie subregion centralny – może to wynikać z faktu, że</w:t>
      </w:r>
      <w:r w:rsidR="00FC772D">
        <w:rPr>
          <w:szCs w:val="24"/>
        </w:rPr>
        <w:t xml:space="preserve"> jego potrzeby w tym obszarze w </w:t>
      </w:r>
      <w:r w:rsidRPr="00F93BD6">
        <w:rPr>
          <w:szCs w:val="24"/>
        </w:rPr>
        <w:t xml:space="preserve">dużej mierze zostały zaspokojone dzięki dotychczas zrealizowanym projektom. </w:t>
      </w:r>
    </w:p>
    <w:p w14:paraId="6758AF8C" w14:textId="070A9A27" w:rsidR="0071369D" w:rsidRPr="00F93BD6" w:rsidRDefault="0071369D" w:rsidP="0071369D">
      <w:pPr>
        <w:spacing w:before="120" w:after="0" w:line="288" w:lineRule="auto"/>
        <w:jc w:val="both"/>
        <w:rPr>
          <w:szCs w:val="24"/>
        </w:rPr>
      </w:pPr>
      <w:r w:rsidRPr="00F93BD6">
        <w:rPr>
          <w:szCs w:val="24"/>
        </w:rPr>
        <w:t xml:space="preserve">W ramach badania </w:t>
      </w:r>
      <w:r>
        <w:rPr>
          <w:szCs w:val="24"/>
        </w:rPr>
        <w:t>ewaluacyjnego</w:t>
      </w:r>
      <w:r w:rsidR="00FC772D">
        <w:rPr>
          <w:szCs w:val="24"/>
        </w:rPr>
        <w:t xml:space="preserve"> ex- post</w:t>
      </w:r>
      <w:r>
        <w:rPr>
          <w:szCs w:val="24"/>
        </w:rPr>
        <w:t xml:space="preserve"> </w:t>
      </w:r>
      <w:r w:rsidRPr="00F93BD6">
        <w:rPr>
          <w:szCs w:val="24"/>
        </w:rPr>
        <w:t>zidentyfikowano ni</w:t>
      </w:r>
      <w:r w:rsidR="005D489D">
        <w:rPr>
          <w:szCs w:val="24"/>
        </w:rPr>
        <w:t>erównomierny rozkład wsparcia w </w:t>
      </w:r>
      <w:r w:rsidRPr="00F93BD6">
        <w:rPr>
          <w:szCs w:val="24"/>
        </w:rPr>
        <w:t>podziale na subregiony. Największym beneficjentem w</w:t>
      </w:r>
      <w:r w:rsidR="005D489D">
        <w:rPr>
          <w:szCs w:val="24"/>
        </w:rPr>
        <w:t>sparcia był subregion centralny. Z </w:t>
      </w:r>
      <w:r w:rsidRPr="00F93BD6">
        <w:rPr>
          <w:szCs w:val="24"/>
        </w:rPr>
        <w:t xml:space="preserve">kolei najmniejsze efekty zanotowano w przypadku subregionu północnego i po części </w:t>
      </w:r>
      <w:r w:rsidRPr="00F93BD6">
        <w:rPr>
          <w:szCs w:val="24"/>
        </w:rPr>
        <w:lastRenderedPageBreak/>
        <w:t>zachodniego (szczególnie w zakresie infrastruktury szerokopasmowej). Czynnikiem, który się do tego przyczynił było z pewnością uwzględnienie subregionu centralnego w ramach wsparcia PRS – ograniczyło to szansę na pozyskanie faktycznie znaczącego wsparcia przez pozostałe subregiony.</w:t>
      </w:r>
    </w:p>
    <w:p w14:paraId="50537F00" w14:textId="0014403D" w:rsidR="0071369D" w:rsidRPr="00607C45" w:rsidRDefault="0071369D" w:rsidP="0071369D">
      <w:pPr>
        <w:spacing w:before="120" w:after="0" w:line="288" w:lineRule="auto"/>
        <w:jc w:val="both"/>
        <w:rPr>
          <w:szCs w:val="24"/>
        </w:rPr>
      </w:pPr>
      <w:r w:rsidRPr="00F93BD6">
        <w:rPr>
          <w:szCs w:val="24"/>
        </w:rPr>
        <w:t>Analiza efektów dodatkowych wskazała, że najczęściej występowały nieplanowane efekty pozytywne zrealizowanych działań, które najczęściej dotyczyły samych beneficjentów i ich pracowników a nie otoczenia (brak efektu wyciekania)</w:t>
      </w:r>
      <w:r w:rsidR="00FC772D">
        <w:rPr>
          <w:szCs w:val="24"/>
        </w:rPr>
        <w:t>. Zmiany pozytywne zanotowano w </w:t>
      </w:r>
      <w:r w:rsidRPr="00F93BD6">
        <w:rPr>
          <w:szCs w:val="24"/>
        </w:rPr>
        <w:t xml:space="preserve">obszarze funkcjonowania wspartych podmiotów (Efekt behavioural additionality). W ramach </w:t>
      </w:r>
      <w:r w:rsidRPr="00607C45">
        <w:rPr>
          <w:szCs w:val="24"/>
        </w:rPr>
        <w:t>p</w:t>
      </w:r>
      <w:r w:rsidRPr="00F93BD6">
        <w:rPr>
          <w:szCs w:val="24"/>
        </w:rPr>
        <w:t xml:space="preserve">riorytetu II nie wystąpił efekt jałowej straty – badani bez udzielonego wsparcia odłożyliby realizację projektów w czasie lub w całości z nich zrezygnowali. Ocena porównawcza efektywności kosztowej realizowanych projektów (z wykorzystaniem analizy porównawczej danych z innych województw) wykazała, że wsparcie w ramach </w:t>
      </w:r>
      <w:r w:rsidRPr="00607C45">
        <w:rPr>
          <w:szCs w:val="24"/>
        </w:rPr>
        <w:t>p</w:t>
      </w:r>
      <w:r w:rsidRPr="00F93BD6">
        <w:rPr>
          <w:szCs w:val="24"/>
        </w:rPr>
        <w:t>riorytetu II RPO WSL było efektywne - niemal w przypadku wszystkich wskaźników koszt osiągnięcia jednostkowych wartości był znacznie niższy niż w innych regionach</w:t>
      </w:r>
    </w:p>
    <w:p w14:paraId="58DA7019" w14:textId="11F896FE" w:rsidR="00274857" w:rsidRDefault="0071369D" w:rsidP="00FC772D">
      <w:pPr>
        <w:jc w:val="both"/>
        <w:rPr>
          <w:szCs w:val="24"/>
        </w:rPr>
      </w:pPr>
      <w:r w:rsidRPr="0071369D">
        <w:rPr>
          <w:szCs w:val="24"/>
        </w:rPr>
        <w:t xml:space="preserve">W ramach priorytetu II nie zidentyfikowano problemu braku bądź niewystarczającego zainteresowania aplikowaniem o środki. Jedyna </w:t>
      </w:r>
      <w:r w:rsidR="00FC772D" w:rsidRPr="0071369D">
        <w:rPr>
          <w:szCs w:val="24"/>
        </w:rPr>
        <w:t>trudność, jaka</w:t>
      </w:r>
      <w:r w:rsidRPr="0071369D">
        <w:rPr>
          <w:szCs w:val="24"/>
        </w:rPr>
        <w:t xml:space="preserve"> wystąpiła to niskie zainteresowanie przedsiębiorstw telekomunikacyjnych w ostatnim z 3 naborów w </w:t>
      </w:r>
      <w:r w:rsidRPr="00FC772D">
        <w:rPr>
          <w:i/>
          <w:szCs w:val="24"/>
        </w:rPr>
        <w:t>działaniu 2.1</w:t>
      </w:r>
      <w:r w:rsidRPr="0071369D">
        <w:rPr>
          <w:szCs w:val="24"/>
        </w:rPr>
        <w:t>. W ocenie uczestników</w:t>
      </w:r>
      <w:r w:rsidR="00FC772D">
        <w:rPr>
          <w:szCs w:val="24"/>
        </w:rPr>
        <w:t xml:space="preserve"> b</w:t>
      </w:r>
      <w:r w:rsidRPr="0071369D">
        <w:rPr>
          <w:szCs w:val="24"/>
        </w:rPr>
        <w:t>adania ewaluacyjnego</w:t>
      </w:r>
      <w:r w:rsidR="00FC772D">
        <w:rPr>
          <w:szCs w:val="24"/>
        </w:rPr>
        <w:t xml:space="preserve"> ex- post</w:t>
      </w:r>
      <w:r w:rsidRPr="0071369D">
        <w:rPr>
          <w:szCs w:val="24"/>
        </w:rPr>
        <w:t xml:space="preserve"> małe zainteresowanie wnioskodawców (przedsiębiorstw telekomunikacyjnych) spowodowane było możliwością skorzystania z większych i łatwiejszych do rozliczenia środków z </w:t>
      </w:r>
      <w:r w:rsidRPr="0071369D">
        <w:rPr>
          <w:i/>
          <w:szCs w:val="24"/>
        </w:rPr>
        <w:t>działania 8.3 Przeciwdziałanie wykluczeniu cyfrowemu - eInclusion, PO IG.</w:t>
      </w:r>
      <w:r w:rsidRPr="0071369D">
        <w:rPr>
          <w:szCs w:val="24"/>
        </w:rPr>
        <w:t xml:space="preserve"> W opinii ewaluatora przyczyną mogło być też to, że beneficjenci mogli ubiegać się tylko o środki na sieci dystrybucyjne, czyli nie obejmujące etapu tzw. „ostatniej mili”. Taka sytuacja mogła sprawić, że inwestycje te nie były opłacalne dla firm prywatnych w perspektywie kilku najbliższych lat (b</w:t>
      </w:r>
      <w:r w:rsidR="00FC772D">
        <w:rPr>
          <w:szCs w:val="24"/>
        </w:rPr>
        <w:t>rak możliwości otwarcia sieci).</w:t>
      </w:r>
    </w:p>
    <w:p w14:paraId="6BD10A06" w14:textId="60BF4ECD" w:rsidR="00BA3680" w:rsidRPr="00BA3680" w:rsidRDefault="00BA3680" w:rsidP="00BA3680">
      <w:pPr>
        <w:spacing w:after="0"/>
        <w:jc w:val="both"/>
        <w:rPr>
          <w:szCs w:val="24"/>
        </w:rPr>
      </w:pPr>
      <w:r w:rsidRPr="00BA3680">
        <w:t xml:space="preserve">W ramach przedmiotowego priorytetu na terenie województwa śląskiego realizowane </w:t>
      </w:r>
      <w:r w:rsidR="00F86D5F">
        <w:t>były</w:t>
      </w:r>
      <w:r w:rsidRPr="00BA3680">
        <w:t xml:space="preserve"> także projekty w ramach krajowych programów operacyjnych. Szczegółowe informacje zostały przedstawione w pkt. 2.1.6.2 niniejszego </w:t>
      </w:r>
      <w:r w:rsidRPr="00BA3680">
        <w:rPr>
          <w:i/>
        </w:rPr>
        <w:t>Sprawozdania</w:t>
      </w:r>
      <w:r>
        <w:rPr>
          <w:i/>
        </w:rPr>
        <w:t>.</w:t>
      </w:r>
    </w:p>
    <w:p w14:paraId="721A08D0" w14:textId="77777777" w:rsidR="00BA3680" w:rsidRPr="0094320D" w:rsidRDefault="00BA3680" w:rsidP="00FC772D">
      <w:pPr>
        <w:jc w:val="both"/>
        <w:rPr>
          <w:szCs w:val="24"/>
        </w:rPr>
      </w:pPr>
    </w:p>
    <w:p w14:paraId="4F0B57E8" w14:textId="77777777" w:rsidR="00245F70" w:rsidRPr="0094320D" w:rsidRDefault="008629E3" w:rsidP="004914D8">
      <w:pPr>
        <w:pStyle w:val="Akapitzlist"/>
        <w:numPr>
          <w:ilvl w:val="2"/>
          <w:numId w:val="50"/>
        </w:numPr>
        <w:jc w:val="both"/>
        <w:rPr>
          <w:szCs w:val="24"/>
        </w:rPr>
      </w:pPr>
      <w:bookmarkStart w:id="322" w:name="_Toc261941867"/>
      <w:bookmarkStart w:id="323" w:name="_Toc262031906"/>
      <w:bookmarkStart w:id="324" w:name="_Toc292789287"/>
      <w:bookmarkStart w:id="325" w:name="_Toc292793581"/>
      <w:bookmarkStart w:id="326" w:name="_Toc324853903"/>
      <w:bookmarkStart w:id="327" w:name="_Toc327259255"/>
      <w:r w:rsidRPr="0094320D">
        <w:rPr>
          <w:b/>
          <w:bCs/>
          <w:szCs w:val="24"/>
        </w:rPr>
        <w:t>OPIS ISTOTNYCH PROBLEMÓW WE WDRAŻANIU WRAZ Z PODJĘTYMI ŚRODKAMI ZARADCZYMI</w:t>
      </w:r>
      <w:bookmarkEnd w:id="322"/>
      <w:bookmarkEnd w:id="323"/>
      <w:bookmarkEnd w:id="324"/>
      <w:bookmarkEnd w:id="325"/>
      <w:bookmarkEnd w:id="326"/>
      <w:bookmarkEnd w:id="327"/>
    </w:p>
    <w:p w14:paraId="2A11ACDF" w14:textId="27D9D88D" w:rsidR="0071369D" w:rsidRPr="00F93BD6" w:rsidRDefault="0071369D" w:rsidP="0071369D">
      <w:pPr>
        <w:spacing w:before="120" w:after="0" w:line="288" w:lineRule="auto"/>
        <w:jc w:val="both"/>
        <w:rPr>
          <w:szCs w:val="24"/>
        </w:rPr>
      </w:pPr>
      <w:r w:rsidRPr="00F93BD6">
        <w:rPr>
          <w:szCs w:val="24"/>
        </w:rPr>
        <w:t>Wdrażanie priorytetu napotkało na problemy głównie na</w:t>
      </w:r>
      <w:r w:rsidR="001A6330">
        <w:rPr>
          <w:szCs w:val="24"/>
        </w:rPr>
        <w:t xml:space="preserve">tury zewnętrznej i dotyczyło </w:t>
      </w:r>
      <w:r w:rsidR="001A6330" w:rsidRPr="001A6330">
        <w:t>to</w:t>
      </w:r>
      <w:r w:rsidR="001B3522">
        <w:t> </w:t>
      </w:r>
      <w:r w:rsidRPr="001A6330">
        <w:t>przede</w:t>
      </w:r>
      <w:r>
        <w:rPr>
          <w:szCs w:val="24"/>
        </w:rPr>
        <w:t xml:space="preserve"> wszystkim projektów w ramach </w:t>
      </w:r>
      <w:r w:rsidRPr="001A6330">
        <w:rPr>
          <w:i/>
          <w:szCs w:val="24"/>
        </w:rPr>
        <w:t>działania 2.1.</w:t>
      </w:r>
      <w:r w:rsidRPr="00F93BD6">
        <w:rPr>
          <w:szCs w:val="24"/>
        </w:rPr>
        <w:t xml:space="preserve"> Dla samych beneficjentów najbardziej problemowy był obszar prawny – brak lub zmiany zewn</w:t>
      </w:r>
      <w:r w:rsidR="001A6330">
        <w:rPr>
          <w:szCs w:val="24"/>
        </w:rPr>
        <w:t>ętrznych uwarunkowań prawnych w </w:t>
      </w:r>
      <w:r w:rsidRPr="00F93BD6">
        <w:rPr>
          <w:szCs w:val="24"/>
        </w:rPr>
        <w:t>dużej mierze wpływały na opóźnienia i trudności realizacyjne projektów z zakresu infrastruktury.</w:t>
      </w:r>
    </w:p>
    <w:p w14:paraId="7080B0C3" w14:textId="036FF141" w:rsidR="00A44293" w:rsidRDefault="00A44293">
      <w:pPr>
        <w:spacing w:after="0" w:line="240" w:lineRule="auto"/>
        <w:rPr>
          <w:szCs w:val="24"/>
        </w:rPr>
      </w:pPr>
      <w:r>
        <w:rPr>
          <w:szCs w:val="24"/>
        </w:rPr>
        <w:br w:type="page"/>
      </w:r>
    </w:p>
    <w:p w14:paraId="140A18A3" w14:textId="1850018A" w:rsidR="00F01008" w:rsidRPr="00705601" w:rsidRDefault="0071369D" w:rsidP="004914D8">
      <w:pPr>
        <w:pStyle w:val="Akapitzlist"/>
        <w:numPr>
          <w:ilvl w:val="1"/>
          <w:numId w:val="50"/>
        </w:numPr>
        <w:jc w:val="both"/>
        <w:rPr>
          <w:b/>
          <w:color w:val="538135" w:themeColor="accent6" w:themeShade="BF"/>
          <w:szCs w:val="24"/>
        </w:rPr>
      </w:pPr>
      <w:r w:rsidRPr="00705601">
        <w:rPr>
          <w:b/>
          <w:color w:val="538135" w:themeColor="accent6" w:themeShade="BF"/>
          <w:szCs w:val="24"/>
        </w:rPr>
        <w:lastRenderedPageBreak/>
        <w:t>PRIORYTET III TURYSTYKA</w:t>
      </w:r>
    </w:p>
    <w:p w14:paraId="38618843" w14:textId="65C20C3A" w:rsidR="00CF10B6" w:rsidRDefault="00CF10B6" w:rsidP="00CF10B6">
      <w:pPr>
        <w:pStyle w:val="Akapitzlist"/>
        <w:ind w:left="0"/>
        <w:jc w:val="both"/>
        <w:rPr>
          <w:b/>
          <w:color w:val="FF0000"/>
          <w:szCs w:val="24"/>
        </w:rPr>
      </w:pPr>
      <w:r>
        <w:rPr>
          <w:noProof/>
        </w:rPr>
        <w:drawing>
          <wp:inline distT="0" distB="0" distL="0" distR="0" wp14:anchorId="605BE868" wp14:editId="245B1DA5">
            <wp:extent cx="5657849" cy="3181350"/>
            <wp:effectExtent l="0" t="0" r="635" b="0"/>
            <wp:docPr id="3584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pic:cNvPicPr>
                      <a:picLocks noChangeAspect="1"/>
                    </pic:cNvPicPr>
                  </pic:nvPicPr>
                  <pic:blipFill>
                    <a:blip r:embed="rId81" cstate="print">
                      <a:extLst/>
                    </a:blip>
                    <a:stretch>
                      <a:fillRect/>
                    </a:stretch>
                  </pic:blipFill>
                  <pic:spPr>
                    <a:xfrm>
                      <a:off x="0" y="0"/>
                      <a:ext cx="5665002" cy="3185372"/>
                    </a:xfrm>
                    <a:prstGeom prst="rect">
                      <a:avLst/>
                    </a:prstGeom>
                    <a:ln>
                      <a:noFill/>
                    </a:ln>
                    <a:effectLst>
                      <a:softEdge rad="112500"/>
                    </a:effectLst>
                  </pic:spPr>
                </pic:pic>
              </a:graphicData>
            </a:graphic>
          </wp:inline>
        </w:drawing>
      </w:r>
    </w:p>
    <w:p w14:paraId="0379D410" w14:textId="77777777" w:rsidR="0071369D" w:rsidRPr="0071369D" w:rsidRDefault="0071369D" w:rsidP="0071369D">
      <w:pPr>
        <w:pStyle w:val="Akapitzlist"/>
        <w:ind w:left="360"/>
        <w:jc w:val="both"/>
        <w:rPr>
          <w:b/>
          <w:color w:val="FF0000"/>
          <w:szCs w:val="24"/>
        </w:rPr>
      </w:pPr>
    </w:p>
    <w:p w14:paraId="625FD8FD" w14:textId="77777777" w:rsidR="00E55D2F" w:rsidRPr="0071369D" w:rsidRDefault="00E55D2F" w:rsidP="004914D8">
      <w:pPr>
        <w:pStyle w:val="Akapitzlist"/>
        <w:numPr>
          <w:ilvl w:val="2"/>
          <w:numId w:val="50"/>
        </w:numPr>
        <w:jc w:val="both"/>
        <w:rPr>
          <w:b/>
          <w:szCs w:val="24"/>
        </w:rPr>
      </w:pPr>
      <w:bookmarkStart w:id="328" w:name="_Toc292793583"/>
      <w:bookmarkStart w:id="329" w:name="_Toc324853905"/>
      <w:bookmarkStart w:id="330" w:name="_Toc327259257"/>
      <w:bookmarkStart w:id="331" w:name="_Toc386455210"/>
      <w:bookmarkStart w:id="332" w:name="_Toc386571828"/>
      <w:bookmarkStart w:id="333" w:name="_Toc386572253"/>
      <w:bookmarkStart w:id="334" w:name="_Toc419180269"/>
      <w:bookmarkStart w:id="335" w:name="_Toc423351787"/>
      <w:r w:rsidRPr="0071369D">
        <w:rPr>
          <w:b/>
          <w:szCs w:val="24"/>
        </w:rPr>
        <w:t>OSIĄGNIĘCIE CELÓW I ANALIZA POSTĘPÓW</w:t>
      </w:r>
      <w:bookmarkEnd w:id="328"/>
      <w:bookmarkEnd w:id="329"/>
      <w:bookmarkEnd w:id="330"/>
      <w:bookmarkEnd w:id="331"/>
      <w:bookmarkEnd w:id="332"/>
      <w:bookmarkEnd w:id="333"/>
      <w:bookmarkEnd w:id="334"/>
      <w:bookmarkEnd w:id="335"/>
    </w:p>
    <w:p w14:paraId="12144F75" w14:textId="042DC04D" w:rsidR="00E55D2F" w:rsidRPr="0094320D" w:rsidRDefault="0071369D" w:rsidP="0094320D">
      <w:pPr>
        <w:spacing w:after="120"/>
        <w:jc w:val="both"/>
        <w:rPr>
          <w:b/>
          <w:szCs w:val="24"/>
        </w:rPr>
      </w:pPr>
      <w:r w:rsidRPr="0094320D">
        <w:rPr>
          <w:b/>
          <w:szCs w:val="24"/>
        </w:rPr>
        <w:t>Informacje ogólne</w:t>
      </w:r>
    </w:p>
    <w:p w14:paraId="30390469" w14:textId="0E67BD6F" w:rsidR="00E55D2F" w:rsidRPr="0094320D" w:rsidRDefault="00E55D2F" w:rsidP="0094320D">
      <w:pPr>
        <w:spacing w:after="0"/>
        <w:jc w:val="both"/>
        <w:rPr>
          <w:szCs w:val="24"/>
        </w:rPr>
      </w:pPr>
      <w:r w:rsidRPr="0094320D">
        <w:rPr>
          <w:szCs w:val="24"/>
        </w:rPr>
        <w:t xml:space="preserve">Celem głównym priorytetu </w:t>
      </w:r>
      <w:r w:rsidR="0071369D">
        <w:rPr>
          <w:szCs w:val="24"/>
        </w:rPr>
        <w:t>był</w:t>
      </w:r>
      <w:r w:rsidRPr="0094320D">
        <w:rPr>
          <w:szCs w:val="24"/>
        </w:rPr>
        <w:t xml:space="preserve"> </w:t>
      </w:r>
      <w:r w:rsidRPr="0094320D">
        <w:rPr>
          <w:i/>
          <w:iCs/>
          <w:szCs w:val="24"/>
        </w:rPr>
        <w:t>Wzrost konkurencyjności turystycznej regionu</w:t>
      </w:r>
      <w:r w:rsidRPr="0094320D">
        <w:rPr>
          <w:szCs w:val="24"/>
        </w:rPr>
        <w:t xml:space="preserve">. W ramach priorytetu </w:t>
      </w:r>
      <w:r w:rsidR="0071369D">
        <w:rPr>
          <w:szCs w:val="24"/>
        </w:rPr>
        <w:t>były</w:t>
      </w:r>
      <w:r w:rsidRPr="0094320D">
        <w:rPr>
          <w:szCs w:val="24"/>
        </w:rPr>
        <w:t xml:space="preserve"> wspierane działania z zakresu infrastruktury zaplecza turystycznego, infrastruktury okołoturystycznej, systemu informacji turystycznej, promocji turystyki. R</w:t>
      </w:r>
      <w:r w:rsidR="003F6669">
        <w:rPr>
          <w:szCs w:val="24"/>
        </w:rPr>
        <w:t>ealizacji priorytetu służyły</w:t>
      </w:r>
      <w:r w:rsidRPr="0094320D">
        <w:rPr>
          <w:szCs w:val="24"/>
        </w:rPr>
        <w:t xml:space="preserve"> cztery działania:</w:t>
      </w:r>
    </w:p>
    <w:p w14:paraId="166AFFDF" w14:textId="77777777" w:rsidR="00E55D2F" w:rsidRPr="0094320D" w:rsidRDefault="00E55D2F" w:rsidP="0094320D">
      <w:pPr>
        <w:pStyle w:val="Akapitzlist"/>
        <w:numPr>
          <w:ilvl w:val="0"/>
          <w:numId w:val="4"/>
        </w:numPr>
        <w:spacing w:after="0"/>
        <w:jc w:val="both"/>
        <w:rPr>
          <w:i/>
          <w:szCs w:val="24"/>
        </w:rPr>
      </w:pPr>
      <w:r w:rsidRPr="0094320D">
        <w:rPr>
          <w:i/>
          <w:szCs w:val="24"/>
        </w:rPr>
        <w:t>3.1 Infrastruktura zaplecza turystycznego,</w:t>
      </w:r>
    </w:p>
    <w:p w14:paraId="21E6CBAE" w14:textId="77777777" w:rsidR="00E55D2F" w:rsidRPr="0094320D" w:rsidRDefault="00E55D2F" w:rsidP="0094320D">
      <w:pPr>
        <w:pStyle w:val="Akapitzlist"/>
        <w:numPr>
          <w:ilvl w:val="0"/>
          <w:numId w:val="4"/>
        </w:numPr>
        <w:spacing w:after="0"/>
        <w:jc w:val="both"/>
        <w:rPr>
          <w:i/>
          <w:szCs w:val="24"/>
        </w:rPr>
      </w:pPr>
      <w:r w:rsidRPr="0094320D">
        <w:rPr>
          <w:i/>
          <w:szCs w:val="24"/>
        </w:rPr>
        <w:t>3.2 Infrastruktura okołoturystyczna,</w:t>
      </w:r>
    </w:p>
    <w:p w14:paraId="2E20987F" w14:textId="77777777" w:rsidR="00E55D2F" w:rsidRPr="0094320D" w:rsidRDefault="00E55D2F" w:rsidP="0094320D">
      <w:pPr>
        <w:pStyle w:val="Akapitzlist"/>
        <w:numPr>
          <w:ilvl w:val="0"/>
          <w:numId w:val="4"/>
        </w:numPr>
        <w:spacing w:after="0"/>
        <w:jc w:val="both"/>
        <w:rPr>
          <w:i/>
          <w:szCs w:val="24"/>
        </w:rPr>
      </w:pPr>
      <w:r w:rsidRPr="0094320D">
        <w:rPr>
          <w:i/>
          <w:szCs w:val="24"/>
        </w:rPr>
        <w:t>3.3 Systemy informacji turystycznej,</w:t>
      </w:r>
    </w:p>
    <w:p w14:paraId="33870226" w14:textId="77777777" w:rsidR="00E55D2F" w:rsidRPr="0094320D" w:rsidRDefault="00E55D2F" w:rsidP="0094320D">
      <w:pPr>
        <w:pStyle w:val="Akapitzlist"/>
        <w:numPr>
          <w:ilvl w:val="0"/>
          <w:numId w:val="4"/>
        </w:numPr>
        <w:spacing w:after="120"/>
        <w:ind w:left="714" w:hanging="357"/>
        <w:jc w:val="both"/>
        <w:rPr>
          <w:i/>
          <w:szCs w:val="24"/>
        </w:rPr>
      </w:pPr>
      <w:r w:rsidRPr="0094320D">
        <w:rPr>
          <w:i/>
          <w:szCs w:val="24"/>
        </w:rPr>
        <w:t>3.4 Promocja turystyki.</w:t>
      </w:r>
    </w:p>
    <w:p w14:paraId="5D6A469E" w14:textId="77777777" w:rsidR="00E55D2F" w:rsidRPr="0094320D" w:rsidRDefault="00E55D2F" w:rsidP="0094320D">
      <w:pPr>
        <w:spacing w:after="120"/>
        <w:jc w:val="both"/>
        <w:rPr>
          <w:szCs w:val="24"/>
        </w:rPr>
      </w:pPr>
      <w:r w:rsidRPr="0094320D">
        <w:rPr>
          <w:szCs w:val="24"/>
        </w:rPr>
        <w:t xml:space="preserve">Na realizację priorytetu III alokowano 110 420 000 EUR pochodzących z EFRR, co stanowi 6,32% wartości </w:t>
      </w:r>
      <w:r w:rsidRPr="0094320D">
        <w:rPr>
          <w:i/>
          <w:szCs w:val="24"/>
        </w:rPr>
        <w:t>Programu</w:t>
      </w:r>
      <w:r w:rsidRPr="0094320D">
        <w:rPr>
          <w:szCs w:val="24"/>
        </w:rPr>
        <w:t>.</w:t>
      </w:r>
    </w:p>
    <w:p w14:paraId="5123FAEE" w14:textId="09940EC5" w:rsidR="00E55D2F" w:rsidRPr="0094320D" w:rsidRDefault="00E55D2F" w:rsidP="0094320D">
      <w:pPr>
        <w:widowControl w:val="0"/>
        <w:autoSpaceDE w:val="0"/>
        <w:autoSpaceDN w:val="0"/>
        <w:adjustRightInd w:val="0"/>
        <w:spacing w:after="120"/>
        <w:ind w:right="-23"/>
        <w:jc w:val="both"/>
        <w:rPr>
          <w:szCs w:val="24"/>
        </w:rPr>
      </w:pPr>
      <w:r w:rsidRPr="0094320D">
        <w:rPr>
          <w:szCs w:val="24"/>
        </w:rPr>
        <w:t>Opis wkładu osi priorytetowej w promowanie równości szans k</w:t>
      </w:r>
      <w:r w:rsidR="00B8015D">
        <w:rPr>
          <w:szCs w:val="24"/>
        </w:rPr>
        <w:t>obiet i mężczyzn znajduje się w </w:t>
      </w:r>
      <w:r w:rsidRPr="0094320D">
        <w:rPr>
          <w:szCs w:val="24"/>
        </w:rPr>
        <w:t xml:space="preserve">pkt. 2.2.1 </w:t>
      </w:r>
      <w:r w:rsidRPr="0094320D">
        <w:rPr>
          <w:i/>
          <w:szCs w:val="24"/>
        </w:rPr>
        <w:t>Sprawozdania.</w:t>
      </w:r>
    </w:p>
    <w:p w14:paraId="6C5E6D00" w14:textId="77777777" w:rsidR="00E55D2F" w:rsidRPr="0094320D" w:rsidRDefault="00E55D2F" w:rsidP="0094320D">
      <w:pPr>
        <w:widowControl w:val="0"/>
        <w:autoSpaceDE w:val="0"/>
        <w:autoSpaceDN w:val="0"/>
        <w:adjustRightInd w:val="0"/>
        <w:spacing w:after="120"/>
        <w:ind w:right="-23"/>
        <w:jc w:val="both"/>
        <w:rPr>
          <w:szCs w:val="24"/>
        </w:rPr>
      </w:pPr>
      <w:r w:rsidRPr="0094320D">
        <w:rPr>
          <w:szCs w:val="24"/>
        </w:rPr>
        <w:t>W ramach priorytetu nie przewidziano finansowania krzyżowego.</w:t>
      </w:r>
    </w:p>
    <w:p w14:paraId="3EEC0607" w14:textId="02AE49CD" w:rsidR="00E55D2F" w:rsidRDefault="0071369D" w:rsidP="0094320D">
      <w:pPr>
        <w:spacing w:before="120" w:after="120"/>
        <w:jc w:val="both"/>
        <w:rPr>
          <w:b/>
          <w:szCs w:val="24"/>
        </w:rPr>
      </w:pPr>
      <w:r w:rsidRPr="0094320D">
        <w:rPr>
          <w:b/>
          <w:szCs w:val="24"/>
        </w:rPr>
        <w:t>Analiza postępu finansowego</w:t>
      </w:r>
    </w:p>
    <w:p w14:paraId="463FF9EA" w14:textId="3CE4DE36" w:rsidR="00010D8F" w:rsidRPr="00EA02C9" w:rsidRDefault="00010D8F" w:rsidP="00010D8F">
      <w:pPr>
        <w:spacing w:after="120"/>
        <w:jc w:val="both"/>
        <w:rPr>
          <w:szCs w:val="24"/>
        </w:rPr>
      </w:pPr>
      <w:r w:rsidRPr="00EA02C9">
        <w:rPr>
          <w:szCs w:val="24"/>
        </w:rPr>
        <w:t xml:space="preserve">W ramach przedmiotowego priorytetu do końca 2016 roku złożono 1154 wnioski o dofinansowanie poprawnych formalnie, na kwotę wnioskowanego dofinansowania 189,20 mln EUR, co stanowi </w:t>
      </w:r>
      <w:r>
        <w:rPr>
          <w:szCs w:val="24"/>
        </w:rPr>
        <w:t>171</w:t>
      </w:r>
      <w:r w:rsidRPr="00EA02C9">
        <w:rPr>
          <w:szCs w:val="24"/>
        </w:rPr>
        <w:t xml:space="preserve"> % alokacji priorytetu. Do dofinansowania wybrano 679 projektów, w których zatwierdzone dofinansowanie to 139,96 mln EUR.</w:t>
      </w:r>
    </w:p>
    <w:p w14:paraId="412A6779" w14:textId="51EACC3A" w:rsidR="00010D8F" w:rsidRPr="00EA02C9" w:rsidRDefault="00F2703C" w:rsidP="00010D8F">
      <w:pPr>
        <w:spacing w:after="120"/>
        <w:jc w:val="both"/>
        <w:rPr>
          <w:szCs w:val="24"/>
        </w:rPr>
      </w:pPr>
      <w:r>
        <w:rPr>
          <w:szCs w:val="24"/>
        </w:rPr>
        <w:t>Podpisano  546</w:t>
      </w:r>
      <w:r w:rsidR="00010D8F" w:rsidRPr="00EA02C9">
        <w:rPr>
          <w:szCs w:val="24"/>
        </w:rPr>
        <w:t xml:space="preserve"> umowy o dofinansowanie. Łączna </w:t>
      </w:r>
      <w:r>
        <w:rPr>
          <w:szCs w:val="24"/>
        </w:rPr>
        <w:t>wartość dofinansowania to 102,33</w:t>
      </w:r>
      <w:r w:rsidR="00010D8F" w:rsidRPr="00EA02C9">
        <w:rPr>
          <w:szCs w:val="24"/>
        </w:rPr>
        <w:t xml:space="preserve"> mln EUR, co stanowi </w:t>
      </w:r>
      <w:r w:rsidR="00C64B1C">
        <w:rPr>
          <w:szCs w:val="24"/>
        </w:rPr>
        <w:t>96</w:t>
      </w:r>
      <w:r w:rsidR="00010D8F" w:rsidRPr="00EA02C9">
        <w:rPr>
          <w:szCs w:val="24"/>
        </w:rPr>
        <w:t xml:space="preserve"> % dostępnej alokacji na priorytet.</w:t>
      </w:r>
    </w:p>
    <w:p w14:paraId="5DA8CCF0" w14:textId="7F2B3A3D" w:rsidR="00010D8F" w:rsidRDefault="00010D8F" w:rsidP="00010D8F">
      <w:pPr>
        <w:spacing w:after="120"/>
        <w:jc w:val="both"/>
        <w:rPr>
          <w:szCs w:val="24"/>
        </w:rPr>
      </w:pPr>
      <w:r w:rsidRPr="00EA02C9">
        <w:rPr>
          <w:szCs w:val="24"/>
        </w:rPr>
        <w:lastRenderedPageBreak/>
        <w:t xml:space="preserve">Do końca 2016 roku certyfikowano wydatki na kwotę </w:t>
      </w:r>
      <w:r w:rsidR="00474FA0">
        <w:rPr>
          <w:szCs w:val="24"/>
        </w:rPr>
        <w:t>106,44</w:t>
      </w:r>
      <w:r w:rsidRPr="00EA02C9">
        <w:rPr>
          <w:szCs w:val="24"/>
        </w:rPr>
        <w:t xml:space="preserve"> mln EUR, co stanowi </w:t>
      </w:r>
      <w:r>
        <w:rPr>
          <w:szCs w:val="24"/>
        </w:rPr>
        <w:t>96</w:t>
      </w:r>
      <w:r w:rsidRPr="00EA02C9">
        <w:rPr>
          <w:szCs w:val="24"/>
        </w:rPr>
        <w:t xml:space="preserve">% dostępnej alokacji. </w:t>
      </w:r>
    </w:p>
    <w:p w14:paraId="1A317C52" w14:textId="797AC08C" w:rsidR="00010D8F" w:rsidRPr="00132FC0" w:rsidRDefault="00132FC0" w:rsidP="00132FC0">
      <w:pPr>
        <w:spacing w:after="0"/>
        <w:jc w:val="both"/>
        <w:rPr>
          <w:szCs w:val="24"/>
        </w:rPr>
      </w:pPr>
      <w:r>
        <w:rPr>
          <w:szCs w:val="24"/>
        </w:rPr>
        <w:t>Na poniższym wykresie przedstawiono ogólną informację dot. postępu realizacji priorytetu III na koniec 2016 roku oraz poziom wykorzystania alokacji.</w:t>
      </w:r>
    </w:p>
    <w:p w14:paraId="7DA203C6" w14:textId="7DD845E1" w:rsidR="00010D8F" w:rsidRDefault="00010D8F" w:rsidP="0094320D">
      <w:pPr>
        <w:spacing w:before="120" w:after="120"/>
        <w:jc w:val="both"/>
        <w:rPr>
          <w:b/>
          <w:szCs w:val="24"/>
        </w:rPr>
      </w:pPr>
      <w:r w:rsidRPr="00F86D5F">
        <w:rPr>
          <w:noProof/>
        </w:rPr>
        <w:drawing>
          <wp:inline distT="0" distB="0" distL="0" distR="0" wp14:anchorId="6CFDB9F4" wp14:editId="705CB625">
            <wp:extent cx="6029325" cy="3076575"/>
            <wp:effectExtent l="0" t="0" r="0" b="0"/>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2C290349" w14:textId="4EC8B507" w:rsidR="00010D8F" w:rsidRDefault="00B66319" w:rsidP="00B66319">
      <w:pPr>
        <w:pStyle w:val="Legenda"/>
        <w:rPr>
          <w:b w:val="0"/>
          <w:i/>
          <w:color w:val="auto"/>
          <w:sz w:val="20"/>
          <w:szCs w:val="20"/>
        </w:rPr>
      </w:pPr>
      <w:bookmarkStart w:id="336" w:name="_Toc476832952"/>
      <w:bookmarkStart w:id="337" w:name="_Toc324853722"/>
      <w:bookmarkStart w:id="338" w:name="_Toc326046373"/>
      <w:bookmarkStart w:id="339" w:name="_Toc355688737"/>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34</w:t>
      </w:r>
      <w:r w:rsidR="00A44293" w:rsidRPr="00A44293">
        <w:rPr>
          <w:noProof/>
          <w:color w:val="auto"/>
        </w:rPr>
        <w:fldChar w:fldCharType="end"/>
      </w:r>
      <w:r>
        <w:t xml:space="preserve"> </w:t>
      </w:r>
      <w:r w:rsidR="009E3592">
        <w:rPr>
          <w:b w:val="0"/>
          <w:i/>
          <w:color w:val="auto"/>
          <w:sz w:val="20"/>
          <w:szCs w:val="20"/>
        </w:rPr>
        <w:t xml:space="preserve">Postęp finansowy w ramach </w:t>
      </w:r>
      <w:r w:rsidR="00010D8F" w:rsidRPr="00010D8F">
        <w:rPr>
          <w:b w:val="0"/>
          <w:i/>
          <w:color w:val="auto"/>
          <w:sz w:val="20"/>
          <w:szCs w:val="20"/>
        </w:rPr>
        <w:t>priorytetu III</w:t>
      </w:r>
      <w:bookmarkEnd w:id="336"/>
    </w:p>
    <w:p w14:paraId="02D0DFF0" w14:textId="77777777" w:rsidR="004A622C" w:rsidRDefault="004A622C" w:rsidP="004A622C">
      <w:r w:rsidRPr="00B0267C">
        <w:t xml:space="preserve">Poniżej przedstawiono </w:t>
      </w:r>
      <w:r>
        <w:t xml:space="preserve">realizacje priorytetu w podziale </w:t>
      </w:r>
      <w:r w:rsidRPr="00B0267C">
        <w:t>na działania.</w:t>
      </w:r>
    </w:p>
    <w:p w14:paraId="22466D03" w14:textId="50C5C962" w:rsidR="004A622C" w:rsidRPr="004A622C" w:rsidRDefault="00B66319" w:rsidP="00B66319">
      <w:pPr>
        <w:pStyle w:val="Legenda"/>
        <w:rPr>
          <w:color w:val="auto"/>
          <w:sz w:val="20"/>
          <w:szCs w:val="20"/>
        </w:rPr>
      </w:pPr>
      <w:bookmarkStart w:id="340" w:name="_Toc476131801"/>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18</w:t>
      </w:r>
      <w:r w:rsidR="00A44293" w:rsidRPr="00A44293">
        <w:rPr>
          <w:noProof/>
          <w:color w:val="auto"/>
        </w:rPr>
        <w:fldChar w:fldCharType="end"/>
      </w:r>
      <w:r>
        <w:t xml:space="preserve"> </w:t>
      </w:r>
      <w:r w:rsidR="004A622C" w:rsidRPr="004A622C">
        <w:rPr>
          <w:b w:val="0"/>
          <w:i/>
          <w:color w:val="auto"/>
          <w:sz w:val="20"/>
          <w:szCs w:val="20"/>
        </w:rPr>
        <w:t xml:space="preserve">Postęp </w:t>
      </w:r>
      <w:r w:rsidR="009E3592">
        <w:rPr>
          <w:b w:val="0"/>
          <w:i/>
          <w:color w:val="auto"/>
          <w:sz w:val="20"/>
          <w:szCs w:val="20"/>
        </w:rPr>
        <w:t>finansowy w ramach</w:t>
      </w:r>
      <w:r w:rsidR="004A622C" w:rsidRPr="004A622C">
        <w:rPr>
          <w:b w:val="0"/>
          <w:i/>
          <w:color w:val="auto"/>
          <w:sz w:val="20"/>
          <w:szCs w:val="20"/>
        </w:rPr>
        <w:t xml:space="preserve"> priorytetu III w podziale na działania</w:t>
      </w:r>
      <w:bookmarkEnd w:id="340"/>
    </w:p>
    <w:tbl>
      <w:tblPr>
        <w:tblStyle w:val="Tabelalisty3akcent6"/>
        <w:tblW w:w="9990" w:type="dxa"/>
        <w:tblLayout w:type="fixed"/>
        <w:tblLook w:val="04A0" w:firstRow="1" w:lastRow="0" w:firstColumn="1" w:lastColumn="0" w:noHBand="0" w:noVBand="1"/>
      </w:tblPr>
      <w:tblGrid>
        <w:gridCol w:w="1135"/>
        <w:gridCol w:w="1123"/>
        <w:gridCol w:w="993"/>
        <w:gridCol w:w="1139"/>
        <w:gridCol w:w="987"/>
        <w:gridCol w:w="997"/>
        <w:gridCol w:w="987"/>
        <w:gridCol w:w="709"/>
        <w:gridCol w:w="960"/>
        <w:gridCol w:w="960"/>
      </w:tblGrid>
      <w:tr w:rsidR="00C50E84" w:rsidRPr="00010D8F" w14:paraId="3F444B80" w14:textId="77777777" w:rsidTr="00F86D5F">
        <w:trPr>
          <w:cnfStyle w:val="100000000000" w:firstRow="1" w:lastRow="0" w:firstColumn="0" w:lastColumn="0" w:oddVBand="0" w:evenVBand="0" w:oddHBand="0" w:evenHBand="0" w:firstRowFirstColumn="0" w:firstRowLastColumn="0" w:lastRowFirstColumn="0" w:lastRowLastColumn="0"/>
          <w:trHeight w:val="1275"/>
        </w:trPr>
        <w:tc>
          <w:tcPr>
            <w:cnfStyle w:val="001000000100" w:firstRow="0" w:lastRow="0" w:firstColumn="1" w:lastColumn="0" w:oddVBand="0" w:evenVBand="0" w:oddHBand="0" w:evenHBand="0" w:firstRowFirstColumn="1" w:firstRowLastColumn="0" w:lastRowFirstColumn="0" w:lastRowLastColumn="0"/>
            <w:tcW w:w="1135" w:type="dxa"/>
            <w:vMerge w:val="restart"/>
            <w:noWrap/>
            <w:textDirection w:val="btLr"/>
            <w:vAlign w:val="center"/>
            <w:hideMark/>
          </w:tcPr>
          <w:p w14:paraId="7309A454" w14:textId="0DAE9FA9" w:rsidR="00C50E84" w:rsidRPr="00F86D5F" w:rsidRDefault="00E76F39" w:rsidP="00F86D5F">
            <w:pPr>
              <w:spacing w:after="0" w:line="240" w:lineRule="auto"/>
              <w:ind w:left="113" w:right="113"/>
              <w:jc w:val="center"/>
              <w:rPr>
                <w:bCs w:val="0"/>
                <w:color w:val="000000"/>
                <w:sz w:val="20"/>
                <w:szCs w:val="20"/>
              </w:rPr>
            </w:pPr>
            <w:r w:rsidRPr="00F86D5F">
              <w:rPr>
                <w:bCs w:val="0"/>
                <w:color w:val="000000"/>
                <w:sz w:val="20"/>
                <w:szCs w:val="20"/>
              </w:rPr>
              <w:t>DZIAŁANIE</w:t>
            </w:r>
          </w:p>
        </w:tc>
        <w:tc>
          <w:tcPr>
            <w:tcW w:w="1123" w:type="dxa"/>
            <w:vMerge w:val="restart"/>
            <w:textDirection w:val="btLr"/>
            <w:vAlign w:val="center"/>
            <w:hideMark/>
          </w:tcPr>
          <w:p w14:paraId="53F20F98" w14:textId="54B7927F" w:rsidR="00C50E84" w:rsidRPr="00F86D5F" w:rsidRDefault="00E76F39" w:rsidP="00F86D5F">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F86D5F">
              <w:rPr>
                <w:bCs w:val="0"/>
                <w:color w:val="000000"/>
                <w:sz w:val="20"/>
                <w:szCs w:val="20"/>
              </w:rPr>
              <w:t>ALOKACJA (MLN EUR)</w:t>
            </w:r>
          </w:p>
        </w:tc>
        <w:tc>
          <w:tcPr>
            <w:tcW w:w="2132" w:type="dxa"/>
            <w:gridSpan w:val="2"/>
            <w:vAlign w:val="center"/>
            <w:hideMark/>
          </w:tcPr>
          <w:p w14:paraId="084D2C57" w14:textId="2B51F966" w:rsidR="00C50E84" w:rsidRPr="00F86D5F" w:rsidRDefault="00E76F39"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F86D5F">
              <w:rPr>
                <w:bCs w:val="0"/>
                <w:color w:val="000000"/>
                <w:sz w:val="20"/>
                <w:szCs w:val="20"/>
              </w:rPr>
              <w:t>WNIOSKI WYBRANE DO DOFINANSOWANIA</w:t>
            </w:r>
          </w:p>
        </w:tc>
        <w:tc>
          <w:tcPr>
            <w:tcW w:w="1984" w:type="dxa"/>
            <w:gridSpan w:val="2"/>
            <w:vAlign w:val="center"/>
            <w:hideMark/>
          </w:tcPr>
          <w:p w14:paraId="13AAAB39" w14:textId="6C804D95" w:rsidR="00C50E84" w:rsidRPr="00F86D5F" w:rsidRDefault="00E76F39"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F86D5F">
              <w:rPr>
                <w:bCs w:val="0"/>
                <w:color w:val="000000"/>
                <w:sz w:val="20"/>
                <w:szCs w:val="20"/>
              </w:rPr>
              <w:t>KONTRAKTACJA</w:t>
            </w:r>
          </w:p>
        </w:tc>
        <w:tc>
          <w:tcPr>
            <w:tcW w:w="1696" w:type="dxa"/>
            <w:gridSpan w:val="2"/>
            <w:noWrap/>
            <w:vAlign w:val="center"/>
            <w:hideMark/>
          </w:tcPr>
          <w:p w14:paraId="1577643B" w14:textId="0FD79755" w:rsidR="00C50E84" w:rsidRPr="00F86D5F" w:rsidRDefault="00E76F39"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F86D5F">
              <w:rPr>
                <w:bCs w:val="0"/>
                <w:color w:val="000000"/>
                <w:sz w:val="20"/>
                <w:szCs w:val="20"/>
              </w:rPr>
              <w:t>PŁATNOŚCI</w:t>
            </w:r>
          </w:p>
        </w:tc>
        <w:tc>
          <w:tcPr>
            <w:tcW w:w="1920" w:type="dxa"/>
            <w:gridSpan w:val="2"/>
            <w:noWrap/>
            <w:vAlign w:val="center"/>
            <w:hideMark/>
          </w:tcPr>
          <w:p w14:paraId="204CD997" w14:textId="0050B5DC" w:rsidR="00C50E84" w:rsidRPr="00F86D5F" w:rsidRDefault="00E76F39"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F86D5F">
              <w:rPr>
                <w:bCs w:val="0"/>
                <w:color w:val="000000"/>
                <w:sz w:val="20"/>
                <w:szCs w:val="20"/>
              </w:rPr>
              <w:t>CERTYFIKACJA</w:t>
            </w:r>
          </w:p>
        </w:tc>
      </w:tr>
      <w:tr w:rsidR="00010D8F" w:rsidRPr="00010D8F" w14:paraId="7695A44F" w14:textId="77777777" w:rsidTr="00F86D5F">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135" w:type="dxa"/>
            <w:vMerge/>
            <w:vAlign w:val="center"/>
            <w:hideMark/>
          </w:tcPr>
          <w:p w14:paraId="3A113894" w14:textId="77777777" w:rsidR="00010D8F" w:rsidRPr="00010D8F" w:rsidRDefault="00010D8F" w:rsidP="00F86D5F">
            <w:pPr>
              <w:spacing w:after="0" w:line="240" w:lineRule="auto"/>
              <w:jc w:val="center"/>
              <w:rPr>
                <w:b w:val="0"/>
                <w:bCs w:val="0"/>
                <w:color w:val="000000"/>
                <w:sz w:val="20"/>
                <w:szCs w:val="20"/>
              </w:rPr>
            </w:pPr>
          </w:p>
        </w:tc>
        <w:tc>
          <w:tcPr>
            <w:tcW w:w="1123" w:type="dxa"/>
            <w:vMerge/>
            <w:vAlign w:val="center"/>
            <w:hideMark/>
          </w:tcPr>
          <w:p w14:paraId="41B45FC1"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993" w:type="dxa"/>
            <w:vAlign w:val="center"/>
            <w:hideMark/>
          </w:tcPr>
          <w:p w14:paraId="3FCA4EB9"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mln EUR</w:t>
            </w:r>
          </w:p>
        </w:tc>
        <w:tc>
          <w:tcPr>
            <w:tcW w:w="1139" w:type="dxa"/>
            <w:vAlign w:val="center"/>
            <w:hideMark/>
          </w:tcPr>
          <w:p w14:paraId="4F3AE05B"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w:t>
            </w:r>
          </w:p>
        </w:tc>
        <w:tc>
          <w:tcPr>
            <w:tcW w:w="987" w:type="dxa"/>
            <w:vAlign w:val="center"/>
            <w:hideMark/>
          </w:tcPr>
          <w:p w14:paraId="20BDD209"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mln EUR</w:t>
            </w:r>
          </w:p>
        </w:tc>
        <w:tc>
          <w:tcPr>
            <w:tcW w:w="997" w:type="dxa"/>
            <w:vAlign w:val="center"/>
            <w:hideMark/>
          </w:tcPr>
          <w:p w14:paraId="2D2F67FB"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w:t>
            </w:r>
          </w:p>
        </w:tc>
        <w:tc>
          <w:tcPr>
            <w:tcW w:w="987" w:type="dxa"/>
            <w:vAlign w:val="center"/>
            <w:hideMark/>
          </w:tcPr>
          <w:p w14:paraId="0EB4D151"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mln EUR</w:t>
            </w:r>
          </w:p>
        </w:tc>
        <w:tc>
          <w:tcPr>
            <w:tcW w:w="709" w:type="dxa"/>
            <w:vAlign w:val="center"/>
            <w:hideMark/>
          </w:tcPr>
          <w:p w14:paraId="49CECEB1"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w:t>
            </w:r>
          </w:p>
        </w:tc>
        <w:tc>
          <w:tcPr>
            <w:tcW w:w="960" w:type="dxa"/>
            <w:vAlign w:val="center"/>
            <w:hideMark/>
          </w:tcPr>
          <w:p w14:paraId="1DDC33F8"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mln EUR</w:t>
            </w:r>
          </w:p>
        </w:tc>
        <w:tc>
          <w:tcPr>
            <w:tcW w:w="960" w:type="dxa"/>
            <w:vAlign w:val="center"/>
            <w:hideMark/>
          </w:tcPr>
          <w:p w14:paraId="23C27881" w14:textId="77777777" w:rsidR="00010D8F" w:rsidRPr="00010D8F" w:rsidRDefault="00010D8F"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010D8F">
              <w:rPr>
                <w:b/>
                <w:bCs/>
                <w:sz w:val="20"/>
                <w:szCs w:val="20"/>
              </w:rPr>
              <w:t>%</w:t>
            </w:r>
          </w:p>
        </w:tc>
      </w:tr>
      <w:tr w:rsidR="00010D8F" w:rsidRPr="00010D8F" w14:paraId="6695F792" w14:textId="77777777" w:rsidTr="00F86D5F">
        <w:trPr>
          <w:trHeight w:val="315"/>
        </w:trPr>
        <w:tc>
          <w:tcPr>
            <w:cnfStyle w:val="001000000000" w:firstRow="0" w:lastRow="0" w:firstColumn="1" w:lastColumn="0" w:oddVBand="0" w:evenVBand="0" w:oddHBand="0" w:evenHBand="0" w:firstRowFirstColumn="0" w:firstRowLastColumn="0" w:lastRowFirstColumn="0" w:lastRowLastColumn="0"/>
            <w:tcW w:w="1135" w:type="dxa"/>
            <w:noWrap/>
            <w:vAlign w:val="center"/>
            <w:hideMark/>
          </w:tcPr>
          <w:p w14:paraId="65CD546C" w14:textId="77777777" w:rsidR="00010D8F" w:rsidRPr="00010D8F" w:rsidRDefault="00010D8F">
            <w:pPr>
              <w:spacing w:after="0" w:line="240" w:lineRule="auto"/>
              <w:jc w:val="center"/>
              <w:rPr>
                <w:b w:val="0"/>
                <w:bCs w:val="0"/>
                <w:color w:val="000000"/>
                <w:sz w:val="20"/>
                <w:szCs w:val="20"/>
              </w:rPr>
            </w:pPr>
            <w:r w:rsidRPr="00010D8F">
              <w:rPr>
                <w:b w:val="0"/>
                <w:bCs w:val="0"/>
                <w:color w:val="000000"/>
                <w:sz w:val="20"/>
                <w:szCs w:val="20"/>
              </w:rPr>
              <w:t>3.1</w:t>
            </w:r>
          </w:p>
        </w:tc>
        <w:tc>
          <w:tcPr>
            <w:tcW w:w="1123" w:type="dxa"/>
            <w:noWrap/>
            <w:vAlign w:val="center"/>
            <w:hideMark/>
          </w:tcPr>
          <w:p w14:paraId="112C9877"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10D8F">
              <w:rPr>
                <w:sz w:val="20"/>
                <w:szCs w:val="20"/>
              </w:rPr>
              <w:t>24,74</w:t>
            </w:r>
          </w:p>
        </w:tc>
        <w:tc>
          <w:tcPr>
            <w:tcW w:w="993" w:type="dxa"/>
            <w:noWrap/>
            <w:vAlign w:val="center"/>
            <w:hideMark/>
          </w:tcPr>
          <w:p w14:paraId="76E1CFEA"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36,94</w:t>
            </w:r>
          </w:p>
        </w:tc>
        <w:tc>
          <w:tcPr>
            <w:tcW w:w="1139" w:type="dxa"/>
            <w:noWrap/>
            <w:vAlign w:val="center"/>
            <w:hideMark/>
          </w:tcPr>
          <w:p w14:paraId="4FF2372C"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149,31</w:t>
            </w:r>
          </w:p>
        </w:tc>
        <w:tc>
          <w:tcPr>
            <w:tcW w:w="987" w:type="dxa"/>
            <w:noWrap/>
            <w:vAlign w:val="center"/>
            <w:hideMark/>
          </w:tcPr>
          <w:p w14:paraId="1A3B73DF"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22,30</w:t>
            </w:r>
          </w:p>
        </w:tc>
        <w:tc>
          <w:tcPr>
            <w:tcW w:w="997" w:type="dxa"/>
            <w:noWrap/>
            <w:vAlign w:val="center"/>
            <w:hideMark/>
          </w:tcPr>
          <w:p w14:paraId="75D8E02A"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90,14</w:t>
            </w:r>
          </w:p>
        </w:tc>
        <w:tc>
          <w:tcPr>
            <w:tcW w:w="987" w:type="dxa"/>
            <w:noWrap/>
            <w:vAlign w:val="center"/>
            <w:hideMark/>
          </w:tcPr>
          <w:p w14:paraId="1C1CA744"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23,04</w:t>
            </w:r>
          </w:p>
        </w:tc>
        <w:tc>
          <w:tcPr>
            <w:tcW w:w="709" w:type="dxa"/>
            <w:noWrap/>
            <w:vAlign w:val="center"/>
            <w:hideMark/>
          </w:tcPr>
          <w:p w14:paraId="1249A6DC"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93,13</w:t>
            </w:r>
          </w:p>
        </w:tc>
        <w:tc>
          <w:tcPr>
            <w:tcW w:w="960" w:type="dxa"/>
            <w:vAlign w:val="center"/>
            <w:hideMark/>
          </w:tcPr>
          <w:p w14:paraId="2E930084"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10D8F">
              <w:rPr>
                <w:sz w:val="20"/>
                <w:szCs w:val="20"/>
              </w:rPr>
              <w:t>23,95</w:t>
            </w:r>
          </w:p>
        </w:tc>
        <w:tc>
          <w:tcPr>
            <w:tcW w:w="960" w:type="dxa"/>
            <w:noWrap/>
            <w:vAlign w:val="center"/>
            <w:hideMark/>
          </w:tcPr>
          <w:p w14:paraId="5887A370"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96,81</w:t>
            </w:r>
          </w:p>
        </w:tc>
      </w:tr>
      <w:tr w:rsidR="00010D8F" w:rsidRPr="00010D8F" w14:paraId="7F6CFB9A" w14:textId="77777777" w:rsidTr="00F86D5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35" w:type="dxa"/>
            <w:noWrap/>
            <w:vAlign w:val="center"/>
            <w:hideMark/>
          </w:tcPr>
          <w:p w14:paraId="22478DDB" w14:textId="77777777" w:rsidR="00010D8F" w:rsidRPr="00010D8F" w:rsidRDefault="00010D8F">
            <w:pPr>
              <w:spacing w:after="0" w:line="240" w:lineRule="auto"/>
              <w:jc w:val="center"/>
              <w:rPr>
                <w:b w:val="0"/>
                <w:bCs w:val="0"/>
                <w:color w:val="000000"/>
                <w:sz w:val="20"/>
                <w:szCs w:val="20"/>
              </w:rPr>
            </w:pPr>
            <w:r w:rsidRPr="00010D8F">
              <w:rPr>
                <w:b w:val="0"/>
                <w:bCs w:val="0"/>
                <w:color w:val="000000"/>
                <w:sz w:val="20"/>
                <w:szCs w:val="20"/>
              </w:rPr>
              <w:t>3.2</w:t>
            </w:r>
          </w:p>
        </w:tc>
        <w:tc>
          <w:tcPr>
            <w:tcW w:w="1123" w:type="dxa"/>
            <w:noWrap/>
            <w:vAlign w:val="center"/>
            <w:hideMark/>
          </w:tcPr>
          <w:p w14:paraId="2E19E107"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10D8F">
              <w:rPr>
                <w:sz w:val="20"/>
                <w:szCs w:val="20"/>
              </w:rPr>
              <w:t>77,71</w:t>
            </w:r>
          </w:p>
        </w:tc>
        <w:tc>
          <w:tcPr>
            <w:tcW w:w="993" w:type="dxa"/>
            <w:noWrap/>
            <w:vAlign w:val="center"/>
            <w:hideMark/>
          </w:tcPr>
          <w:p w14:paraId="31DA948C"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94,62</w:t>
            </w:r>
          </w:p>
        </w:tc>
        <w:tc>
          <w:tcPr>
            <w:tcW w:w="1139" w:type="dxa"/>
            <w:noWrap/>
            <w:vAlign w:val="center"/>
            <w:hideMark/>
          </w:tcPr>
          <w:p w14:paraId="298191E2"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121,76</w:t>
            </w:r>
          </w:p>
        </w:tc>
        <w:tc>
          <w:tcPr>
            <w:tcW w:w="987" w:type="dxa"/>
            <w:noWrap/>
            <w:vAlign w:val="center"/>
            <w:hideMark/>
          </w:tcPr>
          <w:p w14:paraId="6AC64877"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72,87</w:t>
            </w:r>
          </w:p>
        </w:tc>
        <w:tc>
          <w:tcPr>
            <w:tcW w:w="997" w:type="dxa"/>
            <w:noWrap/>
            <w:vAlign w:val="center"/>
            <w:hideMark/>
          </w:tcPr>
          <w:p w14:paraId="53D6F45E"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93,77</w:t>
            </w:r>
          </w:p>
        </w:tc>
        <w:tc>
          <w:tcPr>
            <w:tcW w:w="987" w:type="dxa"/>
            <w:noWrap/>
            <w:vAlign w:val="center"/>
            <w:hideMark/>
          </w:tcPr>
          <w:p w14:paraId="78698CCB"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72,06</w:t>
            </w:r>
          </w:p>
        </w:tc>
        <w:tc>
          <w:tcPr>
            <w:tcW w:w="709" w:type="dxa"/>
            <w:noWrap/>
            <w:vAlign w:val="center"/>
            <w:hideMark/>
          </w:tcPr>
          <w:p w14:paraId="044B2F00"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92,73</w:t>
            </w:r>
          </w:p>
        </w:tc>
        <w:tc>
          <w:tcPr>
            <w:tcW w:w="960" w:type="dxa"/>
            <w:vAlign w:val="center"/>
            <w:hideMark/>
          </w:tcPr>
          <w:p w14:paraId="5356D22A" w14:textId="5CF4281E" w:rsidR="00010D8F" w:rsidRPr="00010D8F" w:rsidRDefault="00D771D3">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74,98 </w:t>
            </w:r>
          </w:p>
        </w:tc>
        <w:tc>
          <w:tcPr>
            <w:tcW w:w="960" w:type="dxa"/>
            <w:noWrap/>
            <w:vAlign w:val="center"/>
            <w:hideMark/>
          </w:tcPr>
          <w:p w14:paraId="44C973D1" w14:textId="1CD21585" w:rsidR="00010D8F" w:rsidRPr="00010D8F" w:rsidRDefault="00D771D3">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 96,4</w:t>
            </w:r>
            <w:r w:rsidR="00710E9D">
              <w:rPr>
                <w:color w:val="000000"/>
                <w:sz w:val="20"/>
                <w:szCs w:val="20"/>
              </w:rPr>
              <w:t>9</w:t>
            </w:r>
          </w:p>
        </w:tc>
      </w:tr>
      <w:tr w:rsidR="00010D8F" w:rsidRPr="00010D8F" w14:paraId="6A1C087C" w14:textId="77777777" w:rsidTr="00F86D5F">
        <w:trPr>
          <w:trHeight w:val="315"/>
        </w:trPr>
        <w:tc>
          <w:tcPr>
            <w:cnfStyle w:val="001000000000" w:firstRow="0" w:lastRow="0" w:firstColumn="1" w:lastColumn="0" w:oddVBand="0" w:evenVBand="0" w:oddHBand="0" w:evenHBand="0" w:firstRowFirstColumn="0" w:firstRowLastColumn="0" w:lastRowFirstColumn="0" w:lastRowLastColumn="0"/>
            <w:tcW w:w="1135" w:type="dxa"/>
            <w:noWrap/>
            <w:vAlign w:val="center"/>
            <w:hideMark/>
          </w:tcPr>
          <w:p w14:paraId="12FD4B9E" w14:textId="77777777" w:rsidR="00010D8F" w:rsidRPr="00010D8F" w:rsidRDefault="00010D8F">
            <w:pPr>
              <w:spacing w:after="0" w:line="240" w:lineRule="auto"/>
              <w:jc w:val="center"/>
              <w:rPr>
                <w:b w:val="0"/>
                <w:bCs w:val="0"/>
                <w:color w:val="000000"/>
                <w:sz w:val="20"/>
                <w:szCs w:val="20"/>
              </w:rPr>
            </w:pPr>
            <w:r w:rsidRPr="00010D8F">
              <w:rPr>
                <w:b w:val="0"/>
                <w:bCs w:val="0"/>
                <w:color w:val="000000"/>
                <w:sz w:val="20"/>
                <w:szCs w:val="20"/>
              </w:rPr>
              <w:t>3.3</w:t>
            </w:r>
          </w:p>
        </w:tc>
        <w:tc>
          <w:tcPr>
            <w:tcW w:w="1123" w:type="dxa"/>
            <w:noWrap/>
            <w:vAlign w:val="center"/>
            <w:hideMark/>
          </w:tcPr>
          <w:p w14:paraId="1A4AABDE"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10D8F">
              <w:rPr>
                <w:sz w:val="20"/>
                <w:szCs w:val="20"/>
              </w:rPr>
              <w:t>4,07</w:t>
            </w:r>
          </w:p>
        </w:tc>
        <w:tc>
          <w:tcPr>
            <w:tcW w:w="993" w:type="dxa"/>
            <w:noWrap/>
            <w:vAlign w:val="center"/>
            <w:hideMark/>
          </w:tcPr>
          <w:p w14:paraId="3DB0115B"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4,27</w:t>
            </w:r>
          </w:p>
        </w:tc>
        <w:tc>
          <w:tcPr>
            <w:tcW w:w="1139" w:type="dxa"/>
            <w:noWrap/>
            <w:vAlign w:val="center"/>
            <w:hideMark/>
          </w:tcPr>
          <w:p w14:paraId="2696A242"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104,91</w:t>
            </w:r>
          </w:p>
        </w:tc>
        <w:tc>
          <w:tcPr>
            <w:tcW w:w="987" w:type="dxa"/>
            <w:noWrap/>
            <w:vAlign w:val="center"/>
            <w:hideMark/>
          </w:tcPr>
          <w:p w14:paraId="7BDB7B6A"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3,61</w:t>
            </w:r>
          </w:p>
        </w:tc>
        <w:tc>
          <w:tcPr>
            <w:tcW w:w="997" w:type="dxa"/>
            <w:noWrap/>
            <w:vAlign w:val="center"/>
            <w:hideMark/>
          </w:tcPr>
          <w:p w14:paraId="2E1A8F9D"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88,70</w:t>
            </w:r>
          </w:p>
        </w:tc>
        <w:tc>
          <w:tcPr>
            <w:tcW w:w="987" w:type="dxa"/>
            <w:noWrap/>
            <w:vAlign w:val="center"/>
            <w:hideMark/>
          </w:tcPr>
          <w:p w14:paraId="4C04487C"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3,54</w:t>
            </w:r>
          </w:p>
        </w:tc>
        <w:tc>
          <w:tcPr>
            <w:tcW w:w="709" w:type="dxa"/>
            <w:noWrap/>
            <w:vAlign w:val="center"/>
            <w:hideMark/>
          </w:tcPr>
          <w:p w14:paraId="5B5D9DB4"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10D8F">
              <w:rPr>
                <w:color w:val="000000"/>
                <w:sz w:val="20"/>
                <w:szCs w:val="20"/>
              </w:rPr>
              <w:t>86,98</w:t>
            </w:r>
          </w:p>
        </w:tc>
        <w:tc>
          <w:tcPr>
            <w:tcW w:w="960" w:type="dxa"/>
            <w:vAlign w:val="center"/>
            <w:hideMark/>
          </w:tcPr>
          <w:p w14:paraId="3177E85F" w14:textId="77777777" w:rsidR="00010D8F" w:rsidRPr="00010D8F" w:rsidRDefault="00010D8F">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10D8F">
              <w:rPr>
                <w:sz w:val="20"/>
                <w:szCs w:val="20"/>
              </w:rPr>
              <w:t>3,66</w:t>
            </w:r>
          </w:p>
        </w:tc>
        <w:tc>
          <w:tcPr>
            <w:tcW w:w="960" w:type="dxa"/>
            <w:noWrap/>
            <w:vAlign w:val="center"/>
            <w:hideMark/>
          </w:tcPr>
          <w:p w14:paraId="601A4027" w14:textId="429046B0" w:rsidR="00010D8F" w:rsidRPr="00010D8F" w:rsidRDefault="00D771D3">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89,87 </w:t>
            </w:r>
          </w:p>
        </w:tc>
      </w:tr>
      <w:tr w:rsidR="00010D8F" w:rsidRPr="00010D8F" w14:paraId="1505F631" w14:textId="77777777" w:rsidTr="00F86D5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35" w:type="dxa"/>
            <w:noWrap/>
            <w:vAlign w:val="center"/>
            <w:hideMark/>
          </w:tcPr>
          <w:p w14:paraId="507E619A" w14:textId="77777777" w:rsidR="00010D8F" w:rsidRPr="00010D8F" w:rsidRDefault="00010D8F">
            <w:pPr>
              <w:spacing w:after="0" w:line="240" w:lineRule="auto"/>
              <w:jc w:val="center"/>
              <w:rPr>
                <w:b w:val="0"/>
                <w:bCs w:val="0"/>
                <w:color w:val="000000"/>
                <w:sz w:val="20"/>
                <w:szCs w:val="20"/>
              </w:rPr>
            </w:pPr>
            <w:r w:rsidRPr="00010D8F">
              <w:rPr>
                <w:b w:val="0"/>
                <w:bCs w:val="0"/>
                <w:color w:val="000000"/>
                <w:sz w:val="20"/>
                <w:szCs w:val="20"/>
              </w:rPr>
              <w:t>3.4</w:t>
            </w:r>
          </w:p>
        </w:tc>
        <w:tc>
          <w:tcPr>
            <w:tcW w:w="1123" w:type="dxa"/>
            <w:noWrap/>
            <w:vAlign w:val="center"/>
            <w:hideMark/>
          </w:tcPr>
          <w:p w14:paraId="1B7321A5"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10D8F">
              <w:rPr>
                <w:sz w:val="20"/>
                <w:szCs w:val="20"/>
              </w:rPr>
              <w:t>3,89</w:t>
            </w:r>
          </w:p>
        </w:tc>
        <w:tc>
          <w:tcPr>
            <w:tcW w:w="993" w:type="dxa"/>
            <w:noWrap/>
            <w:vAlign w:val="center"/>
            <w:hideMark/>
          </w:tcPr>
          <w:p w14:paraId="2ADE8279"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4,13</w:t>
            </w:r>
          </w:p>
        </w:tc>
        <w:tc>
          <w:tcPr>
            <w:tcW w:w="1139" w:type="dxa"/>
            <w:noWrap/>
            <w:vAlign w:val="center"/>
            <w:hideMark/>
          </w:tcPr>
          <w:p w14:paraId="35401308"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106,17</w:t>
            </w:r>
          </w:p>
        </w:tc>
        <w:tc>
          <w:tcPr>
            <w:tcW w:w="987" w:type="dxa"/>
            <w:noWrap/>
            <w:vAlign w:val="center"/>
            <w:hideMark/>
          </w:tcPr>
          <w:p w14:paraId="7626E0C9"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3,56</w:t>
            </w:r>
          </w:p>
        </w:tc>
        <w:tc>
          <w:tcPr>
            <w:tcW w:w="997" w:type="dxa"/>
            <w:noWrap/>
            <w:vAlign w:val="center"/>
            <w:hideMark/>
          </w:tcPr>
          <w:p w14:paraId="4C8A78C7"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91,52</w:t>
            </w:r>
          </w:p>
        </w:tc>
        <w:tc>
          <w:tcPr>
            <w:tcW w:w="987" w:type="dxa"/>
            <w:noWrap/>
            <w:vAlign w:val="center"/>
            <w:hideMark/>
          </w:tcPr>
          <w:p w14:paraId="77484A93"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3,56</w:t>
            </w:r>
          </w:p>
        </w:tc>
        <w:tc>
          <w:tcPr>
            <w:tcW w:w="709" w:type="dxa"/>
            <w:noWrap/>
            <w:vAlign w:val="center"/>
            <w:hideMark/>
          </w:tcPr>
          <w:p w14:paraId="2B61D2E7"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10D8F">
              <w:rPr>
                <w:color w:val="000000"/>
                <w:sz w:val="20"/>
                <w:szCs w:val="20"/>
              </w:rPr>
              <w:t>91,52</w:t>
            </w:r>
          </w:p>
        </w:tc>
        <w:tc>
          <w:tcPr>
            <w:tcW w:w="960" w:type="dxa"/>
            <w:vAlign w:val="center"/>
            <w:hideMark/>
          </w:tcPr>
          <w:p w14:paraId="62E4B82A" w14:textId="77777777" w:rsidR="00010D8F" w:rsidRPr="00010D8F" w:rsidRDefault="00010D8F">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10D8F">
              <w:rPr>
                <w:sz w:val="20"/>
                <w:szCs w:val="20"/>
              </w:rPr>
              <w:t>3,84</w:t>
            </w:r>
          </w:p>
        </w:tc>
        <w:tc>
          <w:tcPr>
            <w:tcW w:w="960" w:type="dxa"/>
            <w:noWrap/>
            <w:vAlign w:val="center"/>
            <w:hideMark/>
          </w:tcPr>
          <w:p w14:paraId="7B7A11B3" w14:textId="33F4B0B2" w:rsidR="00010D8F" w:rsidRPr="00010D8F" w:rsidRDefault="00D771D3">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98,72 </w:t>
            </w:r>
          </w:p>
        </w:tc>
      </w:tr>
    </w:tbl>
    <w:p w14:paraId="44E8919A" w14:textId="77777777" w:rsidR="00010D8F" w:rsidRPr="00010D8F" w:rsidRDefault="00010D8F" w:rsidP="00010D8F">
      <w:pPr>
        <w:ind w:left="-993"/>
      </w:pPr>
    </w:p>
    <w:p w14:paraId="61796384" w14:textId="77777777" w:rsidR="001A6330" w:rsidRPr="00CE5950" w:rsidRDefault="001A6330" w:rsidP="001A6330">
      <w:pPr>
        <w:spacing w:after="120"/>
        <w:jc w:val="both"/>
        <w:rPr>
          <w:b/>
          <w:szCs w:val="24"/>
        </w:rPr>
      </w:pPr>
      <w:r w:rsidRPr="00CE5950">
        <w:rPr>
          <w:b/>
          <w:szCs w:val="24"/>
        </w:rPr>
        <w:t>Projekty kluczowe</w:t>
      </w:r>
    </w:p>
    <w:p w14:paraId="08EB96B3" w14:textId="015DD8DC" w:rsidR="001A6330" w:rsidRPr="001A6330" w:rsidRDefault="001A6330" w:rsidP="001A6330">
      <w:pPr>
        <w:spacing w:after="120"/>
        <w:jc w:val="both"/>
        <w:rPr>
          <w:szCs w:val="24"/>
        </w:rPr>
      </w:pPr>
      <w:r w:rsidRPr="001A6330">
        <w:rPr>
          <w:szCs w:val="24"/>
        </w:rPr>
        <w:t xml:space="preserve">W ramach priorytetu realizowany </w:t>
      </w:r>
      <w:r w:rsidR="00F86D5F">
        <w:rPr>
          <w:szCs w:val="24"/>
        </w:rPr>
        <w:t>był</w:t>
      </w:r>
      <w:r w:rsidRPr="001A6330">
        <w:rPr>
          <w:szCs w:val="24"/>
        </w:rPr>
        <w:t xml:space="preserve"> jeden projekt kluczowy znajdujący się w IWIPK </w:t>
      </w:r>
      <w:r w:rsidRPr="001A6330">
        <w:rPr>
          <w:i/>
          <w:szCs w:val="24"/>
        </w:rPr>
        <w:t>Rozwój infrastruktury turystycznej Subregionu Południowego</w:t>
      </w:r>
      <w:r w:rsidRPr="001A6330">
        <w:rPr>
          <w:szCs w:val="24"/>
        </w:rPr>
        <w:t xml:space="preserve">. Szczegółowe informacje dot. projektu zostały przedstawione w załączniku nr </w:t>
      </w:r>
      <w:r w:rsidR="006B2D88">
        <w:rPr>
          <w:szCs w:val="24"/>
        </w:rPr>
        <w:t xml:space="preserve">XII </w:t>
      </w:r>
      <w:r w:rsidRPr="001A6330">
        <w:rPr>
          <w:szCs w:val="24"/>
        </w:rPr>
        <w:t>do </w:t>
      </w:r>
      <w:r w:rsidRPr="001A6330">
        <w:rPr>
          <w:i/>
          <w:szCs w:val="24"/>
        </w:rPr>
        <w:t>Sprawozdania.</w:t>
      </w:r>
    </w:p>
    <w:p w14:paraId="76BE82ED" w14:textId="77777777" w:rsidR="00832C38" w:rsidRDefault="00832C38">
      <w:pPr>
        <w:spacing w:after="0" w:line="240" w:lineRule="auto"/>
        <w:rPr>
          <w:b/>
          <w:szCs w:val="24"/>
          <w:lang w:eastAsia="ar-SA"/>
        </w:rPr>
      </w:pPr>
      <w:r>
        <w:rPr>
          <w:b/>
          <w:szCs w:val="24"/>
          <w:lang w:eastAsia="ar-SA"/>
        </w:rPr>
        <w:br w:type="page"/>
      </w:r>
    </w:p>
    <w:p w14:paraId="5100F90A" w14:textId="5C9C643E" w:rsidR="001A6330" w:rsidRPr="00CE5950" w:rsidRDefault="001A6330" w:rsidP="001A6330">
      <w:pPr>
        <w:spacing w:after="120"/>
        <w:jc w:val="both"/>
        <w:rPr>
          <w:b/>
          <w:szCs w:val="24"/>
          <w:lang w:eastAsia="ar-SA"/>
        </w:rPr>
      </w:pPr>
      <w:r w:rsidRPr="00CE5950">
        <w:rPr>
          <w:b/>
          <w:szCs w:val="24"/>
          <w:lang w:eastAsia="ar-SA"/>
        </w:rPr>
        <w:lastRenderedPageBreak/>
        <w:t>Harmonogram konkursów</w:t>
      </w:r>
    </w:p>
    <w:p w14:paraId="50F81AB5" w14:textId="10075ABC" w:rsidR="00A44293" w:rsidRPr="00B8015D" w:rsidRDefault="001A6330" w:rsidP="00B8015D">
      <w:pPr>
        <w:pStyle w:val="Legenda"/>
        <w:spacing w:line="276" w:lineRule="auto"/>
        <w:jc w:val="both"/>
        <w:rPr>
          <w:b w:val="0"/>
          <w:color w:val="auto"/>
          <w:sz w:val="24"/>
          <w:szCs w:val="24"/>
        </w:rPr>
      </w:pPr>
      <w:r w:rsidRPr="0010188F">
        <w:rPr>
          <w:b w:val="0"/>
          <w:color w:val="auto"/>
          <w:sz w:val="24"/>
          <w:szCs w:val="24"/>
          <w:lang w:eastAsia="ar-SA"/>
        </w:rPr>
        <w:t xml:space="preserve">Od uruchomienia Programu w ramach priorytetu ogłoszono 13 konkursów na kwotę 72,88 mln EUR. </w:t>
      </w:r>
      <w:bookmarkEnd w:id="337"/>
      <w:bookmarkEnd w:id="338"/>
      <w:bookmarkEnd w:id="339"/>
    </w:p>
    <w:p w14:paraId="54A76A7B" w14:textId="0341475B" w:rsidR="004A622C" w:rsidRDefault="000E197A" w:rsidP="004A622C">
      <w:pPr>
        <w:pStyle w:val="Akapitzlist"/>
        <w:spacing w:before="120" w:after="240"/>
        <w:ind w:left="0"/>
        <w:jc w:val="both"/>
        <w:rPr>
          <w:b/>
          <w:szCs w:val="24"/>
          <w:lang w:eastAsia="ar-SA"/>
        </w:rPr>
      </w:pPr>
      <w:r w:rsidRPr="0010188F">
        <w:rPr>
          <w:b/>
          <w:szCs w:val="24"/>
          <w:lang w:eastAsia="ar-SA"/>
        </w:rPr>
        <w:t>Rozkład projektów</w:t>
      </w:r>
    </w:p>
    <w:p w14:paraId="31C8AD47" w14:textId="08551D08" w:rsidR="004E6046" w:rsidRDefault="004E6046" w:rsidP="004E6046">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w:t>
      </w:r>
      <w:r w:rsidRPr="00D90934">
        <w:rPr>
          <w:szCs w:val="24"/>
          <w:lang w:eastAsia="ar-SA"/>
        </w:rPr>
        <w:t>w przypadkach braku danych w KS</w:t>
      </w:r>
      <w:r>
        <w:rPr>
          <w:szCs w:val="24"/>
          <w:lang w:eastAsia="ar-SA"/>
        </w:rPr>
        <w:t>I dane pochodzą z LSI.</w:t>
      </w:r>
    </w:p>
    <w:p w14:paraId="6E08F4C6" w14:textId="77777777" w:rsidR="00126975" w:rsidRPr="004E6046" w:rsidRDefault="00126975" w:rsidP="004E6046">
      <w:pPr>
        <w:pStyle w:val="Akapitzlist"/>
        <w:spacing w:before="120" w:after="240"/>
        <w:ind w:left="0"/>
        <w:jc w:val="both"/>
        <w:rPr>
          <w:szCs w:val="24"/>
          <w:lang w:eastAsia="ar-SA"/>
        </w:rPr>
      </w:pPr>
    </w:p>
    <w:p w14:paraId="35ACDB4F" w14:textId="77777777" w:rsidR="004A622C" w:rsidRPr="00126975" w:rsidRDefault="004A622C" w:rsidP="00126975">
      <w:pPr>
        <w:pStyle w:val="Akapitzlist"/>
        <w:numPr>
          <w:ilvl w:val="0"/>
          <w:numId w:val="102"/>
        </w:numPr>
        <w:spacing w:after="120"/>
        <w:jc w:val="both"/>
        <w:rPr>
          <w:b/>
          <w:szCs w:val="24"/>
          <w:lang w:eastAsia="ar-SA"/>
        </w:rPr>
      </w:pPr>
      <w:r w:rsidRPr="00126975">
        <w:rPr>
          <w:b/>
          <w:szCs w:val="24"/>
          <w:lang w:eastAsia="ar-SA"/>
        </w:rPr>
        <w:t>Projekty w podziale na sektory gospodarki</w:t>
      </w:r>
    </w:p>
    <w:p w14:paraId="4806E442" w14:textId="4E351990" w:rsidR="00EB75BE" w:rsidRPr="00772EC8" w:rsidRDefault="00EB75BE" w:rsidP="00EB75BE">
      <w:pPr>
        <w:jc w:val="both"/>
      </w:pPr>
      <w:r w:rsidRPr="00A42DB0">
        <w:t xml:space="preserve">W ramach priorytetu III dominującym PKD projektów jest 55.10.Z Hotele i podobne obiekty zakwaterowania (106 projektów o wartości EFRR </w:t>
      </w:r>
      <w:r>
        <w:t>11, 65 mln EUR</w:t>
      </w:r>
      <w:r w:rsidRPr="00A42DB0">
        <w:t>) oraz 56.10.A Restauracje</w:t>
      </w:r>
      <w:r w:rsidRPr="00772EC8">
        <w:t xml:space="preserve"> i inne stałe placówki gastronomiczne (</w:t>
      </w:r>
      <w:r>
        <w:t>103 projekty</w:t>
      </w:r>
      <w:r w:rsidRPr="00772EC8">
        <w:t xml:space="preserve"> o wartości EFRR</w:t>
      </w:r>
      <w:r>
        <w:t xml:space="preserve"> 7,64 mln EUR</w:t>
      </w:r>
      <w:r w:rsidRPr="00F55803">
        <w:t>).</w:t>
      </w:r>
      <w:r w:rsidRPr="00772EC8">
        <w:t xml:space="preserve"> </w:t>
      </w:r>
    </w:p>
    <w:p w14:paraId="518C3576" w14:textId="592564FF" w:rsidR="004E6046" w:rsidRPr="00EB75BE" w:rsidRDefault="000D34C2" w:rsidP="00EB75BE">
      <w:pPr>
        <w:pStyle w:val="Legenda"/>
        <w:rPr>
          <w:b w:val="0"/>
          <w:color w:val="auto"/>
          <w:sz w:val="20"/>
          <w:szCs w:val="20"/>
          <w:lang w:eastAsia="ar-SA"/>
        </w:rPr>
      </w:pPr>
      <w:bookmarkStart w:id="341" w:name="_Toc476131802"/>
      <w:r>
        <w:rPr>
          <w:color w:val="auto"/>
          <w:sz w:val="20"/>
          <w:szCs w:val="20"/>
        </w:rPr>
        <w:t>Tabela</w:t>
      </w:r>
      <w:r w:rsidR="00EB75BE" w:rsidRPr="00EB75BE">
        <w:rPr>
          <w:color w:val="auto"/>
          <w:sz w:val="20"/>
          <w:szCs w:val="20"/>
        </w:rPr>
        <w:t xml:space="preserve"> </w:t>
      </w:r>
      <w:r>
        <w:rPr>
          <w:color w:val="auto"/>
          <w:sz w:val="20"/>
          <w:szCs w:val="20"/>
        </w:rPr>
        <w:fldChar w:fldCharType="begin"/>
      </w:r>
      <w:r>
        <w:rPr>
          <w:color w:val="auto"/>
          <w:sz w:val="20"/>
          <w:szCs w:val="20"/>
        </w:rPr>
        <w:instrText xml:space="preserve"> SEQ Tabela \* ARABIC </w:instrText>
      </w:r>
      <w:r>
        <w:rPr>
          <w:color w:val="auto"/>
          <w:sz w:val="20"/>
          <w:szCs w:val="20"/>
        </w:rPr>
        <w:fldChar w:fldCharType="separate"/>
      </w:r>
      <w:r w:rsidR="0050297D">
        <w:rPr>
          <w:noProof/>
          <w:color w:val="auto"/>
          <w:sz w:val="20"/>
          <w:szCs w:val="20"/>
        </w:rPr>
        <w:t>19</w:t>
      </w:r>
      <w:r>
        <w:rPr>
          <w:color w:val="auto"/>
          <w:sz w:val="20"/>
          <w:szCs w:val="20"/>
        </w:rPr>
        <w:fldChar w:fldCharType="end"/>
      </w:r>
      <w:r w:rsidR="00EB75BE" w:rsidRPr="00EB75BE">
        <w:rPr>
          <w:color w:val="auto"/>
          <w:sz w:val="20"/>
          <w:szCs w:val="20"/>
        </w:rPr>
        <w:t xml:space="preserve"> </w:t>
      </w:r>
      <w:r w:rsidR="00EB75BE" w:rsidRPr="00EB75BE">
        <w:rPr>
          <w:b w:val="0"/>
          <w:i/>
          <w:color w:val="auto"/>
          <w:sz w:val="20"/>
          <w:szCs w:val="20"/>
        </w:rPr>
        <w:t xml:space="preserve">Rozkład projektów </w:t>
      </w:r>
      <w:r w:rsidR="009E3592">
        <w:rPr>
          <w:b w:val="0"/>
          <w:i/>
          <w:color w:val="auto"/>
          <w:sz w:val="20"/>
          <w:szCs w:val="20"/>
        </w:rPr>
        <w:t>w ramach priorytetu III</w:t>
      </w:r>
      <w:r w:rsidR="00A44293">
        <w:rPr>
          <w:b w:val="0"/>
          <w:i/>
          <w:color w:val="auto"/>
          <w:sz w:val="20"/>
          <w:szCs w:val="20"/>
        </w:rPr>
        <w:t xml:space="preserve"> </w:t>
      </w:r>
      <w:r w:rsidR="00EB75BE" w:rsidRPr="00EB75BE">
        <w:rPr>
          <w:b w:val="0"/>
          <w:i/>
          <w:color w:val="auto"/>
          <w:sz w:val="20"/>
          <w:szCs w:val="20"/>
        </w:rPr>
        <w:t>w podziale na sektory gospodarki</w:t>
      </w:r>
      <w:bookmarkEnd w:id="341"/>
    </w:p>
    <w:tbl>
      <w:tblPr>
        <w:tblStyle w:val="Tabelalisty3akcent61"/>
        <w:tblW w:w="9776" w:type="dxa"/>
        <w:tblLayout w:type="fixed"/>
        <w:tblLook w:val="04A0" w:firstRow="1" w:lastRow="0" w:firstColumn="1" w:lastColumn="0" w:noHBand="0" w:noVBand="1"/>
      </w:tblPr>
      <w:tblGrid>
        <w:gridCol w:w="6091"/>
        <w:gridCol w:w="992"/>
        <w:gridCol w:w="2693"/>
      </w:tblGrid>
      <w:tr w:rsidR="00EB75BE" w:rsidRPr="004E6046" w14:paraId="45A70EE1" w14:textId="77777777" w:rsidTr="00F86D5F">
        <w:trPr>
          <w:cnfStyle w:val="100000000000" w:firstRow="1" w:lastRow="0" w:firstColumn="0" w:lastColumn="0" w:oddVBand="0" w:evenVBand="0" w:oddHBand="0" w:evenHBand="0" w:firstRowFirstColumn="0" w:firstRowLastColumn="0" w:lastRowFirstColumn="0" w:lastRowLastColumn="0"/>
          <w:trHeight w:val="499"/>
        </w:trPr>
        <w:tc>
          <w:tcPr>
            <w:cnfStyle w:val="001000000100" w:firstRow="0" w:lastRow="0" w:firstColumn="1" w:lastColumn="0" w:oddVBand="0" w:evenVBand="0" w:oddHBand="0" w:evenHBand="0" w:firstRowFirstColumn="1" w:firstRowLastColumn="0" w:lastRowFirstColumn="0" w:lastRowLastColumn="0"/>
            <w:tcW w:w="6091" w:type="dxa"/>
            <w:vAlign w:val="center"/>
            <w:hideMark/>
          </w:tcPr>
          <w:p w14:paraId="69E9EF4D" w14:textId="77777777" w:rsidR="004E6046" w:rsidRPr="004E6046" w:rsidRDefault="004E6046" w:rsidP="00F86D5F">
            <w:pPr>
              <w:spacing w:after="0" w:line="240" w:lineRule="auto"/>
              <w:jc w:val="center"/>
              <w:rPr>
                <w:color w:val="000000"/>
                <w:sz w:val="20"/>
                <w:szCs w:val="20"/>
              </w:rPr>
            </w:pPr>
            <w:r w:rsidRPr="004E6046">
              <w:rPr>
                <w:color w:val="000000"/>
                <w:sz w:val="20"/>
                <w:szCs w:val="20"/>
              </w:rPr>
              <w:t>SEKCJA</w:t>
            </w:r>
          </w:p>
        </w:tc>
        <w:tc>
          <w:tcPr>
            <w:tcW w:w="992" w:type="dxa"/>
            <w:vAlign w:val="center"/>
            <w:hideMark/>
          </w:tcPr>
          <w:p w14:paraId="4E8E414D" w14:textId="77777777" w:rsidR="004E6046" w:rsidRPr="004E6046" w:rsidRDefault="004E6046"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E6046">
              <w:rPr>
                <w:color w:val="000000"/>
                <w:sz w:val="20"/>
                <w:szCs w:val="20"/>
              </w:rPr>
              <w:t>LICZBA</w:t>
            </w:r>
          </w:p>
        </w:tc>
        <w:tc>
          <w:tcPr>
            <w:tcW w:w="2693" w:type="dxa"/>
            <w:vAlign w:val="center"/>
            <w:hideMark/>
          </w:tcPr>
          <w:p w14:paraId="426C0921" w14:textId="486D0FD0" w:rsidR="004E6046" w:rsidRPr="004E6046" w:rsidRDefault="004E6046" w:rsidP="00F86D5F">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4E6046">
              <w:rPr>
                <w:color w:val="000000"/>
                <w:sz w:val="20"/>
                <w:szCs w:val="20"/>
              </w:rPr>
              <w:t xml:space="preserve">WARTOŚĆ </w:t>
            </w:r>
            <w:r w:rsidR="001D040C">
              <w:rPr>
                <w:color w:val="000000"/>
                <w:sz w:val="20"/>
                <w:szCs w:val="20"/>
              </w:rPr>
              <w:t>UE</w:t>
            </w:r>
            <w:r w:rsidRPr="004E6046">
              <w:rPr>
                <w:color w:val="000000"/>
                <w:sz w:val="20"/>
                <w:szCs w:val="20"/>
              </w:rPr>
              <w:t xml:space="preserve"> W EUR</w:t>
            </w:r>
          </w:p>
        </w:tc>
      </w:tr>
      <w:tr w:rsidR="00EB75BE" w:rsidRPr="004E6046" w14:paraId="6DA8782E" w14:textId="77777777" w:rsidTr="00F86D5F">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34F2AA0D"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I Działalność związana z zakwaterowaniem i usługami gastronomicznymi</w:t>
            </w:r>
          </w:p>
        </w:tc>
        <w:tc>
          <w:tcPr>
            <w:tcW w:w="992" w:type="dxa"/>
            <w:vAlign w:val="center"/>
            <w:hideMark/>
          </w:tcPr>
          <w:p w14:paraId="5C72862B" w14:textId="77777777"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255</w:t>
            </w:r>
          </w:p>
        </w:tc>
        <w:tc>
          <w:tcPr>
            <w:tcW w:w="2693" w:type="dxa"/>
            <w:noWrap/>
            <w:vAlign w:val="center"/>
            <w:hideMark/>
          </w:tcPr>
          <w:p w14:paraId="30920A78" w14:textId="3BCFE104"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23 079 830,66</w:t>
            </w:r>
          </w:p>
        </w:tc>
      </w:tr>
      <w:tr w:rsidR="00EB75BE" w:rsidRPr="004E6046" w14:paraId="3E96C2E1" w14:textId="77777777" w:rsidTr="00F86D5F">
        <w:trPr>
          <w:trHeight w:val="499"/>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73176DB3"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L Działalność związana z obsługą rynku nieruchomości</w:t>
            </w:r>
          </w:p>
        </w:tc>
        <w:tc>
          <w:tcPr>
            <w:tcW w:w="992" w:type="dxa"/>
            <w:vAlign w:val="center"/>
            <w:hideMark/>
          </w:tcPr>
          <w:p w14:paraId="64D868EE" w14:textId="77777777" w:rsidR="004E6046" w:rsidRPr="001D040C" w:rsidRDefault="004E6046"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D040C">
              <w:rPr>
                <w:color w:val="000000"/>
                <w:sz w:val="20"/>
                <w:szCs w:val="20"/>
              </w:rPr>
              <w:t>1</w:t>
            </w:r>
          </w:p>
        </w:tc>
        <w:tc>
          <w:tcPr>
            <w:tcW w:w="2693" w:type="dxa"/>
            <w:noWrap/>
            <w:vAlign w:val="center"/>
            <w:hideMark/>
          </w:tcPr>
          <w:p w14:paraId="5D3E6ADF" w14:textId="38D807A8" w:rsidR="004E6046" w:rsidRPr="001D040C" w:rsidRDefault="004E6046"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D040C">
              <w:rPr>
                <w:color w:val="000000"/>
                <w:sz w:val="20"/>
                <w:szCs w:val="20"/>
              </w:rPr>
              <w:t>144 401,25</w:t>
            </w:r>
          </w:p>
        </w:tc>
      </w:tr>
      <w:tr w:rsidR="00EB75BE" w:rsidRPr="004E6046" w14:paraId="3C61C61E" w14:textId="77777777" w:rsidTr="00F86D5F">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38BF11B9"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N Działalność w zakresie usług administrowania i działalność wspierająca</w:t>
            </w:r>
          </w:p>
        </w:tc>
        <w:tc>
          <w:tcPr>
            <w:tcW w:w="992" w:type="dxa"/>
            <w:vAlign w:val="center"/>
            <w:hideMark/>
          </w:tcPr>
          <w:p w14:paraId="1517B3D6" w14:textId="77777777"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3</w:t>
            </w:r>
          </w:p>
        </w:tc>
        <w:tc>
          <w:tcPr>
            <w:tcW w:w="2693" w:type="dxa"/>
            <w:noWrap/>
            <w:vAlign w:val="center"/>
            <w:hideMark/>
          </w:tcPr>
          <w:p w14:paraId="495AD31C" w14:textId="73AB1531"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282 877,60</w:t>
            </w:r>
          </w:p>
        </w:tc>
      </w:tr>
      <w:tr w:rsidR="00EB75BE" w:rsidRPr="004E6046" w14:paraId="7F34303D" w14:textId="77777777" w:rsidTr="00F86D5F">
        <w:trPr>
          <w:trHeight w:val="499"/>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0DFA4AC9"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P Edukacja</w:t>
            </w:r>
          </w:p>
        </w:tc>
        <w:tc>
          <w:tcPr>
            <w:tcW w:w="992" w:type="dxa"/>
            <w:vAlign w:val="center"/>
            <w:hideMark/>
          </w:tcPr>
          <w:p w14:paraId="5613CB59" w14:textId="77777777" w:rsidR="004E6046" w:rsidRPr="001D040C" w:rsidRDefault="004E6046"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D040C">
              <w:rPr>
                <w:color w:val="000000"/>
                <w:sz w:val="20"/>
                <w:szCs w:val="20"/>
              </w:rPr>
              <w:t>7</w:t>
            </w:r>
          </w:p>
        </w:tc>
        <w:tc>
          <w:tcPr>
            <w:tcW w:w="2693" w:type="dxa"/>
            <w:noWrap/>
            <w:vAlign w:val="center"/>
            <w:hideMark/>
          </w:tcPr>
          <w:p w14:paraId="506CF65D" w14:textId="3EBD6AE9" w:rsidR="004E6046" w:rsidRPr="001D040C" w:rsidRDefault="004E6046"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D040C">
              <w:rPr>
                <w:color w:val="000000"/>
                <w:sz w:val="20"/>
                <w:szCs w:val="20"/>
              </w:rPr>
              <w:t>558 392,89</w:t>
            </w:r>
          </w:p>
        </w:tc>
      </w:tr>
      <w:tr w:rsidR="00EB75BE" w:rsidRPr="004E6046" w14:paraId="226131A6" w14:textId="77777777" w:rsidTr="00F86D5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102B87ED"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Q Opieka zdrowotna i pomoc społeczna</w:t>
            </w:r>
          </w:p>
        </w:tc>
        <w:tc>
          <w:tcPr>
            <w:tcW w:w="992" w:type="dxa"/>
            <w:vAlign w:val="center"/>
            <w:hideMark/>
          </w:tcPr>
          <w:p w14:paraId="710A5AFF" w14:textId="77777777"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2</w:t>
            </w:r>
          </w:p>
        </w:tc>
        <w:tc>
          <w:tcPr>
            <w:tcW w:w="2693" w:type="dxa"/>
            <w:noWrap/>
            <w:vAlign w:val="center"/>
            <w:hideMark/>
          </w:tcPr>
          <w:p w14:paraId="3551E8EA" w14:textId="416981C8"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109 650,69</w:t>
            </w:r>
          </w:p>
        </w:tc>
      </w:tr>
      <w:tr w:rsidR="00EB75BE" w:rsidRPr="004E6046" w14:paraId="02B6AAF5" w14:textId="77777777" w:rsidTr="00F86D5F">
        <w:trPr>
          <w:trHeight w:val="499"/>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05BA8294"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R Działalność związana z kulturą, rozrywką i rekreacją</w:t>
            </w:r>
          </w:p>
        </w:tc>
        <w:tc>
          <w:tcPr>
            <w:tcW w:w="992" w:type="dxa"/>
            <w:vAlign w:val="center"/>
            <w:hideMark/>
          </w:tcPr>
          <w:p w14:paraId="5F301000" w14:textId="77777777" w:rsidR="004E6046" w:rsidRPr="001D040C" w:rsidRDefault="004E6046"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D040C">
              <w:rPr>
                <w:color w:val="000000"/>
                <w:sz w:val="20"/>
                <w:szCs w:val="20"/>
              </w:rPr>
              <w:t>66</w:t>
            </w:r>
          </w:p>
        </w:tc>
        <w:tc>
          <w:tcPr>
            <w:tcW w:w="2693" w:type="dxa"/>
            <w:noWrap/>
            <w:vAlign w:val="center"/>
            <w:hideMark/>
          </w:tcPr>
          <w:p w14:paraId="51E2BE98" w14:textId="52FED78B" w:rsidR="004E6046" w:rsidRPr="001D040C" w:rsidRDefault="004E6046" w:rsidP="00F86D5F">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D040C">
              <w:rPr>
                <w:color w:val="000000"/>
                <w:sz w:val="20"/>
                <w:szCs w:val="20"/>
              </w:rPr>
              <w:t>5 785 817,27</w:t>
            </w:r>
          </w:p>
        </w:tc>
      </w:tr>
      <w:tr w:rsidR="00EB75BE" w:rsidRPr="004E6046" w14:paraId="0227F26F" w14:textId="77777777" w:rsidTr="00F86D5F">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6091" w:type="dxa"/>
            <w:vAlign w:val="center"/>
            <w:hideMark/>
          </w:tcPr>
          <w:p w14:paraId="34C93566" w14:textId="77777777" w:rsidR="004E6046" w:rsidRPr="00367271" w:rsidRDefault="004E6046" w:rsidP="00F86D5F">
            <w:pPr>
              <w:spacing w:after="0" w:line="240" w:lineRule="auto"/>
              <w:rPr>
                <w:b w:val="0"/>
                <w:color w:val="000000"/>
                <w:sz w:val="20"/>
                <w:szCs w:val="20"/>
              </w:rPr>
            </w:pPr>
            <w:r w:rsidRPr="001D040C">
              <w:rPr>
                <w:b w:val="0"/>
                <w:color w:val="000000"/>
                <w:sz w:val="20"/>
                <w:szCs w:val="20"/>
              </w:rPr>
              <w:t>Sekcja S Pozostała działalność usługowa</w:t>
            </w:r>
          </w:p>
        </w:tc>
        <w:tc>
          <w:tcPr>
            <w:tcW w:w="992" w:type="dxa"/>
            <w:vAlign w:val="center"/>
            <w:hideMark/>
          </w:tcPr>
          <w:p w14:paraId="26124CF8" w14:textId="77777777"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7</w:t>
            </w:r>
          </w:p>
        </w:tc>
        <w:tc>
          <w:tcPr>
            <w:tcW w:w="2693" w:type="dxa"/>
            <w:noWrap/>
            <w:vAlign w:val="center"/>
            <w:hideMark/>
          </w:tcPr>
          <w:p w14:paraId="271F9871" w14:textId="2D6EE041" w:rsidR="004E6046" w:rsidRPr="001D040C" w:rsidRDefault="004E6046" w:rsidP="00F86D5F">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D040C">
              <w:rPr>
                <w:color w:val="000000"/>
                <w:sz w:val="20"/>
                <w:szCs w:val="20"/>
              </w:rPr>
              <w:t>502 080,28</w:t>
            </w:r>
          </w:p>
        </w:tc>
      </w:tr>
    </w:tbl>
    <w:p w14:paraId="419B2598" w14:textId="77777777" w:rsidR="004A622C" w:rsidRPr="004A622C" w:rsidRDefault="004A622C" w:rsidP="004A622C">
      <w:pPr>
        <w:spacing w:after="0"/>
        <w:jc w:val="both"/>
        <w:rPr>
          <w:b/>
          <w:szCs w:val="24"/>
          <w:lang w:eastAsia="ar-SA"/>
        </w:rPr>
      </w:pPr>
    </w:p>
    <w:p w14:paraId="77FE0DA2" w14:textId="77777777" w:rsidR="004A622C" w:rsidRPr="00126975" w:rsidRDefault="004A622C" w:rsidP="00126975">
      <w:pPr>
        <w:pStyle w:val="Akapitzlist"/>
        <w:numPr>
          <w:ilvl w:val="0"/>
          <w:numId w:val="102"/>
        </w:numPr>
        <w:spacing w:after="0"/>
        <w:jc w:val="both"/>
        <w:rPr>
          <w:b/>
          <w:szCs w:val="24"/>
          <w:lang w:eastAsia="ar-SA"/>
        </w:rPr>
      </w:pPr>
      <w:r w:rsidRPr="00126975">
        <w:rPr>
          <w:b/>
          <w:szCs w:val="24"/>
          <w:lang w:eastAsia="ar-SA"/>
        </w:rPr>
        <w:t>Projekty w podziale na formy prawne beneficjentów</w:t>
      </w:r>
    </w:p>
    <w:p w14:paraId="07A29AEB" w14:textId="28B23576" w:rsidR="002F7682" w:rsidRPr="002F7682" w:rsidRDefault="004A622C" w:rsidP="002F7682">
      <w:pPr>
        <w:jc w:val="both"/>
        <w:rPr>
          <w:szCs w:val="24"/>
        </w:rPr>
      </w:pPr>
      <w:r>
        <w:rPr>
          <w:szCs w:val="24"/>
        </w:rPr>
        <w:t xml:space="preserve">W </w:t>
      </w:r>
      <w:r w:rsidRPr="004A622C">
        <w:rPr>
          <w:szCs w:val="24"/>
        </w:rPr>
        <w:t xml:space="preserve">ramach priorytetu największe zaangażowanie wykazały JST i MSP. Realizując ponad 67% projektów, przedsiębiorcy zajmują wyraźną pozycję lidera wśród beneficjentów w ujęciu ilościowym. Biorąc pod uwagę wartość podpisanych umów dostrzec można zdecydowaną </w:t>
      </w:r>
      <w:r w:rsidRPr="002F7682">
        <w:rPr>
          <w:szCs w:val="24"/>
        </w:rPr>
        <w:t xml:space="preserve">dominację projektów realizowanych przez JST tj. 65%. </w:t>
      </w:r>
      <w:r w:rsidR="002F7682" w:rsidRPr="002F7682">
        <w:rPr>
          <w:szCs w:val="24"/>
        </w:rPr>
        <w:t>Projekty realizowane przez podmioty publiczne w zde</w:t>
      </w:r>
      <w:r w:rsidR="002F7682">
        <w:rPr>
          <w:szCs w:val="24"/>
        </w:rPr>
        <w:t>cydowanie większej części niż w </w:t>
      </w:r>
      <w:r w:rsidR="002F7682" w:rsidRPr="002F7682">
        <w:rPr>
          <w:szCs w:val="24"/>
        </w:rPr>
        <w:t>przypa</w:t>
      </w:r>
      <w:r w:rsidR="002F7682">
        <w:rPr>
          <w:szCs w:val="24"/>
        </w:rPr>
        <w:t>dku przedsiębiorstw polegały na </w:t>
      </w:r>
      <w:r w:rsidR="002F7682" w:rsidRPr="002F7682">
        <w:rPr>
          <w:szCs w:val="24"/>
        </w:rPr>
        <w:t xml:space="preserve">adaptacji istniejącej infrastruktury, często zabytkowej i cennej dla danego regionu. </w:t>
      </w:r>
    </w:p>
    <w:p w14:paraId="2B7097A6" w14:textId="77777777" w:rsidR="002F7682" w:rsidRPr="004A622C" w:rsidRDefault="002F7682" w:rsidP="004A622C">
      <w:pPr>
        <w:jc w:val="both"/>
        <w:rPr>
          <w:szCs w:val="24"/>
        </w:rPr>
      </w:pPr>
    </w:p>
    <w:p w14:paraId="799C662C" w14:textId="08C9CAFC" w:rsidR="004A622C" w:rsidRPr="004A622C" w:rsidRDefault="004A622C" w:rsidP="004A622C">
      <w:pPr>
        <w:pStyle w:val="Legenda"/>
        <w:rPr>
          <w:color w:val="auto"/>
          <w:sz w:val="24"/>
          <w:szCs w:val="24"/>
        </w:rPr>
      </w:pPr>
      <w:r>
        <w:rPr>
          <w:noProof/>
        </w:rPr>
        <w:lastRenderedPageBreak/>
        <w:drawing>
          <wp:inline distT="0" distB="0" distL="0" distR="0" wp14:anchorId="407CDCEB" wp14:editId="1AE43E4E">
            <wp:extent cx="5600700" cy="3524250"/>
            <wp:effectExtent l="0" t="0" r="0" b="0"/>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008B1CE" w14:textId="2669DBF8" w:rsidR="004A622C" w:rsidRPr="004A622C" w:rsidRDefault="00B66319" w:rsidP="00B66319">
      <w:pPr>
        <w:pStyle w:val="Legenda"/>
        <w:rPr>
          <w:color w:val="auto"/>
          <w:sz w:val="20"/>
          <w:szCs w:val="20"/>
        </w:rPr>
      </w:pPr>
      <w:bookmarkStart w:id="342" w:name="_Toc324853723"/>
      <w:bookmarkStart w:id="343" w:name="_Toc326055351"/>
      <w:bookmarkStart w:id="344" w:name="_Toc355688686"/>
      <w:bookmarkStart w:id="345" w:name="_Toc476832953"/>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35</w:t>
      </w:r>
      <w:r w:rsidR="00A44293" w:rsidRPr="00A44293">
        <w:rPr>
          <w:noProof/>
          <w:color w:val="auto"/>
        </w:rPr>
        <w:fldChar w:fldCharType="end"/>
      </w:r>
      <w:r>
        <w:t xml:space="preserve"> </w:t>
      </w:r>
      <w:r w:rsidR="004A622C" w:rsidRPr="004A622C">
        <w:rPr>
          <w:b w:val="0"/>
          <w:i/>
          <w:color w:val="auto"/>
          <w:sz w:val="20"/>
          <w:szCs w:val="20"/>
        </w:rPr>
        <w:t xml:space="preserve">Rozkład projektów </w:t>
      </w:r>
      <w:r w:rsidR="009E3592">
        <w:rPr>
          <w:b w:val="0"/>
          <w:i/>
          <w:color w:val="auto"/>
          <w:sz w:val="20"/>
          <w:szCs w:val="20"/>
        </w:rPr>
        <w:t xml:space="preserve">w ramach priorytetu III </w:t>
      </w:r>
      <w:r w:rsidR="004A622C" w:rsidRPr="004A622C">
        <w:rPr>
          <w:b w:val="0"/>
          <w:i/>
          <w:color w:val="auto"/>
          <w:sz w:val="20"/>
          <w:szCs w:val="20"/>
        </w:rPr>
        <w:t>w podziale na beneficjentów</w:t>
      </w:r>
      <w:bookmarkEnd w:id="342"/>
      <w:bookmarkEnd w:id="343"/>
      <w:bookmarkEnd w:id="344"/>
      <w:bookmarkEnd w:id="345"/>
    </w:p>
    <w:p w14:paraId="6899DD36" w14:textId="77777777" w:rsidR="004A622C" w:rsidRPr="00126975" w:rsidRDefault="004A622C" w:rsidP="00126975">
      <w:pPr>
        <w:pStyle w:val="Akapitzlist"/>
        <w:numPr>
          <w:ilvl w:val="0"/>
          <w:numId w:val="102"/>
        </w:numPr>
        <w:spacing w:after="120"/>
        <w:jc w:val="both"/>
        <w:rPr>
          <w:b/>
          <w:szCs w:val="24"/>
          <w:lang w:eastAsia="ar-SA"/>
        </w:rPr>
      </w:pPr>
      <w:r w:rsidRPr="00126975">
        <w:rPr>
          <w:b/>
          <w:szCs w:val="24"/>
          <w:lang w:eastAsia="ar-SA"/>
        </w:rPr>
        <w:t>Projekty w podziale na rozkład terytorialny</w:t>
      </w:r>
    </w:p>
    <w:p w14:paraId="04BAD990" w14:textId="4931F97B" w:rsidR="002C60D0" w:rsidRPr="00D30576" w:rsidRDefault="002C60D0" w:rsidP="002C60D0">
      <w:pPr>
        <w:autoSpaceDE w:val="0"/>
        <w:autoSpaceDN w:val="0"/>
        <w:adjustRightInd w:val="0"/>
        <w:spacing w:after="240"/>
        <w:jc w:val="both"/>
        <w:rPr>
          <w:rFonts w:eastAsia="Calibri"/>
          <w:szCs w:val="24"/>
        </w:rPr>
      </w:pPr>
      <w:bookmarkStart w:id="346" w:name="_Toc324853724"/>
      <w:bookmarkStart w:id="347" w:name="_Toc326046374"/>
      <w:bookmarkStart w:id="348" w:name="_Toc355688738"/>
      <w:r>
        <w:rPr>
          <w:rFonts w:eastAsia="Calibri"/>
          <w:szCs w:val="24"/>
        </w:rPr>
        <w:t>Około 70</w:t>
      </w:r>
      <w:r w:rsidRPr="00D30576">
        <w:rPr>
          <w:rFonts w:eastAsia="Calibri"/>
          <w:bCs/>
          <w:szCs w:val="24"/>
        </w:rPr>
        <w:t xml:space="preserve">% środków alokowanych na przedmiotowy priorytet </w:t>
      </w:r>
      <w:r>
        <w:rPr>
          <w:rFonts w:eastAsia="Calibri"/>
          <w:szCs w:val="24"/>
        </w:rPr>
        <w:t>skierowanych zostało na </w:t>
      </w:r>
      <w:r w:rsidRPr="00D30576">
        <w:rPr>
          <w:rFonts w:eastAsia="Calibri"/>
          <w:szCs w:val="24"/>
        </w:rPr>
        <w:t xml:space="preserve">realizacje inwestycji na obszarach miejskich, natomiast około </w:t>
      </w:r>
      <w:r>
        <w:rPr>
          <w:rFonts w:eastAsia="Calibri"/>
          <w:bCs/>
          <w:szCs w:val="24"/>
        </w:rPr>
        <w:t>25</w:t>
      </w:r>
      <w:r w:rsidRPr="00D30576">
        <w:rPr>
          <w:rFonts w:eastAsia="Calibri"/>
          <w:bCs/>
          <w:szCs w:val="24"/>
        </w:rPr>
        <w:t>%</w:t>
      </w:r>
      <w:r w:rsidRPr="00D30576">
        <w:rPr>
          <w:rFonts w:eastAsia="Calibri"/>
          <w:b/>
          <w:bCs/>
          <w:szCs w:val="24"/>
        </w:rPr>
        <w:t xml:space="preserve"> </w:t>
      </w:r>
      <w:r w:rsidRPr="00D30576">
        <w:rPr>
          <w:rFonts w:eastAsia="Calibri"/>
          <w:szCs w:val="24"/>
        </w:rPr>
        <w:t>na terenach wiejskich.</w:t>
      </w:r>
    </w:p>
    <w:p w14:paraId="0C477B07" w14:textId="2837692C" w:rsidR="004A622C" w:rsidRPr="002C7F25" w:rsidRDefault="00B66319" w:rsidP="00B66319">
      <w:pPr>
        <w:pStyle w:val="Legenda"/>
        <w:rPr>
          <w:color w:val="auto"/>
          <w:sz w:val="20"/>
          <w:szCs w:val="20"/>
        </w:rPr>
      </w:pPr>
      <w:bookmarkStart w:id="349" w:name="_Toc476131803"/>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20</w:t>
      </w:r>
      <w:r w:rsidR="00A44293" w:rsidRPr="00A44293">
        <w:rPr>
          <w:noProof/>
          <w:color w:val="auto"/>
        </w:rPr>
        <w:fldChar w:fldCharType="end"/>
      </w:r>
      <w:r>
        <w:t xml:space="preserve"> </w:t>
      </w:r>
      <w:r w:rsidR="004A622C" w:rsidRPr="002C7F25">
        <w:rPr>
          <w:b w:val="0"/>
          <w:i/>
          <w:color w:val="auto"/>
          <w:sz w:val="20"/>
          <w:szCs w:val="20"/>
        </w:rPr>
        <w:t xml:space="preserve">Rozkład projektów </w:t>
      </w:r>
      <w:r w:rsidR="009E3592">
        <w:rPr>
          <w:b w:val="0"/>
          <w:i/>
          <w:color w:val="auto"/>
          <w:sz w:val="20"/>
          <w:szCs w:val="20"/>
        </w:rPr>
        <w:t xml:space="preserve">w ramach priorytetu III </w:t>
      </w:r>
      <w:r w:rsidR="004A622C" w:rsidRPr="002C7F25">
        <w:rPr>
          <w:b w:val="0"/>
          <w:i/>
          <w:color w:val="auto"/>
          <w:sz w:val="20"/>
          <w:szCs w:val="20"/>
        </w:rPr>
        <w:t>w podziale na obszary</w:t>
      </w:r>
      <w:bookmarkEnd w:id="346"/>
      <w:bookmarkEnd w:id="347"/>
      <w:bookmarkEnd w:id="348"/>
      <w:bookmarkEnd w:id="349"/>
    </w:p>
    <w:tbl>
      <w:tblPr>
        <w:tblStyle w:val="Jasnalistaakcent6"/>
        <w:tblW w:w="6086" w:type="dxa"/>
        <w:jc w:val="center"/>
        <w:tblLook w:val="04A0" w:firstRow="1" w:lastRow="0" w:firstColumn="1" w:lastColumn="0" w:noHBand="0" w:noVBand="1"/>
      </w:tblPr>
      <w:tblGrid>
        <w:gridCol w:w="1490"/>
        <w:gridCol w:w="1735"/>
        <w:gridCol w:w="2861"/>
      </w:tblGrid>
      <w:tr w:rsidR="004A622C" w:rsidRPr="004A622C" w14:paraId="2C16AD77" w14:textId="77777777" w:rsidTr="00367271">
        <w:trPr>
          <w:cnfStyle w:val="100000000000" w:firstRow="1" w:lastRow="0" w:firstColumn="0" w:lastColumn="0" w:oddVBand="0" w:evenVBand="0" w:oddHBand="0" w:evenHBand="0" w:firstRowFirstColumn="0" w:firstRowLastColumn="0" w:lastRowFirstColumn="0" w:lastRowLastColumn="0"/>
          <w:trHeight w:val="825"/>
          <w:jc w:val="center"/>
        </w:trPr>
        <w:tc>
          <w:tcPr>
            <w:cnfStyle w:val="001000000000" w:firstRow="0" w:lastRow="0" w:firstColumn="1" w:lastColumn="0" w:oddVBand="0" w:evenVBand="0" w:oddHBand="0" w:evenHBand="0" w:firstRowFirstColumn="0" w:firstRowLastColumn="0" w:lastRowFirstColumn="0" w:lastRowLastColumn="0"/>
            <w:tcW w:w="1490" w:type="dxa"/>
            <w:vAlign w:val="center"/>
            <w:hideMark/>
          </w:tcPr>
          <w:p w14:paraId="2D4768A7" w14:textId="77777777" w:rsidR="004A622C" w:rsidRPr="004A622C" w:rsidRDefault="004A622C" w:rsidP="00F86D5F">
            <w:pPr>
              <w:jc w:val="center"/>
              <w:rPr>
                <w:bCs w:val="0"/>
                <w:color w:val="auto"/>
                <w:sz w:val="20"/>
                <w:szCs w:val="20"/>
              </w:rPr>
            </w:pPr>
            <w:r w:rsidRPr="004A622C">
              <w:rPr>
                <w:bCs w:val="0"/>
                <w:color w:val="auto"/>
                <w:sz w:val="20"/>
                <w:szCs w:val="20"/>
              </w:rPr>
              <w:t>OBSZAR</w:t>
            </w:r>
          </w:p>
        </w:tc>
        <w:tc>
          <w:tcPr>
            <w:tcW w:w="1735" w:type="dxa"/>
            <w:vAlign w:val="center"/>
            <w:hideMark/>
          </w:tcPr>
          <w:p w14:paraId="27868F7C" w14:textId="77777777" w:rsidR="004A622C" w:rsidRPr="004A622C" w:rsidRDefault="004A622C" w:rsidP="00F86D5F">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4A622C">
              <w:rPr>
                <w:bCs w:val="0"/>
                <w:color w:val="auto"/>
                <w:sz w:val="20"/>
                <w:szCs w:val="20"/>
              </w:rPr>
              <w:t>LICZBA</w:t>
            </w:r>
          </w:p>
        </w:tc>
        <w:tc>
          <w:tcPr>
            <w:tcW w:w="2861" w:type="dxa"/>
            <w:vAlign w:val="center"/>
            <w:hideMark/>
          </w:tcPr>
          <w:p w14:paraId="703B4017" w14:textId="77777777" w:rsidR="004A622C" w:rsidRPr="004A622C" w:rsidRDefault="004A622C" w:rsidP="00F86D5F">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4A622C">
              <w:rPr>
                <w:bCs w:val="0"/>
                <w:color w:val="auto"/>
                <w:sz w:val="20"/>
                <w:szCs w:val="20"/>
              </w:rPr>
              <w:t>DOFINANSOWANIE UE</w:t>
            </w:r>
          </w:p>
        </w:tc>
      </w:tr>
      <w:tr w:rsidR="004A622C" w:rsidRPr="004A622C" w14:paraId="02AC7960" w14:textId="77777777" w:rsidTr="00367271">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1490" w:type="dxa"/>
            <w:vAlign w:val="center"/>
            <w:hideMark/>
          </w:tcPr>
          <w:p w14:paraId="7D09727D" w14:textId="7EB1E9FF" w:rsidR="004A622C" w:rsidRPr="00367271" w:rsidRDefault="00440CAD">
            <w:pPr>
              <w:jc w:val="center"/>
              <w:rPr>
                <w:b w:val="0"/>
                <w:bCs w:val="0"/>
                <w:sz w:val="20"/>
                <w:szCs w:val="20"/>
              </w:rPr>
            </w:pPr>
            <w:r w:rsidRPr="00534A43">
              <w:rPr>
                <w:b w:val="0"/>
                <w:bCs w:val="0"/>
                <w:sz w:val="20"/>
                <w:szCs w:val="20"/>
              </w:rPr>
              <w:t>Miejski</w:t>
            </w:r>
          </w:p>
        </w:tc>
        <w:tc>
          <w:tcPr>
            <w:tcW w:w="1735" w:type="dxa"/>
            <w:vAlign w:val="center"/>
            <w:hideMark/>
          </w:tcPr>
          <w:p w14:paraId="6E7A1174" w14:textId="76329A03" w:rsidR="004A622C" w:rsidRPr="00367271" w:rsidRDefault="002C5606">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373</w:t>
            </w:r>
          </w:p>
        </w:tc>
        <w:tc>
          <w:tcPr>
            <w:tcW w:w="2861" w:type="dxa"/>
            <w:vAlign w:val="center"/>
            <w:hideMark/>
          </w:tcPr>
          <w:p w14:paraId="5BFC8CA5" w14:textId="67889A29" w:rsidR="004A622C" w:rsidRPr="00367271" w:rsidRDefault="002C7F25">
            <w:pPr>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71,20</w:t>
            </w:r>
          </w:p>
        </w:tc>
      </w:tr>
      <w:tr w:rsidR="004A622C" w:rsidRPr="004A622C" w14:paraId="20F33082" w14:textId="77777777" w:rsidTr="00367271">
        <w:trPr>
          <w:trHeight w:val="544"/>
          <w:jc w:val="center"/>
        </w:trPr>
        <w:tc>
          <w:tcPr>
            <w:cnfStyle w:val="001000000000" w:firstRow="0" w:lastRow="0" w:firstColumn="1" w:lastColumn="0" w:oddVBand="0" w:evenVBand="0" w:oddHBand="0" w:evenHBand="0" w:firstRowFirstColumn="0" w:firstRowLastColumn="0" w:lastRowFirstColumn="0" w:lastRowLastColumn="0"/>
            <w:tcW w:w="1490" w:type="dxa"/>
            <w:vAlign w:val="center"/>
            <w:hideMark/>
          </w:tcPr>
          <w:p w14:paraId="2DB90CC7" w14:textId="425523D9" w:rsidR="004A622C" w:rsidRPr="00367271" w:rsidRDefault="00440CAD">
            <w:pPr>
              <w:jc w:val="center"/>
              <w:rPr>
                <w:b w:val="0"/>
                <w:bCs w:val="0"/>
                <w:sz w:val="20"/>
                <w:szCs w:val="20"/>
              </w:rPr>
            </w:pPr>
            <w:r w:rsidRPr="00534A43">
              <w:rPr>
                <w:b w:val="0"/>
                <w:bCs w:val="0"/>
                <w:sz w:val="20"/>
                <w:szCs w:val="20"/>
              </w:rPr>
              <w:t>Wiejski</w:t>
            </w:r>
          </w:p>
        </w:tc>
        <w:tc>
          <w:tcPr>
            <w:tcW w:w="1735" w:type="dxa"/>
            <w:vAlign w:val="center"/>
            <w:hideMark/>
          </w:tcPr>
          <w:p w14:paraId="2F2BEAEA" w14:textId="43AAC212" w:rsidR="004A622C" w:rsidRPr="00367271" w:rsidRDefault="004A622C">
            <w:pPr>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145</w:t>
            </w:r>
          </w:p>
        </w:tc>
        <w:tc>
          <w:tcPr>
            <w:tcW w:w="2861" w:type="dxa"/>
            <w:vAlign w:val="center"/>
            <w:hideMark/>
          </w:tcPr>
          <w:p w14:paraId="42DFDB77" w14:textId="51E63238" w:rsidR="004A622C" w:rsidRPr="00367271" w:rsidRDefault="002C7F25">
            <w:pPr>
              <w:jc w:val="center"/>
              <w:cnfStyle w:val="000000000000" w:firstRow="0" w:lastRow="0" w:firstColumn="0" w:lastColumn="0" w:oddVBand="0" w:evenVBand="0" w:oddHBand="0" w:evenHBand="0" w:firstRowFirstColumn="0" w:firstRowLastColumn="0" w:lastRowFirstColumn="0" w:lastRowLastColumn="0"/>
              <w:rPr>
                <w:sz w:val="20"/>
                <w:szCs w:val="20"/>
              </w:rPr>
            </w:pPr>
            <w:r w:rsidRPr="00367271">
              <w:rPr>
                <w:sz w:val="20"/>
                <w:szCs w:val="20"/>
              </w:rPr>
              <w:t>25,45</w:t>
            </w:r>
          </w:p>
        </w:tc>
      </w:tr>
      <w:tr w:rsidR="004A622C" w:rsidRPr="004A622C" w14:paraId="306AF3AE" w14:textId="77777777" w:rsidTr="00367271">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1490" w:type="dxa"/>
            <w:vAlign w:val="center"/>
            <w:hideMark/>
          </w:tcPr>
          <w:p w14:paraId="2C98C19F" w14:textId="425C63A2" w:rsidR="004A622C" w:rsidRPr="00367271" w:rsidRDefault="00440CAD">
            <w:pPr>
              <w:jc w:val="center"/>
              <w:rPr>
                <w:b w:val="0"/>
                <w:bCs w:val="0"/>
                <w:sz w:val="20"/>
                <w:szCs w:val="20"/>
              </w:rPr>
            </w:pPr>
            <w:r w:rsidRPr="00534A43">
              <w:rPr>
                <w:b w:val="0"/>
                <w:bCs w:val="0"/>
                <w:sz w:val="20"/>
                <w:szCs w:val="20"/>
              </w:rPr>
              <w:t>Górski</w:t>
            </w:r>
          </w:p>
        </w:tc>
        <w:tc>
          <w:tcPr>
            <w:tcW w:w="1735" w:type="dxa"/>
            <w:vAlign w:val="center"/>
            <w:hideMark/>
          </w:tcPr>
          <w:p w14:paraId="7B48B4CB" w14:textId="2CADA1BE" w:rsidR="004A622C" w:rsidRPr="00367271" w:rsidRDefault="004A622C">
            <w:pPr>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28</w:t>
            </w:r>
          </w:p>
        </w:tc>
        <w:tc>
          <w:tcPr>
            <w:tcW w:w="2861" w:type="dxa"/>
            <w:vAlign w:val="center"/>
            <w:hideMark/>
          </w:tcPr>
          <w:p w14:paraId="2F4CCD41" w14:textId="29B78CF4" w:rsidR="004A622C" w:rsidRPr="00367271" w:rsidRDefault="002C7F25">
            <w:pPr>
              <w:jc w:val="center"/>
              <w:cnfStyle w:val="000000100000" w:firstRow="0" w:lastRow="0" w:firstColumn="0" w:lastColumn="0" w:oddVBand="0" w:evenVBand="0" w:oddHBand="1" w:evenHBand="0" w:firstRowFirstColumn="0" w:firstRowLastColumn="0" w:lastRowFirstColumn="0" w:lastRowLastColumn="0"/>
              <w:rPr>
                <w:sz w:val="20"/>
                <w:szCs w:val="20"/>
              </w:rPr>
            </w:pPr>
            <w:r w:rsidRPr="00367271">
              <w:rPr>
                <w:sz w:val="20"/>
                <w:szCs w:val="20"/>
              </w:rPr>
              <w:t>5,69</w:t>
            </w:r>
          </w:p>
        </w:tc>
      </w:tr>
    </w:tbl>
    <w:p w14:paraId="1213357A" w14:textId="77777777" w:rsidR="004A622C" w:rsidRPr="004A622C" w:rsidRDefault="004A622C" w:rsidP="004A622C">
      <w:pPr>
        <w:jc w:val="both"/>
        <w:rPr>
          <w:noProof/>
          <w:szCs w:val="24"/>
        </w:rPr>
      </w:pPr>
    </w:p>
    <w:p w14:paraId="05F745F1" w14:textId="6465548E" w:rsidR="004A622C" w:rsidRDefault="004A622C" w:rsidP="004A622C">
      <w:pPr>
        <w:jc w:val="both"/>
        <w:rPr>
          <w:rFonts w:ascii="Lato" w:hAnsi="Lato"/>
          <w:sz w:val="20"/>
        </w:rPr>
      </w:pPr>
      <w:r w:rsidRPr="004A622C">
        <w:rPr>
          <w:noProof/>
          <w:szCs w:val="24"/>
        </w:rPr>
        <w:t>Projekty wybrane d</w:t>
      </w:r>
      <w:r w:rsidR="00705601">
        <w:rPr>
          <w:noProof/>
          <w:szCs w:val="24"/>
        </w:rPr>
        <w:t>o realizacji dobrze wykorzystywały</w:t>
      </w:r>
      <w:r w:rsidRPr="004A622C">
        <w:rPr>
          <w:noProof/>
          <w:szCs w:val="24"/>
        </w:rPr>
        <w:t xml:space="preserve"> atuty i potencjał poszczególnych części regionu, do powiatów z południa o najwiekszych walorach rekreacyjnych i turystycznych, trafiły znaczące środki. Najwięcej projektów otrzymało dofinans</w:t>
      </w:r>
      <w:r w:rsidR="002C7F25">
        <w:rPr>
          <w:noProof/>
          <w:szCs w:val="24"/>
        </w:rPr>
        <w:t>owanie z</w:t>
      </w:r>
      <w:r w:rsidR="00C50C7B">
        <w:rPr>
          <w:noProof/>
          <w:szCs w:val="24"/>
        </w:rPr>
        <w:t xml:space="preserve"> terenu</w:t>
      </w:r>
      <w:r w:rsidR="002C7F25">
        <w:rPr>
          <w:noProof/>
          <w:szCs w:val="24"/>
        </w:rPr>
        <w:t xml:space="preserve"> powiatu cieszyńskiego oraz </w:t>
      </w:r>
      <w:r w:rsidR="00C50C7B">
        <w:rPr>
          <w:noProof/>
          <w:szCs w:val="24"/>
        </w:rPr>
        <w:t>z terenu Bielska - Białej</w:t>
      </w:r>
      <w:r w:rsidRPr="004A622C">
        <w:rPr>
          <w:noProof/>
          <w:szCs w:val="24"/>
        </w:rPr>
        <w:t xml:space="preserve">. </w:t>
      </w:r>
      <w:r w:rsidRPr="00C50C7B">
        <w:rPr>
          <w:noProof/>
          <w:szCs w:val="24"/>
        </w:rPr>
        <w:t xml:space="preserve">Aktywni </w:t>
      </w:r>
      <w:r w:rsidR="00C50C7B" w:rsidRPr="00C50C7B">
        <w:rPr>
          <w:noProof/>
          <w:szCs w:val="24"/>
        </w:rPr>
        <w:t xml:space="preserve">beneficjenci byli także </w:t>
      </w:r>
      <w:r w:rsidRPr="00C50C7B">
        <w:rPr>
          <w:noProof/>
          <w:szCs w:val="24"/>
        </w:rPr>
        <w:t>w powiecie zawierciańskim.</w:t>
      </w:r>
      <w:r w:rsidR="00430BE3" w:rsidRPr="00430BE3">
        <w:rPr>
          <w:rFonts w:ascii="Lato" w:hAnsi="Lato"/>
          <w:sz w:val="20"/>
        </w:rPr>
        <w:t xml:space="preserve"> </w:t>
      </w:r>
    </w:p>
    <w:p w14:paraId="118B5768" w14:textId="77777777" w:rsidR="00DD2AE5" w:rsidRDefault="00DD2AE5" w:rsidP="00DD2AE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721E5AB9" w14:textId="77777777" w:rsidR="00DD2AE5" w:rsidRPr="00430BE3" w:rsidRDefault="00DD2AE5" w:rsidP="004A622C">
      <w:pPr>
        <w:jc w:val="both"/>
        <w:rPr>
          <w:noProof/>
          <w:szCs w:val="24"/>
        </w:rPr>
      </w:pPr>
    </w:p>
    <w:p w14:paraId="7A42E000" w14:textId="3A5D2EC7" w:rsidR="004A622C" w:rsidRPr="004A622C" w:rsidRDefault="002C7F25" w:rsidP="004A622C">
      <w:pPr>
        <w:widowControl w:val="0"/>
        <w:autoSpaceDE w:val="0"/>
        <w:autoSpaceDN w:val="0"/>
        <w:adjustRightInd w:val="0"/>
        <w:spacing w:after="120"/>
        <w:ind w:right="-23"/>
        <w:jc w:val="both"/>
        <w:rPr>
          <w:szCs w:val="24"/>
        </w:rPr>
      </w:pPr>
      <w:r w:rsidRPr="002C7F25">
        <w:rPr>
          <w:noProof/>
          <w:szCs w:val="24"/>
        </w:rPr>
        <w:lastRenderedPageBreak/>
        <w:drawing>
          <wp:inline distT="0" distB="0" distL="0" distR="0" wp14:anchorId="21160EB1" wp14:editId="679C2B74">
            <wp:extent cx="5759450" cy="8138669"/>
            <wp:effectExtent l="0" t="0" r="0" b="0"/>
            <wp:docPr id="16" name="Obraz 16" descr="W:\RRF\!Zespół ds monitoringu\Perspektywa 2007-2013\Sprawozdanie końcowe\Piotr\mapki\P3\P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RRF\!Zespół ds monitoringu\Perspektywa 2007-2013\Sprawozdanie końcowe\Piotr\mapki\P3\P3.jpe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59450" cy="8138669"/>
                    </a:xfrm>
                    <a:prstGeom prst="rect">
                      <a:avLst/>
                    </a:prstGeom>
                    <a:noFill/>
                    <a:ln>
                      <a:noFill/>
                    </a:ln>
                  </pic:spPr>
                </pic:pic>
              </a:graphicData>
            </a:graphic>
          </wp:inline>
        </w:drawing>
      </w:r>
    </w:p>
    <w:p w14:paraId="41F60C8A" w14:textId="0A27E206" w:rsidR="002C7F25" w:rsidRPr="002C7F25" w:rsidRDefault="00B66319" w:rsidP="00B66319">
      <w:pPr>
        <w:pStyle w:val="Legenda"/>
        <w:rPr>
          <w:b w:val="0"/>
          <w:color w:val="auto"/>
          <w:sz w:val="20"/>
          <w:szCs w:val="20"/>
          <w:lang w:eastAsia="ar-SA"/>
        </w:rPr>
      </w:pPr>
      <w:bookmarkStart w:id="350" w:name="_Toc476832954"/>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36</w:t>
      </w:r>
      <w:r w:rsidR="00A44293" w:rsidRPr="00A44293">
        <w:rPr>
          <w:noProof/>
          <w:color w:val="auto"/>
        </w:rPr>
        <w:fldChar w:fldCharType="end"/>
      </w:r>
      <w:r>
        <w:t xml:space="preserve"> </w:t>
      </w:r>
      <w:r w:rsidR="002C7F25" w:rsidRPr="002C7F25">
        <w:rPr>
          <w:b w:val="0"/>
          <w:i/>
          <w:color w:val="auto"/>
          <w:sz w:val="20"/>
          <w:szCs w:val="20"/>
        </w:rPr>
        <w:t xml:space="preserve">Rozkład projektów </w:t>
      </w:r>
      <w:r w:rsidR="009E3592">
        <w:rPr>
          <w:b w:val="0"/>
          <w:i/>
          <w:color w:val="auto"/>
          <w:sz w:val="20"/>
          <w:szCs w:val="20"/>
        </w:rPr>
        <w:t xml:space="preserve">w ramach priorytetu III </w:t>
      </w:r>
      <w:r w:rsidR="002C7F25" w:rsidRPr="002C7F25">
        <w:rPr>
          <w:b w:val="0"/>
          <w:i/>
          <w:color w:val="auto"/>
          <w:sz w:val="20"/>
          <w:szCs w:val="20"/>
        </w:rPr>
        <w:t>w podziale na powiaty</w:t>
      </w:r>
      <w:bookmarkEnd w:id="350"/>
    </w:p>
    <w:p w14:paraId="292348DC" w14:textId="77777777" w:rsidR="00705601" w:rsidRDefault="00705601">
      <w:pPr>
        <w:spacing w:after="0" w:line="240" w:lineRule="auto"/>
        <w:rPr>
          <w:b/>
          <w:szCs w:val="24"/>
          <w:lang w:eastAsia="ar-SA"/>
        </w:rPr>
      </w:pPr>
      <w:r>
        <w:rPr>
          <w:b/>
          <w:szCs w:val="24"/>
          <w:lang w:eastAsia="ar-SA"/>
        </w:rPr>
        <w:br w:type="page"/>
      </w:r>
    </w:p>
    <w:p w14:paraId="72985BB4" w14:textId="7EF571FF" w:rsidR="004A622C" w:rsidRPr="00126975" w:rsidRDefault="004A622C" w:rsidP="00126975">
      <w:pPr>
        <w:pStyle w:val="Akapitzlist"/>
        <w:numPr>
          <w:ilvl w:val="0"/>
          <w:numId w:val="102"/>
        </w:numPr>
        <w:spacing w:after="120"/>
        <w:jc w:val="both"/>
        <w:rPr>
          <w:b/>
          <w:szCs w:val="24"/>
          <w:lang w:eastAsia="ar-SA"/>
        </w:rPr>
      </w:pPr>
      <w:r w:rsidRPr="00126975">
        <w:rPr>
          <w:b/>
          <w:szCs w:val="24"/>
          <w:lang w:eastAsia="ar-SA"/>
        </w:rPr>
        <w:lastRenderedPageBreak/>
        <w:t>Projekty w podziale na obszary wsparcia</w:t>
      </w:r>
    </w:p>
    <w:p w14:paraId="5A030465" w14:textId="1CD3A88A" w:rsidR="004A622C" w:rsidRPr="004A622C" w:rsidRDefault="004A622C" w:rsidP="004A622C">
      <w:pPr>
        <w:spacing w:after="120"/>
        <w:jc w:val="both"/>
        <w:rPr>
          <w:szCs w:val="24"/>
          <w:lang w:eastAsia="ar-SA"/>
        </w:rPr>
      </w:pPr>
      <w:r w:rsidRPr="004A622C">
        <w:rPr>
          <w:szCs w:val="24"/>
          <w:lang w:eastAsia="ar-SA"/>
        </w:rPr>
        <w:t xml:space="preserve">W priorytecie III wszystkie projekty realizowane </w:t>
      </w:r>
      <w:r w:rsidR="00705601">
        <w:rPr>
          <w:szCs w:val="24"/>
          <w:lang w:eastAsia="ar-SA"/>
        </w:rPr>
        <w:t>były</w:t>
      </w:r>
      <w:r w:rsidRPr="004A622C">
        <w:rPr>
          <w:szCs w:val="24"/>
          <w:lang w:eastAsia="ar-SA"/>
        </w:rPr>
        <w:t xml:space="preserve"> w ramach obszaru wsparcia turystyka. </w:t>
      </w:r>
      <w:r w:rsidRPr="004A622C">
        <w:rPr>
          <w:szCs w:val="24"/>
        </w:rPr>
        <w:t xml:space="preserve">Działania podejmowane w ramach priorytetu </w:t>
      </w:r>
      <w:r w:rsidR="00705601">
        <w:rPr>
          <w:szCs w:val="24"/>
        </w:rPr>
        <w:t>były</w:t>
      </w:r>
      <w:r w:rsidRPr="004A622C">
        <w:rPr>
          <w:szCs w:val="24"/>
        </w:rPr>
        <w:t xml:space="preserve"> powiązane z działaniami realizowanymi w ramach </w:t>
      </w:r>
      <w:r w:rsidRPr="004A622C">
        <w:rPr>
          <w:i/>
          <w:szCs w:val="24"/>
        </w:rPr>
        <w:t>Programu Innowacyjna Gospodarka, Kapitał Ludzi, Zrównoważony Rozwój Sektora Rybołówstwa i Przybrzeżnych Obszarów Rybackich oraz Programu Rozwoju Obszarów Wiejskich</w:t>
      </w:r>
      <w:r w:rsidRPr="004A622C">
        <w:rPr>
          <w:szCs w:val="24"/>
        </w:rPr>
        <w:t xml:space="preserve"> (komplementarność międzyprogramowa).</w:t>
      </w:r>
    </w:p>
    <w:p w14:paraId="3CC1827D" w14:textId="3E72103B" w:rsidR="009430EA" w:rsidRPr="009430EA" w:rsidRDefault="009430EA" w:rsidP="009430EA">
      <w:pPr>
        <w:tabs>
          <w:tab w:val="left" w:pos="1276"/>
        </w:tabs>
        <w:autoSpaceDE w:val="0"/>
        <w:autoSpaceDN w:val="0"/>
        <w:adjustRightInd w:val="0"/>
        <w:spacing w:after="120"/>
        <w:jc w:val="both"/>
        <w:rPr>
          <w:b/>
          <w:szCs w:val="24"/>
        </w:rPr>
      </w:pPr>
      <w:r w:rsidRPr="009430EA">
        <w:rPr>
          <w:b/>
          <w:szCs w:val="24"/>
        </w:rPr>
        <w:t xml:space="preserve">Analiza </w:t>
      </w:r>
      <w:r w:rsidR="00D636D3">
        <w:rPr>
          <w:b/>
          <w:szCs w:val="24"/>
        </w:rPr>
        <w:t>postępu rzeczowego</w:t>
      </w:r>
    </w:p>
    <w:p w14:paraId="66B7CBE0" w14:textId="705A5CC6" w:rsidR="009430EA" w:rsidRDefault="009430EA" w:rsidP="009430EA">
      <w:pPr>
        <w:jc w:val="both"/>
        <w:rPr>
          <w:szCs w:val="24"/>
        </w:rPr>
      </w:pPr>
      <w:r w:rsidRPr="00E63B1F">
        <w:rPr>
          <w:szCs w:val="24"/>
        </w:rPr>
        <w:t>W załącznik</w:t>
      </w:r>
      <w:r>
        <w:rPr>
          <w:szCs w:val="24"/>
        </w:rPr>
        <w:t>u</w:t>
      </w:r>
      <w:r w:rsidRPr="00E63B1F">
        <w:rPr>
          <w:szCs w:val="24"/>
        </w:rPr>
        <w:t xml:space="preserve"> IV do niniejszego </w:t>
      </w:r>
      <w:r w:rsidRPr="00E63B1F">
        <w:rPr>
          <w:i/>
          <w:szCs w:val="24"/>
        </w:rPr>
        <w:t>Sprawozdania</w:t>
      </w:r>
      <w:r w:rsidRPr="00E63B1F">
        <w:rPr>
          <w:szCs w:val="24"/>
        </w:rPr>
        <w:t xml:space="preserve"> zostały przedstawione programowe wskaźniki produktu i rezultatu dla </w:t>
      </w:r>
      <w:r>
        <w:rPr>
          <w:szCs w:val="24"/>
        </w:rPr>
        <w:t>p</w:t>
      </w:r>
      <w:r w:rsidRPr="00E63B1F">
        <w:rPr>
          <w:szCs w:val="24"/>
        </w:rPr>
        <w:t>riorytetu II</w:t>
      </w:r>
      <w:r>
        <w:rPr>
          <w:szCs w:val="24"/>
        </w:rPr>
        <w:t>I</w:t>
      </w:r>
      <w:r w:rsidRPr="00E63B1F">
        <w:rPr>
          <w:szCs w:val="24"/>
        </w:rPr>
        <w:t xml:space="preserve">, dla kolejnych lat w ujęciu kumulatywnym. Przedstawione informacje prezentowane są według stanu na koniec </w:t>
      </w:r>
      <w:r>
        <w:rPr>
          <w:szCs w:val="24"/>
        </w:rPr>
        <w:t>2016</w:t>
      </w:r>
      <w:r w:rsidRPr="00E63B1F">
        <w:rPr>
          <w:szCs w:val="24"/>
        </w:rPr>
        <w:t xml:space="preserve"> roku</w:t>
      </w:r>
      <w:r>
        <w:rPr>
          <w:szCs w:val="24"/>
        </w:rPr>
        <w:t xml:space="preserve"> i zostały</w:t>
      </w:r>
      <w:r w:rsidRPr="00E63B1F">
        <w:rPr>
          <w:szCs w:val="24"/>
        </w:rPr>
        <w:t xml:space="preserve"> oparte na danych dotyczących operacji zakończonych. Określone zostały war</w:t>
      </w:r>
      <w:r w:rsidR="009222F1">
        <w:rPr>
          <w:szCs w:val="24"/>
        </w:rPr>
        <w:t>tości docelowe dla 2010, 2013 i </w:t>
      </w:r>
      <w:r w:rsidRPr="00E63B1F">
        <w:rPr>
          <w:szCs w:val="24"/>
        </w:rPr>
        <w:t>2015 ro</w:t>
      </w:r>
      <w:r>
        <w:rPr>
          <w:szCs w:val="24"/>
        </w:rPr>
        <w:t>ku</w:t>
      </w:r>
      <w:r w:rsidRPr="00E63B1F">
        <w:rPr>
          <w:szCs w:val="24"/>
        </w:rPr>
        <w:t xml:space="preserve">. Przedstawiono także wskaźniki przedmiotowego </w:t>
      </w:r>
      <w:r>
        <w:rPr>
          <w:szCs w:val="24"/>
        </w:rPr>
        <w:t>p</w:t>
      </w:r>
      <w:r w:rsidRPr="00E63B1F">
        <w:rPr>
          <w:szCs w:val="24"/>
        </w:rPr>
        <w:t>riorytetu w podziale na działania i poddziałania</w:t>
      </w:r>
      <w:r>
        <w:rPr>
          <w:szCs w:val="24"/>
        </w:rPr>
        <w:t>.</w:t>
      </w:r>
    </w:p>
    <w:p w14:paraId="1F076BDF" w14:textId="33DB5A39" w:rsidR="009430EA" w:rsidRDefault="009430EA" w:rsidP="009430EA">
      <w:pPr>
        <w:jc w:val="both"/>
        <w:rPr>
          <w:rFonts w:cs="Perpetua"/>
          <w:szCs w:val="24"/>
        </w:rPr>
      </w:pPr>
      <w:r>
        <w:rPr>
          <w:rFonts w:cs="Perpetua"/>
          <w:szCs w:val="24"/>
        </w:rPr>
        <w:t xml:space="preserve">Wskaźnik </w:t>
      </w:r>
      <w:r w:rsidRPr="00830A1F">
        <w:rPr>
          <w:rFonts w:cs="Perpetua"/>
          <w:i/>
          <w:szCs w:val="24"/>
        </w:rPr>
        <w:t>Liczba projektów z zakresu bezpośredniej pomocy inwestycyjnej dla MSP</w:t>
      </w:r>
      <w:r>
        <w:rPr>
          <w:rFonts w:cs="Perpetua"/>
          <w:szCs w:val="24"/>
        </w:rPr>
        <w:t xml:space="preserve"> nie osiągnął wartości docelowej, w związku z wyższym średnim dofinansowaniem projektów, niż zakł</w:t>
      </w:r>
      <w:r w:rsidR="00B6450A">
        <w:rPr>
          <w:rFonts w:cs="Perpetua"/>
          <w:szCs w:val="24"/>
        </w:rPr>
        <w:t>adano na początku (plan 31,5 tys. EUR, realizacja 88 tys.</w:t>
      </w:r>
      <w:r>
        <w:rPr>
          <w:rFonts w:cs="Perpetua"/>
          <w:szCs w:val="24"/>
        </w:rPr>
        <w:t xml:space="preserve"> EUR). </w:t>
      </w:r>
      <w:r w:rsidR="009222F1">
        <w:rPr>
          <w:rFonts w:cs="Perpetua"/>
          <w:szCs w:val="24"/>
        </w:rPr>
        <w:t xml:space="preserve">Kolejnym wskaźnikiem, który nie osiągnął wartości docelowej jest wskaźnik </w:t>
      </w:r>
      <w:r w:rsidR="009222F1">
        <w:rPr>
          <w:rFonts w:cs="Perpetua"/>
          <w:i/>
          <w:szCs w:val="24"/>
        </w:rPr>
        <w:t xml:space="preserve">Liczba projektów dot. infrastruktury społeczeństwa informacyjnego. </w:t>
      </w:r>
      <w:r w:rsidR="009222F1" w:rsidRPr="009222F1">
        <w:rPr>
          <w:rFonts w:cs="Perpetua"/>
          <w:szCs w:val="24"/>
        </w:rPr>
        <w:t>Związane było to przede wszystkim z</w:t>
      </w:r>
      <w:r w:rsidR="009222F1">
        <w:rPr>
          <w:rFonts w:cs="Perpetua"/>
          <w:i/>
          <w:szCs w:val="24"/>
        </w:rPr>
        <w:t xml:space="preserve"> </w:t>
      </w:r>
      <w:r w:rsidR="009222F1">
        <w:rPr>
          <w:rFonts w:cs="Perpetua"/>
          <w:szCs w:val="24"/>
        </w:rPr>
        <w:t>niewielką liczbą aplikujących w ramach typów projektu realizujących ww. wskaźnik</w:t>
      </w:r>
    </w:p>
    <w:p w14:paraId="341541BE" w14:textId="139D2EB8" w:rsidR="009430EA" w:rsidRDefault="009430EA" w:rsidP="009430EA">
      <w:pPr>
        <w:jc w:val="both"/>
        <w:rPr>
          <w:rFonts w:cs="Perpetua"/>
          <w:szCs w:val="24"/>
        </w:rPr>
      </w:pPr>
      <w:r>
        <w:rPr>
          <w:rFonts w:cs="Perpetua"/>
          <w:szCs w:val="24"/>
        </w:rPr>
        <w:t xml:space="preserve">Ponadto wskaźnik </w:t>
      </w:r>
      <w:r>
        <w:rPr>
          <w:rFonts w:cs="Perpetua"/>
          <w:i/>
          <w:szCs w:val="24"/>
        </w:rPr>
        <w:t xml:space="preserve">Liczba projektów z zakresu turystyki </w:t>
      </w:r>
      <w:r>
        <w:rPr>
          <w:rFonts w:cs="Perpetua"/>
          <w:szCs w:val="24"/>
        </w:rPr>
        <w:t>osiągnął wartość docelową wyższą niż zaplanowana. Powodem zaistniałej sytuacji była realizacja projektów o mniejszym dofinansowaniu niż założono podczas programowania.</w:t>
      </w:r>
    </w:p>
    <w:p w14:paraId="2E87E90C" w14:textId="77777777" w:rsidR="009430EA" w:rsidRDefault="009430EA" w:rsidP="009430EA">
      <w:pPr>
        <w:jc w:val="both"/>
        <w:rPr>
          <w:rFonts w:cs="Perpetua"/>
          <w:szCs w:val="24"/>
        </w:rPr>
      </w:pPr>
      <w:r>
        <w:rPr>
          <w:rFonts w:cs="Perpetua"/>
          <w:szCs w:val="24"/>
        </w:rPr>
        <w:t xml:space="preserve">Problematycznym w trakcie wdrażania przedmiotowego priorytetu był </w:t>
      </w:r>
      <w:r w:rsidRPr="00E63B1F">
        <w:rPr>
          <w:rFonts w:cs="Perpetua"/>
          <w:szCs w:val="24"/>
        </w:rPr>
        <w:t xml:space="preserve">wskaźnik rezultatu </w:t>
      </w:r>
      <w:r w:rsidRPr="00E63B1F">
        <w:rPr>
          <w:rFonts w:cs="Perpetua"/>
          <w:i/>
          <w:szCs w:val="24"/>
        </w:rPr>
        <w:t>Przychody z infrastruktury turystyki objętej wsparciem w ramach programu</w:t>
      </w:r>
      <w:r>
        <w:rPr>
          <w:szCs w:val="24"/>
        </w:rPr>
        <w:t>. Wartość wskaźnika przez długi czas była na niskim poziomie a oszacowanie jego wartości było utrudnione. W celu poprawnego monitorowania IZ RPO WSL zobligowała beneficjentów poprzez oświadczenie dołączone do wniosku o płatność końcową, że po roku od zakończenia przekażą przedmiotowe dane.</w:t>
      </w:r>
      <w:r>
        <w:rPr>
          <w:rFonts w:cs="Perpetua"/>
          <w:szCs w:val="24"/>
        </w:rPr>
        <w:t xml:space="preserve"> Ostatecznie wartość docelowa wskaźnika zostało przekroczona, a zaistniała sytuacja pokazała, że beneficjenci ze wpartej infrastruktury, osiągnęli wyższe niż zakładała IZ przychody.</w:t>
      </w:r>
    </w:p>
    <w:p w14:paraId="2F042EBA" w14:textId="77777777" w:rsidR="009430EA" w:rsidRPr="00C241BE" w:rsidRDefault="009430EA" w:rsidP="009430EA">
      <w:pPr>
        <w:jc w:val="both"/>
        <w:rPr>
          <w:rFonts w:cs="Perpetua"/>
          <w:szCs w:val="24"/>
        </w:rPr>
      </w:pPr>
      <w:r>
        <w:rPr>
          <w:rFonts w:cs="Perpetua"/>
          <w:szCs w:val="24"/>
        </w:rPr>
        <w:t xml:space="preserve">Powodem przekroczenia wartości wskaźnika </w:t>
      </w:r>
      <w:r>
        <w:rPr>
          <w:rFonts w:cs="Perpetua"/>
          <w:i/>
          <w:szCs w:val="24"/>
        </w:rPr>
        <w:t xml:space="preserve">Liczba osób korzystających z infrastruktury turystyki objętej wsparciem w ramach programu </w:t>
      </w:r>
      <w:r>
        <w:rPr>
          <w:rFonts w:cs="Perpetua"/>
          <w:szCs w:val="24"/>
        </w:rPr>
        <w:t>jest niedoszacowanie wskaźnika na etapie programowania.</w:t>
      </w:r>
    </w:p>
    <w:p w14:paraId="4E816658" w14:textId="325EFDD2" w:rsidR="009430EA" w:rsidRDefault="009430EA" w:rsidP="009430EA">
      <w:pPr>
        <w:jc w:val="both"/>
      </w:pPr>
      <w:r>
        <w:t xml:space="preserve">Realizacja wskaźnika </w:t>
      </w:r>
      <w:r>
        <w:rPr>
          <w:i/>
          <w:iCs/>
        </w:rPr>
        <w:t xml:space="preserve">Liczba bezpośrednio utworzonych nowych miejsca pracy (EPC) </w:t>
      </w:r>
      <w:r>
        <w:t>w podziale na kobiety i mężczyzn w omawianym priorytecie wskazuje na większą liczbę utworzonych etatów dla kobiet (942,6) niż mężczyzn (555,84). Sytuacja ta znajduje swoje podłoże w sfeminizowanej branży</w:t>
      </w:r>
      <w:r w:rsidR="00B6450A">
        <w:t>,</w:t>
      </w:r>
      <w:r>
        <w:t xml:space="preserve"> jaką jest turystyka. Równość szans kobiet i mężczyzn jest ważnym elementem szerszej kwestii równości szans, której</w:t>
      </w:r>
      <w:r w:rsidR="00B8015D">
        <w:t xml:space="preserve"> przestrzeganie stanowi jedną z </w:t>
      </w:r>
      <w:r>
        <w:t xml:space="preserve">podstawowych zasad RPO WSL. Przy programowaniu zostały założone podwskaźniki: </w:t>
      </w:r>
      <w:r>
        <w:lastRenderedPageBreak/>
        <w:t>miejsca pracy w podziale na płeć na równym poziomie, b</w:t>
      </w:r>
      <w:r w:rsidR="00B8015D">
        <w:t>eneficjenci składając wnioski o </w:t>
      </w:r>
      <w:r>
        <w:t xml:space="preserve">dofinansowanie nie deklarowali kogo zatrudnią, gdyż zostałaby zaburzona omawiana zasada, każdy ma mieć równy dostęp do zatrudnienia. Analizując </w:t>
      </w:r>
      <w:r w:rsidR="00B8015D">
        <w:t>omawiany wskaźnik w podziale na </w:t>
      </w:r>
      <w:r>
        <w:t>priorytety można zaobserwować, że w jednych zatrud</w:t>
      </w:r>
      <w:r w:rsidR="00705601">
        <w:t>nionych zostało więcej kobiet w </w:t>
      </w:r>
      <w:r>
        <w:t>innych mężczyzn. IZ RPO WSL przyjęła odpowiednie kryte</w:t>
      </w:r>
      <w:r w:rsidR="00705601">
        <w:t>ria wyboru projektów do </w:t>
      </w:r>
      <w:r>
        <w:t>dofinansowania dot. polityk horyzontalnych (określenie stopnia realizacji polityki równych szans, polityki ochrony środowiska, wpływ projektu na utworzenie nowych miejsc pracy). Projekt mający pozytywny wpływ na realizacje poszczególnych polityk horyzontalnych otrzymywał dodatkowe punkty w trakcie przeprowadzanej oceny merytoryczno-technicznej, co w konsekwencji zwiększa jego szansę na otrzymanie dofinansowania.</w:t>
      </w:r>
    </w:p>
    <w:p w14:paraId="55401077" w14:textId="77777777" w:rsidR="009430EA" w:rsidRPr="00271A6D" w:rsidRDefault="009430EA" w:rsidP="009430EA">
      <w:pPr>
        <w:jc w:val="both"/>
      </w:pPr>
      <w:r>
        <w:t>Poniżej na wykresie zaprezentowano podział wskaźników ze względu na procent realizacji.</w:t>
      </w:r>
    </w:p>
    <w:p w14:paraId="15C47E8C" w14:textId="77777777" w:rsidR="009430EA" w:rsidRDefault="009430EA" w:rsidP="009430EA">
      <w:pPr>
        <w:jc w:val="both"/>
        <w:rPr>
          <w:color w:val="000000"/>
        </w:rPr>
      </w:pPr>
      <w:r>
        <w:rPr>
          <w:noProof/>
        </w:rPr>
        <w:drawing>
          <wp:inline distT="0" distB="0" distL="0" distR="0" wp14:anchorId="52F5895D" wp14:editId="49AEF843">
            <wp:extent cx="5779922" cy="2743200"/>
            <wp:effectExtent l="0" t="0" r="0" b="0"/>
            <wp:docPr id="129" name="Wykres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2E37881E" w14:textId="2ADA783C" w:rsidR="009430EA" w:rsidRPr="009430EA" w:rsidRDefault="00B66319" w:rsidP="00B66319">
      <w:pPr>
        <w:pStyle w:val="Legenda"/>
        <w:rPr>
          <w:color w:val="auto"/>
          <w:sz w:val="20"/>
          <w:szCs w:val="20"/>
        </w:rPr>
      </w:pPr>
      <w:bookmarkStart w:id="351" w:name="_Toc476832955"/>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37</w:t>
      </w:r>
      <w:r w:rsidR="00A44293" w:rsidRPr="00A44293">
        <w:rPr>
          <w:noProof/>
          <w:color w:val="auto"/>
        </w:rPr>
        <w:fldChar w:fldCharType="end"/>
      </w:r>
      <w:r>
        <w:t xml:space="preserve"> </w:t>
      </w:r>
      <w:r w:rsidR="009E3592">
        <w:rPr>
          <w:b w:val="0"/>
          <w:i/>
          <w:color w:val="auto"/>
          <w:sz w:val="20"/>
          <w:szCs w:val="20"/>
        </w:rPr>
        <w:t xml:space="preserve">Osiągnięty poziom wartości docelowej wskaźników w ramach </w:t>
      </w:r>
      <w:r w:rsidR="009E3592" w:rsidRPr="009E3592">
        <w:rPr>
          <w:b w:val="0"/>
          <w:i/>
          <w:color w:val="auto"/>
          <w:sz w:val="20"/>
          <w:szCs w:val="20"/>
        </w:rPr>
        <w:t>priorytetu III</w:t>
      </w:r>
      <w:bookmarkEnd w:id="351"/>
    </w:p>
    <w:p w14:paraId="236DB6C6" w14:textId="2DC78B78" w:rsidR="009430EA" w:rsidRDefault="009430EA" w:rsidP="009430EA">
      <w:pPr>
        <w:jc w:val="both"/>
        <w:rPr>
          <w:color w:val="000000"/>
        </w:rPr>
      </w:pPr>
      <w:r>
        <w:rPr>
          <w:color w:val="000000"/>
        </w:rPr>
        <w:t xml:space="preserve">Odnosząc się do analizy SWOT zawartej w </w:t>
      </w:r>
      <w:r>
        <w:rPr>
          <w:i/>
          <w:color w:val="000000"/>
        </w:rPr>
        <w:t xml:space="preserve">Programie </w:t>
      </w:r>
      <w:r>
        <w:rPr>
          <w:color w:val="000000"/>
        </w:rPr>
        <w:t>w priorytecie III realizacja wszystkich wskaźników stanowi odpowiedź na zdefiniowaną słabą stronę - uboga infrastruktura turystyczna.</w:t>
      </w:r>
    </w:p>
    <w:p w14:paraId="43099588" w14:textId="179636F3" w:rsidR="009430EA" w:rsidRDefault="009430EA" w:rsidP="009430EA">
      <w:pPr>
        <w:jc w:val="both"/>
      </w:pPr>
      <w:r>
        <w:t xml:space="preserve">Korelację pomiędzy wskaźnikami w ramach </w:t>
      </w:r>
      <w:r w:rsidR="009E3592">
        <w:t>priorytetu III</w:t>
      </w:r>
      <w:r>
        <w:t xml:space="preserve"> a Strategi</w:t>
      </w:r>
      <w:r w:rsidR="00705601">
        <w:t>ą UE 2020 przedstawiono poniżej.</w:t>
      </w:r>
    </w:p>
    <w:p w14:paraId="4D643D7B" w14:textId="34612CDB" w:rsidR="009430EA" w:rsidRDefault="00B66319" w:rsidP="00B66319">
      <w:pPr>
        <w:pStyle w:val="Legenda"/>
      </w:pPr>
      <w:bookmarkStart w:id="352" w:name="_Toc476131804"/>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21</w:t>
      </w:r>
      <w:r w:rsidR="00A44293" w:rsidRPr="00A44293">
        <w:rPr>
          <w:noProof/>
          <w:color w:val="auto"/>
        </w:rPr>
        <w:fldChar w:fldCharType="end"/>
      </w:r>
      <w:r>
        <w:t xml:space="preserve"> </w:t>
      </w:r>
      <w:r w:rsidR="009E3592">
        <w:rPr>
          <w:b w:val="0"/>
          <w:i/>
          <w:color w:val="auto"/>
          <w:sz w:val="20"/>
          <w:szCs w:val="20"/>
        </w:rPr>
        <w:t>Korelacja pomiędzy wskaźnikami w ramach priorytetu III</w:t>
      </w:r>
      <w:r w:rsidR="009430EA" w:rsidRPr="0086566F">
        <w:rPr>
          <w:b w:val="0"/>
          <w:i/>
          <w:color w:val="auto"/>
          <w:sz w:val="20"/>
          <w:szCs w:val="20"/>
        </w:rPr>
        <w:t xml:space="preserve"> a Strategią UE 2020 w zakresie wskaźników</w:t>
      </w:r>
      <w:bookmarkEnd w:id="352"/>
    </w:p>
    <w:tbl>
      <w:tblPr>
        <w:tblStyle w:val="Tabelalisty3akcent6"/>
        <w:tblW w:w="0" w:type="auto"/>
        <w:tblLook w:val="04A0" w:firstRow="1" w:lastRow="0" w:firstColumn="1" w:lastColumn="0" w:noHBand="0" w:noVBand="1"/>
      </w:tblPr>
      <w:tblGrid>
        <w:gridCol w:w="4531"/>
        <w:gridCol w:w="4531"/>
      </w:tblGrid>
      <w:tr w:rsidR="009430EA" w:rsidRPr="00CE6666" w14:paraId="720ACFEB" w14:textId="77777777" w:rsidTr="00705601">
        <w:trPr>
          <w:cnfStyle w:val="100000000000" w:firstRow="1" w:lastRow="0" w:firstColumn="0" w:lastColumn="0" w:oddVBand="0" w:evenVBand="0" w:oddHBand="0" w:evenHBand="0" w:firstRowFirstColumn="0" w:firstRowLastColumn="0" w:lastRowFirstColumn="0" w:lastRowLastColumn="0"/>
          <w:trHeight w:val="448"/>
        </w:trPr>
        <w:tc>
          <w:tcPr>
            <w:cnfStyle w:val="001000000100" w:firstRow="0" w:lastRow="0" w:firstColumn="1" w:lastColumn="0" w:oddVBand="0" w:evenVBand="0" w:oddHBand="0" w:evenHBand="0" w:firstRowFirstColumn="1" w:firstRowLastColumn="0" w:lastRowFirstColumn="0" w:lastRowLastColumn="0"/>
            <w:tcW w:w="4531" w:type="dxa"/>
            <w:vAlign w:val="center"/>
          </w:tcPr>
          <w:p w14:paraId="61BA66CF" w14:textId="6898582A" w:rsidR="009430EA" w:rsidRPr="00705601" w:rsidRDefault="00705601" w:rsidP="00705601">
            <w:pPr>
              <w:jc w:val="center"/>
              <w:rPr>
                <w:color w:val="auto"/>
                <w:sz w:val="20"/>
                <w:szCs w:val="20"/>
              </w:rPr>
            </w:pPr>
            <w:r w:rsidRPr="00705601">
              <w:rPr>
                <w:color w:val="auto"/>
                <w:sz w:val="20"/>
                <w:szCs w:val="20"/>
              </w:rPr>
              <w:t>INICJATYWA FLAGOWA</w:t>
            </w:r>
          </w:p>
        </w:tc>
        <w:tc>
          <w:tcPr>
            <w:tcW w:w="4531" w:type="dxa"/>
            <w:vAlign w:val="center"/>
          </w:tcPr>
          <w:p w14:paraId="4706FC53" w14:textId="0BFAD885" w:rsidR="009430EA" w:rsidRPr="00705601" w:rsidRDefault="00705601" w:rsidP="00705601">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05601">
              <w:rPr>
                <w:color w:val="auto"/>
                <w:sz w:val="20"/>
                <w:szCs w:val="20"/>
              </w:rPr>
              <w:t>WSKAŹNIK</w:t>
            </w:r>
          </w:p>
        </w:tc>
      </w:tr>
      <w:tr w:rsidR="009430EA" w:rsidRPr="00CE6666" w14:paraId="721FBDEE" w14:textId="77777777" w:rsidTr="007056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23D76D6C" w14:textId="77777777" w:rsidR="009430EA" w:rsidRPr="00705601" w:rsidRDefault="009430EA" w:rsidP="00705601">
            <w:pPr>
              <w:spacing w:after="0" w:line="240" w:lineRule="auto"/>
              <w:contextualSpacing/>
              <w:rPr>
                <w:b w:val="0"/>
                <w:sz w:val="20"/>
                <w:szCs w:val="20"/>
              </w:rPr>
            </w:pPr>
            <w:r w:rsidRPr="00705601">
              <w:rPr>
                <w:rFonts w:eastAsia="+mn-ea"/>
                <w:b w:val="0"/>
                <w:sz w:val="20"/>
                <w:szCs w:val="20"/>
              </w:rPr>
              <w:t>Europejska Agenda Cyfrowa</w:t>
            </w:r>
          </w:p>
          <w:p w14:paraId="1A8D963D" w14:textId="77777777" w:rsidR="009430EA" w:rsidRPr="00705601" w:rsidRDefault="009430EA" w:rsidP="00705601">
            <w:pPr>
              <w:rPr>
                <w:b w:val="0"/>
                <w:sz w:val="20"/>
                <w:szCs w:val="20"/>
              </w:rPr>
            </w:pPr>
          </w:p>
        </w:tc>
        <w:tc>
          <w:tcPr>
            <w:tcW w:w="4531" w:type="dxa"/>
            <w:vAlign w:val="center"/>
          </w:tcPr>
          <w:p w14:paraId="44C95902" w14:textId="77777777" w:rsidR="009430EA" w:rsidRPr="00CE6666" w:rsidRDefault="009430EA" w:rsidP="00705601">
            <w:p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rPr>
            </w:pPr>
            <w:r w:rsidRPr="00CE6666">
              <w:rPr>
                <w:rFonts w:eastAsia="+mn-ea"/>
                <w:iCs/>
                <w:sz w:val="20"/>
                <w:szCs w:val="20"/>
              </w:rPr>
              <w:t>Liczba projektów dot. infrastruktury społeczeństwa informacyjnego</w:t>
            </w:r>
          </w:p>
          <w:p w14:paraId="7B687A10" w14:textId="77777777" w:rsidR="009430EA" w:rsidRPr="00CE6666" w:rsidRDefault="009430EA" w:rsidP="00705601">
            <w:pPr>
              <w:cnfStyle w:val="000000100000" w:firstRow="0" w:lastRow="0" w:firstColumn="0" w:lastColumn="0" w:oddVBand="0" w:evenVBand="0" w:oddHBand="1" w:evenHBand="0" w:firstRowFirstColumn="0" w:firstRowLastColumn="0" w:lastRowFirstColumn="0" w:lastRowLastColumn="0"/>
              <w:rPr>
                <w:sz w:val="20"/>
                <w:szCs w:val="20"/>
              </w:rPr>
            </w:pPr>
          </w:p>
        </w:tc>
      </w:tr>
      <w:tr w:rsidR="009430EA" w:rsidRPr="00CE6666" w14:paraId="4EB0E542" w14:textId="77777777" w:rsidTr="00705601">
        <w:tc>
          <w:tcPr>
            <w:cnfStyle w:val="001000000000" w:firstRow="0" w:lastRow="0" w:firstColumn="1" w:lastColumn="0" w:oddVBand="0" w:evenVBand="0" w:oddHBand="0" w:evenHBand="0" w:firstRowFirstColumn="0" w:firstRowLastColumn="0" w:lastRowFirstColumn="0" w:lastRowLastColumn="0"/>
            <w:tcW w:w="4531" w:type="dxa"/>
            <w:vAlign w:val="center"/>
          </w:tcPr>
          <w:p w14:paraId="46C6590F" w14:textId="77777777" w:rsidR="009430EA" w:rsidRPr="00705601" w:rsidRDefault="009430EA" w:rsidP="00705601">
            <w:pPr>
              <w:spacing w:after="0" w:line="240" w:lineRule="auto"/>
              <w:contextualSpacing/>
              <w:rPr>
                <w:b w:val="0"/>
                <w:sz w:val="20"/>
                <w:szCs w:val="20"/>
              </w:rPr>
            </w:pPr>
            <w:r w:rsidRPr="00705601">
              <w:rPr>
                <w:rFonts w:eastAsia="+mn-ea"/>
                <w:b w:val="0"/>
                <w:sz w:val="20"/>
                <w:szCs w:val="20"/>
              </w:rPr>
              <w:t>Polityka przemysłowa w erze globalizacji</w:t>
            </w:r>
          </w:p>
          <w:p w14:paraId="42536931" w14:textId="77777777" w:rsidR="009430EA" w:rsidRPr="00705601" w:rsidRDefault="009430EA" w:rsidP="00705601">
            <w:pPr>
              <w:rPr>
                <w:b w:val="0"/>
                <w:sz w:val="20"/>
                <w:szCs w:val="20"/>
              </w:rPr>
            </w:pPr>
          </w:p>
        </w:tc>
        <w:tc>
          <w:tcPr>
            <w:tcW w:w="4531" w:type="dxa"/>
            <w:vAlign w:val="center"/>
          </w:tcPr>
          <w:p w14:paraId="14F7675A" w14:textId="77777777" w:rsidR="009430EA" w:rsidRPr="00CE6666" w:rsidRDefault="009430EA" w:rsidP="00705601">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CE6666">
              <w:rPr>
                <w:rFonts w:eastAsia="+mn-ea"/>
                <w:iCs/>
                <w:sz w:val="20"/>
                <w:szCs w:val="20"/>
              </w:rPr>
              <w:t>Liczba projektów z zakresu bezpośredniej pomocy inwestycyjnej dla MSP</w:t>
            </w:r>
          </w:p>
          <w:p w14:paraId="7244A668" w14:textId="77777777" w:rsidR="009430EA" w:rsidRPr="00CE6666" w:rsidRDefault="009430EA" w:rsidP="00705601">
            <w:pPr>
              <w:cnfStyle w:val="000000000000" w:firstRow="0" w:lastRow="0" w:firstColumn="0" w:lastColumn="0" w:oddVBand="0" w:evenVBand="0" w:oddHBand="0" w:evenHBand="0" w:firstRowFirstColumn="0" w:firstRowLastColumn="0" w:lastRowFirstColumn="0" w:lastRowLastColumn="0"/>
              <w:rPr>
                <w:sz w:val="20"/>
                <w:szCs w:val="20"/>
              </w:rPr>
            </w:pPr>
          </w:p>
        </w:tc>
      </w:tr>
    </w:tbl>
    <w:p w14:paraId="52381AAD" w14:textId="77777777" w:rsidR="009430EA" w:rsidRDefault="009430EA" w:rsidP="009430EA">
      <w:pPr>
        <w:jc w:val="both"/>
      </w:pPr>
    </w:p>
    <w:p w14:paraId="0EB9A1E1" w14:textId="6EAFE43D" w:rsidR="009430EA" w:rsidRDefault="009430EA" w:rsidP="009430EA">
      <w:pPr>
        <w:jc w:val="both"/>
        <w:rPr>
          <w:rFonts w:cs="Perpetua"/>
          <w:i/>
          <w:szCs w:val="24"/>
        </w:rPr>
      </w:pPr>
      <w:r w:rsidRPr="0069713D">
        <w:rPr>
          <w:rFonts w:cs="Perpetua"/>
          <w:szCs w:val="24"/>
        </w:rPr>
        <w:lastRenderedPageBreak/>
        <w:t xml:space="preserve">W ramach </w:t>
      </w:r>
      <w:r>
        <w:rPr>
          <w:rFonts w:cs="Perpetua"/>
          <w:i/>
          <w:szCs w:val="24"/>
        </w:rPr>
        <w:t>p</w:t>
      </w:r>
      <w:r w:rsidRPr="0069713D">
        <w:rPr>
          <w:rFonts w:cs="Perpetua"/>
          <w:i/>
          <w:szCs w:val="24"/>
        </w:rPr>
        <w:t xml:space="preserve">riorytetu III </w:t>
      </w:r>
      <w:r>
        <w:rPr>
          <w:rFonts w:cs="Perpetua"/>
          <w:szCs w:val="24"/>
        </w:rPr>
        <w:t>realizowane</w:t>
      </w:r>
      <w:r w:rsidRPr="0069713D">
        <w:rPr>
          <w:rFonts w:cs="Perpetua"/>
          <w:szCs w:val="24"/>
        </w:rPr>
        <w:t xml:space="preserve"> </w:t>
      </w:r>
      <w:r w:rsidR="00705601">
        <w:rPr>
          <w:rFonts w:cs="Perpetua"/>
          <w:szCs w:val="24"/>
        </w:rPr>
        <w:t xml:space="preserve">były następujące wskaźniki KE </w:t>
      </w:r>
      <w:r w:rsidR="00705601">
        <w:rPr>
          <w:rFonts w:cs="Perpetua"/>
          <w:i/>
          <w:szCs w:val="24"/>
        </w:rPr>
        <w:t>core i</w:t>
      </w:r>
      <w:r w:rsidRPr="0069713D">
        <w:rPr>
          <w:rFonts w:cs="Perpetua"/>
          <w:i/>
          <w:szCs w:val="24"/>
        </w:rPr>
        <w:t>ndicators</w:t>
      </w:r>
      <w:r>
        <w:rPr>
          <w:rFonts w:cs="Perpetua"/>
          <w:i/>
          <w:szCs w:val="24"/>
        </w:rPr>
        <w:t>:</w:t>
      </w:r>
    </w:p>
    <w:p w14:paraId="0283E31F" w14:textId="77777777" w:rsidR="009430EA" w:rsidRPr="00B34ADE" w:rsidRDefault="009430EA" w:rsidP="004914D8">
      <w:pPr>
        <w:pStyle w:val="Akapitzlist"/>
        <w:numPr>
          <w:ilvl w:val="0"/>
          <w:numId w:val="67"/>
        </w:numPr>
        <w:jc w:val="both"/>
        <w:rPr>
          <w:i/>
          <w:sz w:val="23"/>
          <w:szCs w:val="23"/>
        </w:rPr>
      </w:pPr>
      <w:r w:rsidRPr="00ED5E63">
        <w:rPr>
          <w:i/>
          <w:sz w:val="23"/>
          <w:szCs w:val="23"/>
        </w:rPr>
        <w:t>Liczba projektów z zakresu społeczeństwa informacyjnego</w:t>
      </w:r>
    </w:p>
    <w:p w14:paraId="18ACE073" w14:textId="77777777" w:rsidR="009430EA" w:rsidRPr="00ED5E63" w:rsidRDefault="009430EA" w:rsidP="004914D8">
      <w:pPr>
        <w:pStyle w:val="Akapitzlist"/>
        <w:numPr>
          <w:ilvl w:val="0"/>
          <w:numId w:val="67"/>
        </w:numPr>
        <w:jc w:val="both"/>
        <w:rPr>
          <w:i/>
          <w:sz w:val="23"/>
          <w:szCs w:val="23"/>
        </w:rPr>
      </w:pPr>
      <w:r w:rsidRPr="00ED5E63">
        <w:rPr>
          <w:i/>
          <w:sz w:val="23"/>
          <w:szCs w:val="23"/>
        </w:rPr>
        <w:t>Utworzone miejsca pracy</w:t>
      </w:r>
    </w:p>
    <w:p w14:paraId="3B2B5A7F" w14:textId="77777777" w:rsidR="009430EA" w:rsidRPr="00ED5E63" w:rsidRDefault="009430EA" w:rsidP="009430EA">
      <w:pPr>
        <w:pStyle w:val="Akapitzlist"/>
        <w:jc w:val="both"/>
        <w:rPr>
          <w:i/>
          <w:sz w:val="23"/>
          <w:szCs w:val="23"/>
        </w:rPr>
      </w:pPr>
      <w:r w:rsidRPr="00ED5E63">
        <w:rPr>
          <w:i/>
          <w:sz w:val="23"/>
          <w:szCs w:val="23"/>
        </w:rPr>
        <w:t>z tego: dla mężczyzn</w:t>
      </w:r>
    </w:p>
    <w:p w14:paraId="0DDEF09D" w14:textId="0AA08346" w:rsidR="009430EA" w:rsidRPr="00A44293" w:rsidRDefault="009430EA" w:rsidP="00A44293">
      <w:pPr>
        <w:pStyle w:val="Akapitzlist"/>
        <w:jc w:val="both"/>
        <w:rPr>
          <w:i/>
          <w:sz w:val="23"/>
          <w:szCs w:val="23"/>
        </w:rPr>
      </w:pPr>
      <w:r w:rsidRPr="00ED5E63">
        <w:rPr>
          <w:i/>
          <w:sz w:val="23"/>
          <w:szCs w:val="23"/>
        </w:rPr>
        <w:t>z tego: dla kobiet</w:t>
      </w:r>
    </w:p>
    <w:p w14:paraId="54EB9B01" w14:textId="77777777" w:rsidR="00E55D2F" w:rsidRPr="0071369D" w:rsidRDefault="00E55D2F" w:rsidP="0094320D">
      <w:pPr>
        <w:jc w:val="both"/>
        <w:rPr>
          <w:szCs w:val="24"/>
        </w:rPr>
      </w:pPr>
      <w:r w:rsidRPr="0071369D">
        <w:rPr>
          <w:b/>
          <w:bCs/>
          <w:szCs w:val="24"/>
        </w:rPr>
        <w:t xml:space="preserve">Realizacja ewentualnych zaleceń i rekomendacji KE </w:t>
      </w:r>
    </w:p>
    <w:p w14:paraId="7126773C" w14:textId="77777777" w:rsidR="00DB4A38" w:rsidRDefault="00DB4A38" w:rsidP="00DB4A38">
      <w:pPr>
        <w:spacing w:before="120" w:after="120"/>
        <w:jc w:val="both"/>
        <w:rPr>
          <w:lang w:eastAsia="ar-SA"/>
        </w:rPr>
      </w:pPr>
      <w:r w:rsidRPr="00BA2CDA">
        <w:rPr>
          <w:lang w:eastAsia="ar-SA"/>
        </w:rPr>
        <w:t xml:space="preserve">IZ RPO WSL </w:t>
      </w:r>
      <w:r>
        <w:rPr>
          <w:lang w:eastAsia="ar-SA"/>
        </w:rPr>
        <w:t>otrzymywała zalecenia/rekomendacje ze strony KE w ramach przedmiotowego priorytetu w zakresie doprecyzowania lub uzupełnienia</w:t>
      </w:r>
      <w:r w:rsidRPr="003A7E82">
        <w:rPr>
          <w:lang w:eastAsia="ar-SA"/>
        </w:rPr>
        <w:t xml:space="preserve"> </w:t>
      </w:r>
      <w:r>
        <w:rPr>
          <w:lang w:eastAsia="ar-SA"/>
        </w:rPr>
        <w:t>w kolejnych sprawozdaniach</w:t>
      </w:r>
      <w:r w:rsidRPr="009C6E3A">
        <w:rPr>
          <w:lang w:eastAsia="ar-SA"/>
        </w:rPr>
        <w:t xml:space="preserve"> </w:t>
      </w:r>
      <w:r>
        <w:rPr>
          <w:lang w:eastAsia="ar-SA"/>
        </w:rPr>
        <w:t>przedstawianych informacji dot. wdrażania priorytetu.</w:t>
      </w:r>
    </w:p>
    <w:p w14:paraId="33DEA601" w14:textId="77777777" w:rsidR="006601B6" w:rsidRDefault="006601B6" w:rsidP="006601B6">
      <w:pPr>
        <w:spacing w:before="120" w:after="120"/>
        <w:jc w:val="both"/>
        <w:rPr>
          <w:b/>
          <w:lang w:eastAsia="ar-SA"/>
        </w:rPr>
      </w:pPr>
      <w:r w:rsidRPr="00194369">
        <w:rPr>
          <w:b/>
          <w:lang w:eastAsia="ar-SA"/>
        </w:rPr>
        <w:t>Opis wkładu priorytetu w redukcję ubóstwa</w:t>
      </w:r>
    </w:p>
    <w:p w14:paraId="0BF43D41" w14:textId="7C116D0E" w:rsidR="006601B6" w:rsidRPr="006601B6" w:rsidRDefault="00CE3EA6" w:rsidP="006601B6">
      <w:pPr>
        <w:autoSpaceDE w:val="0"/>
        <w:autoSpaceDN w:val="0"/>
        <w:adjustRightInd w:val="0"/>
        <w:spacing w:before="120" w:after="120"/>
        <w:jc w:val="both"/>
        <w:rPr>
          <w:rFonts w:eastAsia="Calibri"/>
          <w:szCs w:val="24"/>
        </w:rPr>
      </w:pPr>
      <w:r>
        <w:rPr>
          <w:rFonts w:eastAsia="Calibri"/>
          <w:szCs w:val="24"/>
        </w:rPr>
        <w:t xml:space="preserve">W ramach </w:t>
      </w:r>
      <w:r w:rsidR="00983FA5">
        <w:rPr>
          <w:rFonts w:eastAsia="Calibri"/>
          <w:szCs w:val="24"/>
        </w:rPr>
        <w:t>o</w:t>
      </w:r>
      <w:r>
        <w:rPr>
          <w:rFonts w:eastAsia="Calibri"/>
          <w:szCs w:val="24"/>
        </w:rPr>
        <w:t>si</w:t>
      </w:r>
      <w:r w:rsidR="006601B6">
        <w:rPr>
          <w:rFonts w:eastAsia="Calibri"/>
          <w:szCs w:val="24"/>
        </w:rPr>
        <w:t xml:space="preserve"> priorytet</w:t>
      </w:r>
      <w:r>
        <w:rPr>
          <w:rFonts w:eastAsia="Calibri"/>
          <w:szCs w:val="24"/>
        </w:rPr>
        <w:t>owej III nie realizowano</w:t>
      </w:r>
      <w:r w:rsidR="00A44293">
        <w:rPr>
          <w:rFonts w:eastAsia="Calibri"/>
          <w:szCs w:val="24"/>
        </w:rPr>
        <w:t xml:space="preserve"> projektów wpływających</w:t>
      </w:r>
      <w:r w:rsidR="006601B6">
        <w:rPr>
          <w:rFonts w:eastAsia="Calibri"/>
          <w:szCs w:val="24"/>
        </w:rPr>
        <w:t xml:space="preserve"> na redukcję ubóstwa.</w:t>
      </w:r>
    </w:p>
    <w:p w14:paraId="5A99C8E0" w14:textId="77777777" w:rsidR="00E55D2F" w:rsidRPr="005D489D" w:rsidRDefault="00E55D2F" w:rsidP="0095687D">
      <w:pPr>
        <w:pStyle w:val="Akapitzlist"/>
        <w:spacing w:before="120" w:after="120"/>
        <w:ind w:left="0"/>
        <w:jc w:val="both"/>
        <w:rPr>
          <w:b/>
          <w:bCs/>
          <w:szCs w:val="24"/>
        </w:rPr>
      </w:pPr>
      <w:r w:rsidRPr="005D489D">
        <w:rPr>
          <w:b/>
          <w:bCs/>
          <w:szCs w:val="24"/>
        </w:rPr>
        <w:t>Podsumowanie</w:t>
      </w:r>
    </w:p>
    <w:p w14:paraId="57744B2C" w14:textId="454BFA0C" w:rsidR="001A6330" w:rsidRPr="001B3522" w:rsidRDefault="001A6330" w:rsidP="001A6330">
      <w:pPr>
        <w:pStyle w:val="Akapitzlist"/>
        <w:spacing w:before="120" w:after="120"/>
        <w:ind w:left="0"/>
        <w:jc w:val="both"/>
        <w:rPr>
          <w:bCs/>
          <w:szCs w:val="24"/>
        </w:rPr>
      </w:pPr>
      <w:r w:rsidRPr="001B3522">
        <w:rPr>
          <w:bCs/>
          <w:szCs w:val="24"/>
        </w:rPr>
        <w:t xml:space="preserve">W ramach priorytetu III preferowane były projekty kompleksowe o zasięgu ponadlokalnym, przyczyniające się do wzrostu gospodarczego województwa, tworzące nowe produkty turystyczne, uwarunkowane wykorzystaniem elementów regionalnego i lokalnego dziedzictwa kulturowego oraz realizujące założenia wynikające ze </w:t>
      </w:r>
      <w:r w:rsidR="009F5420">
        <w:rPr>
          <w:bCs/>
          <w:i/>
          <w:szCs w:val="24"/>
        </w:rPr>
        <w:t>Strategii Rozwoju Turystyki w </w:t>
      </w:r>
      <w:r w:rsidRPr="001B3522">
        <w:rPr>
          <w:bCs/>
          <w:i/>
          <w:szCs w:val="24"/>
        </w:rPr>
        <w:t>Województwie Śląskim na lata 2004 – 2013</w:t>
      </w:r>
      <w:r w:rsidRPr="001B3522">
        <w:rPr>
          <w:bCs/>
          <w:szCs w:val="24"/>
        </w:rPr>
        <w:t>. W p</w:t>
      </w:r>
      <w:r w:rsidR="0095687D">
        <w:rPr>
          <w:bCs/>
          <w:szCs w:val="24"/>
        </w:rPr>
        <w:t>riorytecie III</w:t>
      </w:r>
      <w:r w:rsidRPr="001B3522">
        <w:rPr>
          <w:bCs/>
          <w:szCs w:val="24"/>
        </w:rPr>
        <w:t xml:space="preserve"> wydzielone zostały działania skierowane do przedsiębiorców oraz podmiotów publicznych. Oprócz działań inwestycyjnych w obszarze turystyki (</w:t>
      </w:r>
      <w:r w:rsidRPr="009F5420">
        <w:rPr>
          <w:bCs/>
          <w:i/>
          <w:szCs w:val="24"/>
        </w:rPr>
        <w:t>działania 3.1 i 3.2</w:t>
      </w:r>
      <w:r w:rsidRPr="001B3522">
        <w:rPr>
          <w:bCs/>
          <w:szCs w:val="24"/>
        </w:rPr>
        <w:t>) finansowano również tworzenie sprawnego systemu informacji turystycznej (</w:t>
      </w:r>
      <w:r w:rsidRPr="009F5420">
        <w:rPr>
          <w:bCs/>
          <w:i/>
          <w:szCs w:val="24"/>
        </w:rPr>
        <w:t>działanie 3.3</w:t>
      </w:r>
      <w:r w:rsidRPr="001B3522">
        <w:rPr>
          <w:bCs/>
          <w:szCs w:val="24"/>
        </w:rPr>
        <w:t>) oraz promocję turystyki (</w:t>
      </w:r>
      <w:r w:rsidRPr="009F5420">
        <w:rPr>
          <w:bCs/>
          <w:i/>
          <w:szCs w:val="24"/>
        </w:rPr>
        <w:t>działanie 3.4</w:t>
      </w:r>
      <w:r w:rsidRPr="001B3522">
        <w:rPr>
          <w:bCs/>
          <w:szCs w:val="24"/>
        </w:rPr>
        <w:t>). Poszczególne typy inwestycji przyczyniły się w różnym stopniu do wzrostu konkurencyjności turystycznej regionu. Szczególnie dużą wagę dla osiągnięcia celu priorytetu miały działania zmierzaj</w:t>
      </w:r>
      <w:r w:rsidR="009F5420">
        <w:rPr>
          <w:bCs/>
          <w:szCs w:val="24"/>
        </w:rPr>
        <w:t>ące do </w:t>
      </w:r>
      <w:r w:rsidRPr="001B3522">
        <w:rPr>
          <w:bCs/>
          <w:szCs w:val="24"/>
        </w:rPr>
        <w:t>tworzenia i rozwoju regionalnych produktów turystycznych oraz wzrostu rozpoznawalności regionalnej oferty turystycznej. W porównaniu d</w:t>
      </w:r>
      <w:r w:rsidR="001B3522">
        <w:rPr>
          <w:bCs/>
          <w:szCs w:val="24"/>
        </w:rPr>
        <w:t>o </w:t>
      </w:r>
      <w:r w:rsidRPr="001B3522">
        <w:rPr>
          <w:bCs/>
          <w:szCs w:val="24"/>
        </w:rPr>
        <w:t xml:space="preserve">województw sąsiednich, projekty z zakresu informacji turystycznej przede wszystkim nie </w:t>
      </w:r>
      <w:r w:rsidR="008707A0">
        <w:rPr>
          <w:bCs/>
          <w:szCs w:val="24"/>
        </w:rPr>
        <w:t>były</w:t>
      </w:r>
      <w:r w:rsidRPr="001B3522">
        <w:rPr>
          <w:bCs/>
          <w:szCs w:val="24"/>
        </w:rPr>
        <w:t xml:space="preserve"> wystarczająco zintegr</w:t>
      </w:r>
      <w:r w:rsidR="009F5420">
        <w:rPr>
          <w:bCs/>
          <w:szCs w:val="24"/>
        </w:rPr>
        <w:t>owane, a poza tym w </w:t>
      </w:r>
      <w:r w:rsidRPr="001B3522">
        <w:rPr>
          <w:bCs/>
          <w:szCs w:val="24"/>
        </w:rPr>
        <w:t xml:space="preserve">niewystarczającym stopniu uwzględniają wyzwania wynikające ze zmieniających się nawyków komunikacyjnych turystów. </w:t>
      </w:r>
    </w:p>
    <w:p w14:paraId="2374C7E7" w14:textId="1B97E909" w:rsidR="001A6330" w:rsidRPr="001B3522" w:rsidRDefault="001A6330" w:rsidP="001A6330">
      <w:pPr>
        <w:pStyle w:val="Akapitzlist"/>
        <w:spacing w:before="120" w:after="120"/>
        <w:ind w:left="0"/>
        <w:jc w:val="both"/>
        <w:rPr>
          <w:bCs/>
          <w:szCs w:val="24"/>
        </w:rPr>
      </w:pPr>
      <w:r w:rsidRPr="001B3522">
        <w:rPr>
          <w:bCs/>
          <w:szCs w:val="24"/>
        </w:rPr>
        <w:t>Dzięki realizacji projektów z zakresu turystyki osiągnięto</w:t>
      </w:r>
      <w:r w:rsidR="001B3522">
        <w:rPr>
          <w:bCs/>
          <w:szCs w:val="24"/>
        </w:rPr>
        <w:t xml:space="preserve"> pozytywne efekty gospodarcze i </w:t>
      </w:r>
      <w:r w:rsidRPr="001B3522">
        <w:rPr>
          <w:bCs/>
          <w:szCs w:val="24"/>
        </w:rPr>
        <w:t xml:space="preserve">społeczne w mikro skali oddziaływania projektu, takie jak: wzrost zatrudnienia, pozytywny wpływ na gospodarkę lokalną oraz pobudzanie przedsiębiorczości wśród społeczeństwa. </w:t>
      </w:r>
    </w:p>
    <w:p w14:paraId="5225B87E" w14:textId="05CC1A4E" w:rsidR="001A6330" w:rsidRPr="001B3522" w:rsidRDefault="001A6330" w:rsidP="001A6330">
      <w:pPr>
        <w:spacing w:after="120"/>
        <w:jc w:val="both"/>
      </w:pPr>
      <w:r w:rsidRPr="001B3522">
        <w:t xml:space="preserve">Analiza przestrzenna ilościowego i wartościowego rozkładu projektów wskazuje na </w:t>
      </w:r>
      <w:r w:rsidR="001B3522" w:rsidRPr="001B3522">
        <w:t>wyraźną dominację</w:t>
      </w:r>
      <w:r w:rsidRPr="001B3522">
        <w:t xml:space="preserve"> dwóch subregionów: południowego i centralnego, przy czym w subregionie południowym zrealizowano zdecydowanie najwięcej projektów w ramach </w:t>
      </w:r>
      <w:r w:rsidRPr="009F5420">
        <w:rPr>
          <w:i/>
        </w:rPr>
        <w:t>działań 3.1 i 3.2.</w:t>
      </w:r>
      <w:r w:rsidR="009F5420">
        <w:t xml:space="preserve"> Na </w:t>
      </w:r>
      <w:r w:rsidRPr="001B3522">
        <w:t xml:space="preserve">ten region przypadła też najwyższa kwota wykorzystanej alokacji w tych dwóch działaniach. </w:t>
      </w:r>
      <w:r w:rsidR="008707A0">
        <w:t xml:space="preserve">W przypadku projektów w ramach </w:t>
      </w:r>
      <w:r w:rsidR="008707A0" w:rsidRPr="009F5420">
        <w:rPr>
          <w:i/>
        </w:rPr>
        <w:t>d</w:t>
      </w:r>
      <w:r w:rsidRPr="009F5420">
        <w:rPr>
          <w:i/>
        </w:rPr>
        <w:t>ziałań 3.3</w:t>
      </w:r>
      <w:r w:rsidRPr="001B3522">
        <w:t xml:space="preserve"> oraz </w:t>
      </w:r>
      <w:r w:rsidRPr="009F5420">
        <w:rPr>
          <w:i/>
        </w:rPr>
        <w:t xml:space="preserve">3.4 </w:t>
      </w:r>
      <w:r w:rsidR="009F5420">
        <w:t>– realizowane były one na </w:t>
      </w:r>
      <w:r w:rsidRPr="001B3522">
        <w:t>poziomie regionalnym, choć ich lokalizacje też często przypa</w:t>
      </w:r>
      <w:r w:rsidR="009F5420">
        <w:t xml:space="preserve">dają na subregion południowy. </w:t>
      </w:r>
      <w:r w:rsidRPr="001B3522">
        <w:t xml:space="preserve">Niemniej, należy przede wszystkim </w:t>
      </w:r>
      <w:r w:rsidR="009F5420">
        <w:t>p</w:t>
      </w:r>
      <w:r w:rsidR="00D94364">
        <w:t xml:space="preserve">odkreślić, że wiele projektów </w:t>
      </w:r>
      <w:r w:rsidRPr="001B3522">
        <w:t>wykraczało swym zasięgiem oddziaływania poza obszar jednego powiatu, co jest naturalne przy projektach turystycznych.</w:t>
      </w:r>
    </w:p>
    <w:p w14:paraId="4B53062C" w14:textId="4B1753D0" w:rsidR="001A6330" w:rsidRDefault="001A6330" w:rsidP="001A6330">
      <w:pPr>
        <w:spacing w:after="120"/>
        <w:jc w:val="both"/>
      </w:pPr>
      <w:r w:rsidRPr="001B3522">
        <w:lastRenderedPageBreak/>
        <w:t>Projekty realizowane przez podmioty publiczne w zde</w:t>
      </w:r>
      <w:r w:rsidR="008707A0">
        <w:t>cydowanie większej części niż w </w:t>
      </w:r>
      <w:r w:rsidRPr="001B3522">
        <w:t xml:space="preserve">przypadku przedsiębiorstw polegały na adaptacji istniejącej infrastruktury, często zabytkowej i cennej dla regionu. Realizacja projektów była </w:t>
      </w:r>
      <w:r w:rsidR="006115B9">
        <w:t>rzetelnie uzasadniona,</w:t>
      </w:r>
      <w:r w:rsidRPr="001B3522">
        <w:t xml:space="preserve"> często wykazywano wykorzystanie potencjału obszaru (np. występowanie wód źródlanych, tradycje uzdrowiskowe). Obszar realizacji projektu był dobrze scharakteryzowany. Najczęstsze zidentyfikowane problemy, na jakie odpowiadały projekty turystyczne to infrastruktura turystyczna </w:t>
      </w:r>
      <w:r w:rsidR="006115B9" w:rsidRPr="001B3522">
        <w:t>niskiej, jakości</w:t>
      </w:r>
      <w:r w:rsidRPr="001B3522">
        <w:t>, brak wykorzystania potencjału obszaru czy brak bazy okołoturystycznej (parkingów, sanitariatów, szatni).</w:t>
      </w:r>
    </w:p>
    <w:p w14:paraId="6008F6A3" w14:textId="1F1199E2" w:rsidR="006115B9" w:rsidRPr="006115B9" w:rsidRDefault="008707A0" w:rsidP="006115B9">
      <w:pPr>
        <w:spacing w:after="0"/>
        <w:jc w:val="both"/>
        <w:rPr>
          <w:szCs w:val="24"/>
        </w:rPr>
      </w:pPr>
      <w:r>
        <w:rPr>
          <w:szCs w:val="24"/>
        </w:rPr>
        <w:t>W</w:t>
      </w:r>
      <w:r w:rsidRPr="008707A0">
        <w:rPr>
          <w:szCs w:val="24"/>
        </w:rPr>
        <w:t xml:space="preserve"> ramach </w:t>
      </w:r>
      <w:r>
        <w:rPr>
          <w:szCs w:val="24"/>
        </w:rPr>
        <w:t>priorytetu III</w:t>
      </w:r>
      <w:r w:rsidRPr="008707A0">
        <w:rPr>
          <w:szCs w:val="24"/>
        </w:rPr>
        <w:t xml:space="preserve"> udało się skutecznie wesprzeć pierwsze dwa spośród celów szczegółowych</w:t>
      </w:r>
      <w:r w:rsidR="005D343D">
        <w:rPr>
          <w:szCs w:val="24"/>
        </w:rPr>
        <w:t>:</w:t>
      </w:r>
      <w:r w:rsidRPr="008707A0">
        <w:rPr>
          <w:szCs w:val="24"/>
        </w:rPr>
        <w:t xml:space="preserve"> poprawę infrastruktury turystycznej regionu</w:t>
      </w:r>
      <w:r w:rsidR="006115B9">
        <w:rPr>
          <w:szCs w:val="24"/>
        </w:rPr>
        <w:t xml:space="preserve"> (ten cel został zrealizowany w </w:t>
      </w:r>
      <w:r w:rsidRPr="008707A0">
        <w:rPr>
          <w:szCs w:val="24"/>
        </w:rPr>
        <w:t>stopniu najbardziej zadowalającym) oraz tworzenie i rozwój regionalnych produktów. Jako problematyczną należy ocenić zwłaszcza realizację celu zwiększenia dostępu do informacji turystycznej, ze względu na nied</w:t>
      </w:r>
      <w:r>
        <w:rPr>
          <w:szCs w:val="24"/>
        </w:rPr>
        <w:t xml:space="preserve">oszacowanie nakładów na ten cel. </w:t>
      </w:r>
      <w:r w:rsidR="0095687D">
        <w:rPr>
          <w:szCs w:val="24"/>
        </w:rPr>
        <w:t>W</w:t>
      </w:r>
      <w:r w:rsidRPr="008707A0">
        <w:rPr>
          <w:szCs w:val="24"/>
        </w:rPr>
        <w:t xml:space="preserve"> latach 2007-2013 udało się częściowo przełamać wizerunek województwa turystycznie nieatrakcyjnego, </w:t>
      </w:r>
      <w:r w:rsidR="0095687D" w:rsidRPr="008707A0">
        <w:rPr>
          <w:szCs w:val="24"/>
        </w:rPr>
        <w:t>postrzeganego, jako</w:t>
      </w:r>
      <w:r w:rsidRPr="008707A0">
        <w:rPr>
          <w:szCs w:val="24"/>
        </w:rPr>
        <w:t xml:space="preserve"> obszar przemysłowy, o zdegradowanym środowisku, do czego niewątpliwie przyczyniły się również przedsięwzięcia dofinansowane w ramach RPO WSL 2007-2014</w:t>
      </w:r>
      <w:r w:rsidR="006115B9">
        <w:rPr>
          <w:szCs w:val="24"/>
        </w:rPr>
        <w:t>.</w:t>
      </w:r>
      <w:r w:rsidRPr="008707A0">
        <w:rPr>
          <w:szCs w:val="24"/>
        </w:rPr>
        <w:t xml:space="preserve"> </w:t>
      </w:r>
      <w:r w:rsidR="006115B9">
        <w:rPr>
          <w:szCs w:val="24"/>
        </w:rPr>
        <w:t>O</w:t>
      </w:r>
      <w:r w:rsidR="006115B9" w:rsidRPr="006115B9">
        <w:rPr>
          <w:szCs w:val="24"/>
        </w:rPr>
        <w:t>gromnym atutem turystyki województwa śląskiego jest jej różnorodność a dzięki wsparciu ze strony unijnych funduszy r</w:t>
      </w:r>
      <w:r w:rsidR="00C50C7B">
        <w:rPr>
          <w:szCs w:val="24"/>
        </w:rPr>
        <w:t>egion otrzymał</w:t>
      </w:r>
      <w:r w:rsidR="006115B9" w:rsidRPr="006115B9">
        <w:rPr>
          <w:szCs w:val="24"/>
        </w:rPr>
        <w:t xml:space="preserve"> niepowtarzalną szansę na możliwość realizacji wielu ciekawych inicjatyw i przedsięwzięć, których wdrożen</w:t>
      </w:r>
      <w:r w:rsidR="006115B9">
        <w:rPr>
          <w:szCs w:val="24"/>
        </w:rPr>
        <w:t>ie poprawi</w:t>
      </w:r>
      <w:r w:rsidR="00C50C7B">
        <w:rPr>
          <w:szCs w:val="24"/>
        </w:rPr>
        <w:t>ło</w:t>
      </w:r>
      <w:r w:rsidR="006115B9">
        <w:rPr>
          <w:szCs w:val="24"/>
        </w:rPr>
        <w:t xml:space="preserve"> atrakcyjność regionu</w:t>
      </w:r>
      <w:r w:rsidR="006115B9" w:rsidRPr="006115B9">
        <w:rPr>
          <w:szCs w:val="24"/>
        </w:rPr>
        <w:t xml:space="preserve"> i wzmocni</w:t>
      </w:r>
      <w:r w:rsidR="00C50C7B">
        <w:rPr>
          <w:szCs w:val="24"/>
        </w:rPr>
        <w:t>ło</w:t>
      </w:r>
      <w:r w:rsidR="006115B9" w:rsidRPr="006115B9">
        <w:rPr>
          <w:szCs w:val="24"/>
        </w:rPr>
        <w:t xml:space="preserve"> jego konkurencyjność.</w:t>
      </w:r>
    </w:p>
    <w:p w14:paraId="6D7EF366" w14:textId="77777777" w:rsidR="00BA3680" w:rsidRDefault="00BA3680" w:rsidP="00BA3680">
      <w:pPr>
        <w:spacing w:after="0"/>
        <w:jc w:val="both"/>
      </w:pPr>
    </w:p>
    <w:p w14:paraId="73FA89A2" w14:textId="3A4C9175" w:rsidR="00BA3680" w:rsidRPr="00BA3680" w:rsidRDefault="00BA3680" w:rsidP="00BA3680">
      <w:pPr>
        <w:spacing w:after="0"/>
        <w:jc w:val="both"/>
        <w:rPr>
          <w:szCs w:val="24"/>
        </w:rPr>
      </w:pPr>
      <w:r w:rsidRPr="00BA3680">
        <w:t xml:space="preserve">W ramach przedmiotowego priorytetu na terenie województwa śląskiego realizowane są także projekty w ramach krajowych programów operacyjnych. Szczegółowe informacje zostały przedstawione w pkt. 2.1.6.2 niniejszego </w:t>
      </w:r>
      <w:r w:rsidRPr="00BA3680">
        <w:rPr>
          <w:i/>
        </w:rPr>
        <w:t>Sprawozdania</w:t>
      </w:r>
      <w:r>
        <w:rPr>
          <w:i/>
        </w:rPr>
        <w:t>.</w:t>
      </w:r>
    </w:p>
    <w:p w14:paraId="0DDC4CA0" w14:textId="751A8FEC" w:rsidR="001A6330" w:rsidRPr="0094320D" w:rsidRDefault="00BA3680" w:rsidP="00BA3680">
      <w:pPr>
        <w:pStyle w:val="Akapitzlist"/>
        <w:tabs>
          <w:tab w:val="left" w:pos="5923"/>
        </w:tabs>
        <w:spacing w:before="120" w:after="120"/>
        <w:ind w:left="0"/>
        <w:jc w:val="both"/>
        <w:rPr>
          <w:b/>
          <w:bCs/>
          <w:i/>
          <w:szCs w:val="24"/>
        </w:rPr>
      </w:pPr>
      <w:r>
        <w:rPr>
          <w:b/>
          <w:bCs/>
          <w:i/>
          <w:szCs w:val="24"/>
        </w:rPr>
        <w:tab/>
      </w:r>
    </w:p>
    <w:p w14:paraId="75B5FADE" w14:textId="6BE6B8CA" w:rsidR="00E21FF5" w:rsidRDefault="003B574F" w:rsidP="004914D8">
      <w:pPr>
        <w:pStyle w:val="Akapitzlist"/>
        <w:numPr>
          <w:ilvl w:val="2"/>
          <w:numId w:val="50"/>
        </w:numPr>
        <w:jc w:val="both"/>
        <w:rPr>
          <w:b/>
          <w:szCs w:val="24"/>
        </w:rPr>
      </w:pPr>
      <w:bookmarkStart w:id="353" w:name="_Toc419180270"/>
      <w:bookmarkStart w:id="354" w:name="_Toc423351788"/>
      <w:r w:rsidRPr="0071369D">
        <w:rPr>
          <w:b/>
          <w:szCs w:val="24"/>
        </w:rPr>
        <w:t>OPIS ISTOTNYCH PROBLEMÓW WE WDRAŻANIU WRAZ Z PODJĘTYMI ŚRODKAMI ZARADCZYMI</w:t>
      </w:r>
      <w:bookmarkEnd w:id="353"/>
      <w:bookmarkEnd w:id="354"/>
    </w:p>
    <w:p w14:paraId="19C9E5E6" w14:textId="5AC482D6" w:rsidR="00705601" w:rsidRDefault="00CF10B6" w:rsidP="00CF10B6">
      <w:pPr>
        <w:pStyle w:val="Akapitzlist"/>
        <w:ind w:left="0"/>
        <w:jc w:val="both"/>
        <w:rPr>
          <w:szCs w:val="24"/>
        </w:rPr>
      </w:pPr>
      <w:r w:rsidRPr="00CF10B6">
        <w:rPr>
          <w:szCs w:val="24"/>
        </w:rPr>
        <w:t xml:space="preserve">W </w:t>
      </w:r>
      <w:r>
        <w:rPr>
          <w:szCs w:val="24"/>
        </w:rPr>
        <w:t>całym okresie wdrażania priorytetu nie pojawiły się żadne problemy,</w:t>
      </w:r>
      <w:r w:rsidR="00CB64A5">
        <w:rPr>
          <w:szCs w:val="24"/>
        </w:rPr>
        <w:t xml:space="preserve"> sytuacje zakłócające bądź opóźniające realizację przedmiotowego priorytetu.</w:t>
      </w:r>
    </w:p>
    <w:p w14:paraId="1D9791E3" w14:textId="7D1BC578" w:rsidR="00CF10B6" w:rsidRPr="00CF10B6" w:rsidRDefault="00705601" w:rsidP="00705601">
      <w:pPr>
        <w:spacing w:after="0" w:line="240" w:lineRule="auto"/>
        <w:rPr>
          <w:szCs w:val="24"/>
        </w:rPr>
      </w:pPr>
      <w:r>
        <w:rPr>
          <w:szCs w:val="24"/>
        </w:rPr>
        <w:br w:type="page"/>
      </w:r>
    </w:p>
    <w:p w14:paraId="0D4C1E56" w14:textId="77777777" w:rsidR="0063305F" w:rsidRPr="0063305F" w:rsidRDefault="0063305F" w:rsidP="0063305F">
      <w:pPr>
        <w:pStyle w:val="Akapitzlist"/>
        <w:jc w:val="both"/>
        <w:rPr>
          <w:b/>
          <w:szCs w:val="24"/>
        </w:rPr>
      </w:pPr>
    </w:p>
    <w:p w14:paraId="616604CB" w14:textId="46BD3008" w:rsidR="00E21FF5" w:rsidRDefault="00243FEC" w:rsidP="004914D8">
      <w:pPr>
        <w:pStyle w:val="Akapitzlist"/>
        <w:numPr>
          <w:ilvl w:val="1"/>
          <w:numId w:val="50"/>
        </w:numPr>
        <w:jc w:val="both"/>
        <w:rPr>
          <w:b/>
          <w:color w:val="0070C0"/>
          <w:szCs w:val="24"/>
        </w:rPr>
      </w:pPr>
      <w:r w:rsidRPr="00CF10B6">
        <w:rPr>
          <w:color w:val="0070C0"/>
          <w:szCs w:val="24"/>
        </w:rPr>
        <w:t xml:space="preserve"> </w:t>
      </w:r>
      <w:r w:rsidRPr="00705601">
        <w:rPr>
          <w:b/>
          <w:color w:val="538135" w:themeColor="accent6" w:themeShade="BF"/>
          <w:szCs w:val="24"/>
        </w:rPr>
        <w:t>PRIORYTET IV KULTURA</w:t>
      </w:r>
    </w:p>
    <w:p w14:paraId="37CF6FF6" w14:textId="32844856" w:rsidR="00CF10B6" w:rsidRPr="00CF10B6" w:rsidRDefault="00CF10B6" w:rsidP="00CF10B6">
      <w:pPr>
        <w:pStyle w:val="Akapitzlist"/>
        <w:ind w:left="360"/>
        <w:jc w:val="both"/>
        <w:rPr>
          <w:b/>
          <w:color w:val="0070C0"/>
          <w:szCs w:val="24"/>
        </w:rPr>
      </w:pPr>
      <w:r w:rsidRPr="00CF10B6">
        <w:rPr>
          <w:b/>
          <w:noProof/>
          <w:color w:val="0070C0"/>
          <w:szCs w:val="24"/>
        </w:rPr>
        <w:drawing>
          <wp:inline distT="0" distB="0" distL="0" distR="0" wp14:anchorId="16ABECA8" wp14:editId="4A24D96D">
            <wp:extent cx="5733003" cy="2533650"/>
            <wp:effectExtent l="0" t="0" r="1270" b="0"/>
            <wp:docPr id="32771" name="Picture 7" descr="W:\ZIP\zdjęcia\album 2010 PRESSO\Nikiszowiec\DSC_02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7" descr="W:\ZIP\zdjęcia\album 2010 PRESSO\Nikiszowiec\DSC_0276.t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2427" cy="2542234"/>
                    </a:xfrm>
                    <a:prstGeom prst="rect">
                      <a:avLst/>
                    </a:prstGeom>
                    <a:ln>
                      <a:noFill/>
                    </a:ln>
                    <a:effectLst>
                      <a:softEdge rad="112500"/>
                    </a:effectLst>
                    <a:extLst/>
                  </pic:spPr>
                </pic:pic>
              </a:graphicData>
            </a:graphic>
          </wp:inline>
        </w:drawing>
      </w:r>
    </w:p>
    <w:p w14:paraId="2C3D8022" w14:textId="77777777" w:rsidR="00580CE6" w:rsidRPr="0094320D" w:rsidRDefault="00580CE6" w:rsidP="004914D8">
      <w:pPr>
        <w:pStyle w:val="Akapitzlist"/>
        <w:numPr>
          <w:ilvl w:val="2"/>
          <w:numId w:val="50"/>
        </w:numPr>
        <w:ind w:left="567" w:hanging="567"/>
        <w:jc w:val="both"/>
        <w:rPr>
          <w:b/>
          <w:bCs/>
          <w:szCs w:val="24"/>
        </w:rPr>
      </w:pPr>
      <w:bookmarkStart w:id="355" w:name="_Toc386571831"/>
      <w:bookmarkStart w:id="356" w:name="_Toc386572256"/>
      <w:bookmarkStart w:id="357" w:name="_Toc419180272"/>
      <w:bookmarkStart w:id="358" w:name="_Toc423351790"/>
      <w:bookmarkStart w:id="359" w:name="_Toc262031933"/>
      <w:bookmarkStart w:id="360" w:name="_Toc292789297"/>
      <w:bookmarkStart w:id="361" w:name="_Toc292793593"/>
      <w:bookmarkStart w:id="362" w:name="_Toc324853915"/>
      <w:bookmarkStart w:id="363" w:name="_Toc327259267"/>
      <w:bookmarkStart w:id="364" w:name="_Toc386571833"/>
      <w:bookmarkStart w:id="365" w:name="_Toc386572258"/>
      <w:bookmarkStart w:id="366" w:name="_Toc391466108"/>
      <w:bookmarkStart w:id="367" w:name="_Toc391466375"/>
      <w:bookmarkStart w:id="368" w:name="_Toc391466686"/>
      <w:r w:rsidRPr="0094320D">
        <w:rPr>
          <w:b/>
          <w:bCs/>
          <w:szCs w:val="24"/>
        </w:rPr>
        <w:t>OSIĄGNIĘCIE CELÓW I ANALIZA POSTĘPÓW</w:t>
      </w:r>
      <w:bookmarkEnd w:id="355"/>
      <w:bookmarkEnd w:id="356"/>
      <w:bookmarkEnd w:id="357"/>
      <w:bookmarkEnd w:id="358"/>
    </w:p>
    <w:p w14:paraId="4E6950C6" w14:textId="561F4196" w:rsidR="00580CE6" w:rsidRPr="0094320D" w:rsidRDefault="0063305F" w:rsidP="0094320D">
      <w:pPr>
        <w:jc w:val="both"/>
        <w:rPr>
          <w:b/>
          <w:szCs w:val="24"/>
        </w:rPr>
      </w:pPr>
      <w:r w:rsidRPr="0094320D">
        <w:rPr>
          <w:b/>
          <w:szCs w:val="24"/>
        </w:rPr>
        <w:t>Informacje ogólne</w:t>
      </w:r>
    </w:p>
    <w:p w14:paraId="02B5F6CE" w14:textId="71FB6E4F" w:rsidR="00CF10B6" w:rsidRPr="00B8015D" w:rsidRDefault="00580CE6" w:rsidP="00B8015D">
      <w:pPr>
        <w:jc w:val="both"/>
        <w:rPr>
          <w:b/>
          <w:i/>
          <w:szCs w:val="24"/>
        </w:rPr>
      </w:pPr>
      <w:r w:rsidRPr="0094320D">
        <w:rPr>
          <w:szCs w:val="24"/>
        </w:rPr>
        <w:t xml:space="preserve">Celem głównym priorytetu IV </w:t>
      </w:r>
      <w:r w:rsidR="006E1268">
        <w:rPr>
          <w:szCs w:val="24"/>
        </w:rPr>
        <w:t>był</w:t>
      </w:r>
      <w:r w:rsidRPr="0094320D">
        <w:rPr>
          <w:szCs w:val="24"/>
        </w:rPr>
        <w:t xml:space="preserve"> </w:t>
      </w:r>
      <w:r w:rsidRPr="0094320D">
        <w:rPr>
          <w:i/>
          <w:iCs/>
          <w:szCs w:val="24"/>
        </w:rPr>
        <w:t>Wzrost znaczenia kultury jako czynnika rozwoju społeczno – gospodarczego</w:t>
      </w:r>
      <w:r w:rsidRPr="0094320D">
        <w:rPr>
          <w:szCs w:val="24"/>
        </w:rPr>
        <w:t xml:space="preserve">. W ramach priorytetu wspierane </w:t>
      </w:r>
      <w:r w:rsidR="006E1268">
        <w:rPr>
          <w:szCs w:val="24"/>
        </w:rPr>
        <w:t>były</w:t>
      </w:r>
      <w:r w:rsidRPr="0094320D">
        <w:rPr>
          <w:szCs w:val="24"/>
        </w:rPr>
        <w:t xml:space="preserve"> działania z zakresu infrastruktury kultury, systemu informacji kulturalnej i promocji kultury.</w:t>
      </w:r>
    </w:p>
    <w:p w14:paraId="48CFE71C" w14:textId="57CA3FE5" w:rsidR="00580CE6" w:rsidRPr="0094320D" w:rsidRDefault="00580CE6" w:rsidP="0094320D">
      <w:pPr>
        <w:spacing w:after="0"/>
        <w:jc w:val="both"/>
        <w:rPr>
          <w:szCs w:val="24"/>
        </w:rPr>
      </w:pPr>
      <w:r w:rsidRPr="0094320D">
        <w:rPr>
          <w:szCs w:val="24"/>
        </w:rPr>
        <w:t>R</w:t>
      </w:r>
      <w:r w:rsidR="006E1268">
        <w:rPr>
          <w:szCs w:val="24"/>
        </w:rPr>
        <w:t>ealizacji priorytetu służyły</w:t>
      </w:r>
      <w:r w:rsidRPr="0094320D">
        <w:rPr>
          <w:szCs w:val="24"/>
        </w:rPr>
        <w:t xml:space="preserve"> trzy działania:</w:t>
      </w:r>
    </w:p>
    <w:p w14:paraId="6AE2041F" w14:textId="77777777" w:rsidR="00580CE6" w:rsidRPr="0094320D" w:rsidRDefault="00580CE6" w:rsidP="0094320D">
      <w:pPr>
        <w:numPr>
          <w:ilvl w:val="0"/>
          <w:numId w:val="4"/>
        </w:numPr>
        <w:spacing w:after="0"/>
        <w:contextualSpacing/>
        <w:jc w:val="both"/>
        <w:rPr>
          <w:i/>
          <w:szCs w:val="24"/>
        </w:rPr>
      </w:pPr>
      <w:r w:rsidRPr="0094320D">
        <w:rPr>
          <w:i/>
          <w:szCs w:val="24"/>
        </w:rPr>
        <w:t>4.1 Infrastruktura kultury,</w:t>
      </w:r>
    </w:p>
    <w:p w14:paraId="7BC50920" w14:textId="77777777" w:rsidR="00580CE6" w:rsidRPr="0094320D" w:rsidRDefault="00580CE6" w:rsidP="0094320D">
      <w:pPr>
        <w:numPr>
          <w:ilvl w:val="0"/>
          <w:numId w:val="4"/>
        </w:numPr>
        <w:spacing w:after="0"/>
        <w:contextualSpacing/>
        <w:jc w:val="both"/>
        <w:rPr>
          <w:i/>
          <w:szCs w:val="24"/>
        </w:rPr>
      </w:pPr>
      <w:r w:rsidRPr="0094320D">
        <w:rPr>
          <w:i/>
          <w:szCs w:val="24"/>
        </w:rPr>
        <w:t>4.2 Systemy informacji kulturalnej,</w:t>
      </w:r>
    </w:p>
    <w:p w14:paraId="50FC182B" w14:textId="77777777" w:rsidR="00580CE6" w:rsidRPr="0094320D" w:rsidRDefault="00580CE6" w:rsidP="0094320D">
      <w:pPr>
        <w:numPr>
          <w:ilvl w:val="0"/>
          <w:numId w:val="4"/>
        </w:numPr>
        <w:spacing w:after="120"/>
        <w:ind w:left="714" w:hanging="357"/>
        <w:contextualSpacing/>
        <w:jc w:val="both"/>
        <w:rPr>
          <w:i/>
          <w:szCs w:val="24"/>
        </w:rPr>
      </w:pPr>
      <w:r w:rsidRPr="0094320D">
        <w:rPr>
          <w:i/>
          <w:szCs w:val="24"/>
        </w:rPr>
        <w:t>4.3 Promocja kultury.</w:t>
      </w:r>
    </w:p>
    <w:p w14:paraId="72381A16" w14:textId="77777777" w:rsidR="00580CE6" w:rsidRPr="0094320D" w:rsidRDefault="00580CE6" w:rsidP="0094320D">
      <w:pPr>
        <w:spacing w:after="120"/>
        <w:jc w:val="both"/>
        <w:rPr>
          <w:szCs w:val="24"/>
        </w:rPr>
      </w:pPr>
    </w:p>
    <w:p w14:paraId="6D4DB07B" w14:textId="6EDAB264" w:rsidR="00580CE6" w:rsidRPr="0094320D" w:rsidRDefault="001D3D24" w:rsidP="0094320D">
      <w:pPr>
        <w:spacing w:after="120"/>
        <w:jc w:val="both"/>
        <w:rPr>
          <w:i/>
          <w:szCs w:val="24"/>
        </w:rPr>
      </w:pPr>
      <w:r>
        <w:rPr>
          <w:szCs w:val="24"/>
        </w:rPr>
        <w:t>Na realizację p</w:t>
      </w:r>
      <w:r w:rsidR="00580CE6" w:rsidRPr="0094320D">
        <w:rPr>
          <w:szCs w:val="24"/>
        </w:rPr>
        <w:t>riorytetu IV alokowano 53 274 150 EUR</w:t>
      </w:r>
      <w:r w:rsidR="00580CE6" w:rsidRPr="0094320D">
        <w:rPr>
          <w:b/>
          <w:szCs w:val="24"/>
        </w:rPr>
        <w:t xml:space="preserve"> </w:t>
      </w:r>
      <w:r w:rsidR="00580CE6" w:rsidRPr="0094320D">
        <w:rPr>
          <w:szCs w:val="24"/>
        </w:rPr>
        <w:t xml:space="preserve">pochodzących z EFRR, co stanowi 3,05% wartości </w:t>
      </w:r>
      <w:r w:rsidR="00580CE6" w:rsidRPr="0094320D">
        <w:rPr>
          <w:i/>
          <w:szCs w:val="24"/>
        </w:rPr>
        <w:t>Programu.</w:t>
      </w:r>
    </w:p>
    <w:p w14:paraId="58784D80" w14:textId="53482637" w:rsidR="00580CE6" w:rsidRPr="0094320D" w:rsidRDefault="00580CE6" w:rsidP="0094320D">
      <w:pPr>
        <w:widowControl w:val="0"/>
        <w:autoSpaceDE w:val="0"/>
        <w:autoSpaceDN w:val="0"/>
        <w:adjustRightInd w:val="0"/>
        <w:spacing w:after="120"/>
        <w:ind w:right="-23"/>
        <w:jc w:val="both"/>
        <w:rPr>
          <w:szCs w:val="24"/>
        </w:rPr>
      </w:pPr>
      <w:r w:rsidRPr="0094320D">
        <w:rPr>
          <w:szCs w:val="24"/>
        </w:rPr>
        <w:t>Opis wkładu osi priorytetowej w promowanie równości szans k</w:t>
      </w:r>
      <w:r w:rsidR="00B8015D">
        <w:rPr>
          <w:szCs w:val="24"/>
        </w:rPr>
        <w:t>obiet i mężczyzn znajduje się w </w:t>
      </w:r>
      <w:r w:rsidRPr="0094320D">
        <w:rPr>
          <w:szCs w:val="24"/>
        </w:rPr>
        <w:t xml:space="preserve">pkt. 2.2.1 </w:t>
      </w:r>
      <w:r w:rsidRPr="0094320D">
        <w:rPr>
          <w:i/>
          <w:szCs w:val="24"/>
        </w:rPr>
        <w:t>Sprawozdania.</w:t>
      </w:r>
    </w:p>
    <w:p w14:paraId="1A421A38" w14:textId="77777777" w:rsidR="00580CE6" w:rsidRPr="0094320D" w:rsidRDefault="00580CE6" w:rsidP="0094320D">
      <w:pPr>
        <w:widowControl w:val="0"/>
        <w:autoSpaceDE w:val="0"/>
        <w:autoSpaceDN w:val="0"/>
        <w:adjustRightInd w:val="0"/>
        <w:spacing w:after="120"/>
        <w:ind w:right="-23"/>
        <w:jc w:val="both"/>
        <w:rPr>
          <w:szCs w:val="24"/>
        </w:rPr>
      </w:pPr>
      <w:r w:rsidRPr="0094320D">
        <w:rPr>
          <w:szCs w:val="24"/>
        </w:rPr>
        <w:t>W ramach priorytetu nie przewidziano finansowania krzyżowego.</w:t>
      </w:r>
    </w:p>
    <w:p w14:paraId="05C45D3A" w14:textId="77777777" w:rsidR="00580CE6" w:rsidRDefault="00580CE6" w:rsidP="0094320D">
      <w:pPr>
        <w:jc w:val="both"/>
        <w:rPr>
          <w:b/>
          <w:szCs w:val="24"/>
        </w:rPr>
      </w:pPr>
      <w:r w:rsidRPr="0094320D">
        <w:rPr>
          <w:b/>
          <w:szCs w:val="24"/>
        </w:rPr>
        <w:t>ANALIZA POSTĘPU FINANSOWEGO</w:t>
      </w:r>
    </w:p>
    <w:p w14:paraId="65F8FC96" w14:textId="2C89E891" w:rsidR="00CE6681" w:rsidRPr="003C191A" w:rsidRDefault="00CE6681" w:rsidP="00CE6681">
      <w:pPr>
        <w:spacing w:after="120"/>
        <w:jc w:val="both"/>
        <w:rPr>
          <w:szCs w:val="24"/>
        </w:rPr>
      </w:pPr>
      <w:r w:rsidRPr="003C191A">
        <w:rPr>
          <w:szCs w:val="24"/>
        </w:rPr>
        <w:t>W ramach przedmiotowego priorytetu</w:t>
      </w:r>
      <w:r w:rsidR="006E1268">
        <w:rPr>
          <w:szCs w:val="24"/>
        </w:rPr>
        <w:t>,</w:t>
      </w:r>
      <w:r w:rsidRPr="003C191A">
        <w:rPr>
          <w:szCs w:val="24"/>
        </w:rPr>
        <w:t xml:space="preserve"> do końca 2016 roku złożono 223 </w:t>
      </w:r>
      <w:r w:rsidR="006E1268">
        <w:rPr>
          <w:szCs w:val="24"/>
        </w:rPr>
        <w:t>poprawne</w:t>
      </w:r>
      <w:r w:rsidR="006E1268" w:rsidRPr="003C191A">
        <w:rPr>
          <w:szCs w:val="24"/>
        </w:rPr>
        <w:t xml:space="preserve"> formalnie </w:t>
      </w:r>
      <w:r w:rsidRPr="003C191A">
        <w:rPr>
          <w:szCs w:val="24"/>
        </w:rPr>
        <w:t xml:space="preserve">wnioski o dofinansowanie, na kwotę wnioskowanego dofinansowania </w:t>
      </w:r>
      <w:r>
        <w:rPr>
          <w:szCs w:val="24"/>
        </w:rPr>
        <w:t>100,48</w:t>
      </w:r>
      <w:r w:rsidRPr="003C191A">
        <w:rPr>
          <w:szCs w:val="24"/>
        </w:rPr>
        <w:t xml:space="preserve"> mln EUR, co stanowi </w:t>
      </w:r>
      <w:r>
        <w:rPr>
          <w:szCs w:val="24"/>
        </w:rPr>
        <w:t>190</w:t>
      </w:r>
      <w:r w:rsidRPr="003C191A">
        <w:rPr>
          <w:szCs w:val="24"/>
        </w:rPr>
        <w:t>% alokacji priorytetu. Do dofinansowania wybrano 143 projekty</w:t>
      </w:r>
      <w:r w:rsidR="00DD11C7">
        <w:rPr>
          <w:szCs w:val="24"/>
        </w:rPr>
        <w:t>, w </w:t>
      </w:r>
      <w:r w:rsidRPr="003C191A">
        <w:rPr>
          <w:szCs w:val="24"/>
        </w:rPr>
        <w:t>których zatwierdzone dofinansowanie to </w:t>
      </w:r>
      <w:r>
        <w:rPr>
          <w:szCs w:val="24"/>
        </w:rPr>
        <w:t xml:space="preserve">57,35 </w:t>
      </w:r>
      <w:r w:rsidRPr="003C191A">
        <w:rPr>
          <w:szCs w:val="24"/>
        </w:rPr>
        <w:t xml:space="preserve">mln EUR. </w:t>
      </w:r>
    </w:p>
    <w:p w14:paraId="1FB1035C" w14:textId="67ED6372" w:rsidR="00CE6681" w:rsidRPr="003C191A" w:rsidRDefault="00CE6681" w:rsidP="00CE6681">
      <w:pPr>
        <w:jc w:val="both"/>
        <w:rPr>
          <w:rFonts w:ascii="Arial" w:hAnsi="Arial" w:cs="Arial"/>
          <w:sz w:val="25"/>
          <w:szCs w:val="25"/>
        </w:rPr>
      </w:pPr>
      <w:r w:rsidRPr="003C191A">
        <w:rPr>
          <w:szCs w:val="24"/>
        </w:rPr>
        <w:t>Do końca 2016 roku podpisano 142 umowy o dofinansowanie. Łączna wartość dofinansowania to </w:t>
      </w:r>
      <w:r w:rsidR="00DD11C7">
        <w:rPr>
          <w:szCs w:val="24"/>
        </w:rPr>
        <w:t>50,15</w:t>
      </w:r>
      <w:r w:rsidRPr="003C191A">
        <w:rPr>
          <w:szCs w:val="24"/>
        </w:rPr>
        <w:t xml:space="preserve"> mln EUR, co stanowi </w:t>
      </w:r>
      <w:r>
        <w:rPr>
          <w:szCs w:val="24"/>
        </w:rPr>
        <w:t>95</w:t>
      </w:r>
      <w:r w:rsidRPr="003C191A">
        <w:rPr>
          <w:szCs w:val="24"/>
        </w:rPr>
        <w:t>% dostępnej alokacji na priorytet.</w:t>
      </w:r>
    </w:p>
    <w:p w14:paraId="3109A8FC" w14:textId="4391BB94" w:rsidR="00CE6681" w:rsidRDefault="00CE6681" w:rsidP="00CE6681">
      <w:pPr>
        <w:spacing w:after="120"/>
        <w:jc w:val="both"/>
        <w:rPr>
          <w:szCs w:val="24"/>
        </w:rPr>
      </w:pPr>
      <w:r w:rsidRPr="003C191A">
        <w:rPr>
          <w:szCs w:val="24"/>
        </w:rPr>
        <w:t xml:space="preserve">Do końca 2016 roku certyfikowano wydatki na kwotę </w:t>
      </w:r>
      <w:r w:rsidR="00BB269F">
        <w:rPr>
          <w:szCs w:val="24"/>
        </w:rPr>
        <w:t>52,82</w:t>
      </w:r>
      <w:r w:rsidRPr="003C191A">
        <w:rPr>
          <w:szCs w:val="24"/>
        </w:rPr>
        <w:t xml:space="preserve"> mln EUR, co stanowi </w:t>
      </w:r>
      <w:r>
        <w:rPr>
          <w:szCs w:val="24"/>
        </w:rPr>
        <w:t>100</w:t>
      </w:r>
      <w:r w:rsidRPr="003C191A">
        <w:rPr>
          <w:szCs w:val="24"/>
        </w:rPr>
        <w:t xml:space="preserve">% dostępnej alokacji. </w:t>
      </w:r>
    </w:p>
    <w:p w14:paraId="3D41C5C4" w14:textId="3960D590" w:rsidR="002D7625" w:rsidRPr="00132FC0" w:rsidRDefault="002D7625" w:rsidP="002D7625">
      <w:pPr>
        <w:spacing w:after="0"/>
        <w:jc w:val="both"/>
        <w:rPr>
          <w:szCs w:val="24"/>
        </w:rPr>
      </w:pPr>
      <w:r>
        <w:rPr>
          <w:szCs w:val="24"/>
        </w:rPr>
        <w:lastRenderedPageBreak/>
        <w:t>Na poniższym wykresie przedstawiono ogólną informację dot. postępu realizacji priorytetu IV na koniec 2016 roku oraz poziom wykorzystania alokacji.</w:t>
      </w:r>
    </w:p>
    <w:p w14:paraId="190D07F9" w14:textId="77777777" w:rsidR="00DD11C7" w:rsidRPr="003C191A" w:rsidRDefault="00DD11C7" w:rsidP="00CE6681">
      <w:pPr>
        <w:spacing w:after="120"/>
        <w:jc w:val="both"/>
        <w:rPr>
          <w:szCs w:val="24"/>
        </w:rPr>
      </w:pPr>
    </w:p>
    <w:p w14:paraId="082405DE" w14:textId="2398E5E6" w:rsidR="0063305F" w:rsidRDefault="0063305F" w:rsidP="00C50E84">
      <w:pPr>
        <w:pStyle w:val="Legenda"/>
        <w:rPr>
          <w:b w:val="0"/>
          <w:szCs w:val="24"/>
        </w:rPr>
      </w:pPr>
      <w:r>
        <w:rPr>
          <w:noProof/>
        </w:rPr>
        <w:drawing>
          <wp:inline distT="0" distB="0" distL="0" distR="0" wp14:anchorId="27EB9300" wp14:editId="13B08AE8">
            <wp:extent cx="6245225" cy="3571336"/>
            <wp:effectExtent l="0" t="0" r="3175" b="0"/>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2340617" w14:textId="4255BFBE" w:rsidR="00C50E84" w:rsidRPr="00C50E84" w:rsidRDefault="00B66319" w:rsidP="00B66319">
      <w:pPr>
        <w:pStyle w:val="Legenda"/>
        <w:rPr>
          <w:color w:val="auto"/>
          <w:sz w:val="20"/>
          <w:szCs w:val="20"/>
        </w:rPr>
      </w:pPr>
      <w:bookmarkStart w:id="369" w:name="_Toc476832956"/>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38</w:t>
      </w:r>
      <w:r w:rsidR="00A44293" w:rsidRPr="00A44293">
        <w:rPr>
          <w:noProof/>
          <w:color w:val="auto"/>
        </w:rPr>
        <w:fldChar w:fldCharType="end"/>
      </w:r>
      <w:r w:rsidRPr="00A44293">
        <w:rPr>
          <w:color w:val="auto"/>
        </w:rPr>
        <w:t xml:space="preserve"> </w:t>
      </w:r>
      <w:r w:rsidR="009E3592">
        <w:rPr>
          <w:b w:val="0"/>
          <w:i/>
          <w:color w:val="auto"/>
          <w:sz w:val="20"/>
          <w:szCs w:val="20"/>
        </w:rPr>
        <w:t>Postęp finansowy</w:t>
      </w:r>
      <w:r w:rsidR="00C50E84" w:rsidRPr="00C50E84">
        <w:rPr>
          <w:b w:val="0"/>
          <w:i/>
          <w:color w:val="auto"/>
          <w:sz w:val="20"/>
          <w:szCs w:val="20"/>
        </w:rPr>
        <w:t xml:space="preserve"> priorytetu IV</w:t>
      </w:r>
      <w:bookmarkEnd w:id="369"/>
    </w:p>
    <w:p w14:paraId="7946B7E8" w14:textId="764387A2" w:rsidR="00C50E84" w:rsidRDefault="00C50E84" w:rsidP="00C50E84">
      <w:r w:rsidRPr="00B0267C">
        <w:t xml:space="preserve">Poniżej przedstawiono </w:t>
      </w:r>
      <w:r w:rsidR="006E1268">
        <w:t>realizację</w:t>
      </w:r>
      <w:r>
        <w:t xml:space="preserve"> priorytetu w podziale </w:t>
      </w:r>
      <w:r w:rsidRPr="00B0267C">
        <w:t>na działania.</w:t>
      </w:r>
    </w:p>
    <w:p w14:paraId="1377E2DB" w14:textId="0091A7A6" w:rsidR="00C50E84" w:rsidRPr="00C50E84" w:rsidRDefault="00B66319" w:rsidP="00B66319">
      <w:pPr>
        <w:pStyle w:val="Legenda"/>
        <w:rPr>
          <w:b w:val="0"/>
          <w:color w:val="auto"/>
          <w:sz w:val="20"/>
          <w:szCs w:val="20"/>
        </w:rPr>
      </w:pPr>
      <w:bookmarkStart w:id="370" w:name="_Toc476131805"/>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22</w:t>
      </w:r>
      <w:r w:rsidR="00A44293" w:rsidRPr="00A44293">
        <w:rPr>
          <w:noProof/>
          <w:color w:val="auto"/>
        </w:rPr>
        <w:fldChar w:fldCharType="end"/>
      </w:r>
      <w:r>
        <w:t xml:space="preserve"> </w:t>
      </w:r>
      <w:r w:rsidR="00C50E84" w:rsidRPr="00C50E84">
        <w:rPr>
          <w:b w:val="0"/>
          <w:i/>
          <w:color w:val="auto"/>
          <w:sz w:val="20"/>
          <w:szCs w:val="20"/>
        </w:rPr>
        <w:t xml:space="preserve">Postęp </w:t>
      </w:r>
      <w:r w:rsidR="009E3592">
        <w:rPr>
          <w:b w:val="0"/>
          <w:i/>
          <w:color w:val="auto"/>
          <w:sz w:val="20"/>
          <w:szCs w:val="20"/>
        </w:rPr>
        <w:t>finansowy</w:t>
      </w:r>
      <w:r w:rsidR="00C50E84" w:rsidRPr="00C50E84">
        <w:rPr>
          <w:b w:val="0"/>
          <w:i/>
          <w:color w:val="auto"/>
          <w:sz w:val="20"/>
          <w:szCs w:val="20"/>
        </w:rPr>
        <w:t xml:space="preserve"> priorytetu IV w podziale na działania</w:t>
      </w:r>
      <w:bookmarkEnd w:id="370"/>
    </w:p>
    <w:tbl>
      <w:tblPr>
        <w:tblStyle w:val="Tabelalisty3akcent61"/>
        <w:tblW w:w="10065" w:type="dxa"/>
        <w:jc w:val="center"/>
        <w:tblLayout w:type="fixed"/>
        <w:tblLook w:val="04A0" w:firstRow="1" w:lastRow="0" w:firstColumn="1" w:lastColumn="0" w:noHBand="0" w:noVBand="1"/>
      </w:tblPr>
      <w:tblGrid>
        <w:gridCol w:w="1124"/>
        <w:gridCol w:w="1276"/>
        <w:gridCol w:w="992"/>
        <w:gridCol w:w="1134"/>
        <w:gridCol w:w="1145"/>
        <w:gridCol w:w="850"/>
        <w:gridCol w:w="992"/>
        <w:gridCol w:w="709"/>
        <w:gridCol w:w="992"/>
        <w:gridCol w:w="851"/>
      </w:tblGrid>
      <w:tr w:rsidR="00C50E84" w:rsidRPr="00C50E84" w14:paraId="7556A587" w14:textId="77777777" w:rsidTr="00126975">
        <w:trPr>
          <w:cnfStyle w:val="100000000000" w:firstRow="1" w:lastRow="0" w:firstColumn="0" w:lastColumn="0" w:oddVBand="0" w:evenVBand="0" w:oddHBand="0" w:evenHBand="0" w:firstRowFirstColumn="0" w:firstRowLastColumn="0" w:lastRowFirstColumn="0" w:lastRowLastColumn="0"/>
          <w:trHeight w:val="1243"/>
          <w:jc w:val="center"/>
        </w:trPr>
        <w:tc>
          <w:tcPr>
            <w:cnfStyle w:val="001000000100" w:firstRow="0" w:lastRow="0" w:firstColumn="1" w:lastColumn="0" w:oddVBand="0" w:evenVBand="0" w:oddHBand="0" w:evenHBand="0" w:firstRowFirstColumn="1" w:firstRowLastColumn="0" w:lastRowFirstColumn="0" w:lastRowLastColumn="0"/>
            <w:tcW w:w="1124" w:type="dxa"/>
            <w:vMerge w:val="restart"/>
            <w:noWrap/>
            <w:textDirection w:val="btLr"/>
            <w:vAlign w:val="center"/>
            <w:hideMark/>
          </w:tcPr>
          <w:p w14:paraId="2E565F25" w14:textId="007F3E8B" w:rsidR="002D7625" w:rsidRPr="00126975" w:rsidRDefault="001D040C" w:rsidP="00126975">
            <w:pPr>
              <w:spacing w:after="0" w:line="240" w:lineRule="auto"/>
              <w:ind w:left="113" w:right="113"/>
              <w:jc w:val="center"/>
              <w:rPr>
                <w:bCs w:val="0"/>
                <w:color w:val="000000"/>
                <w:sz w:val="20"/>
                <w:szCs w:val="20"/>
              </w:rPr>
            </w:pPr>
            <w:r w:rsidRPr="00126975">
              <w:rPr>
                <w:bCs w:val="0"/>
                <w:color w:val="000000"/>
                <w:sz w:val="20"/>
                <w:szCs w:val="20"/>
              </w:rPr>
              <w:t>DZIAŁANIE</w:t>
            </w:r>
          </w:p>
        </w:tc>
        <w:tc>
          <w:tcPr>
            <w:tcW w:w="1276" w:type="dxa"/>
            <w:vMerge w:val="restart"/>
            <w:textDirection w:val="btLr"/>
            <w:vAlign w:val="center"/>
            <w:hideMark/>
          </w:tcPr>
          <w:p w14:paraId="428CE6C8" w14:textId="5DEAE6C1" w:rsidR="002D7625" w:rsidRPr="00126975" w:rsidRDefault="001D040C" w:rsidP="00126975">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ALOKACJA (MLN EUR)</w:t>
            </w:r>
          </w:p>
        </w:tc>
        <w:tc>
          <w:tcPr>
            <w:tcW w:w="2126" w:type="dxa"/>
            <w:gridSpan w:val="2"/>
            <w:vAlign w:val="center"/>
            <w:hideMark/>
          </w:tcPr>
          <w:p w14:paraId="327E666A" w14:textId="7461D510" w:rsidR="002D7625"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WNIOSKI WYBRANE DO DOFINANSOWANIA</w:t>
            </w:r>
          </w:p>
        </w:tc>
        <w:tc>
          <w:tcPr>
            <w:tcW w:w="1995" w:type="dxa"/>
            <w:gridSpan w:val="2"/>
            <w:vAlign w:val="center"/>
            <w:hideMark/>
          </w:tcPr>
          <w:p w14:paraId="362BCF98" w14:textId="3C7F115C" w:rsidR="002D7625"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KONTRAKTACJA</w:t>
            </w:r>
          </w:p>
        </w:tc>
        <w:tc>
          <w:tcPr>
            <w:tcW w:w="1701" w:type="dxa"/>
            <w:gridSpan w:val="2"/>
            <w:noWrap/>
            <w:vAlign w:val="center"/>
            <w:hideMark/>
          </w:tcPr>
          <w:p w14:paraId="49C7C0F3" w14:textId="64B7DDFC" w:rsidR="002D7625"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PŁATNOŚCI</w:t>
            </w:r>
          </w:p>
        </w:tc>
        <w:tc>
          <w:tcPr>
            <w:tcW w:w="1843" w:type="dxa"/>
            <w:gridSpan w:val="2"/>
            <w:noWrap/>
            <w:vAlign w:val="center"/>
            <w:hideMark/>
          </w:tcPr>
          <w:p w14:paraId="0F42161A" w14:textId="3A9EF898" w:rsidR="002D7625"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CERTYFIKACJA</w:t>
            </w:r>
          </w:p>
        </w:tc>
      </w:tr>
      <w:tr w:rsidR="00C50E84" w:rsidRPr="00C50E84" w14:paraId="517CE4CD" w14:textId="77777777" w:rsidTr="00126975">
        <w:trPr>
          <w:cnfStyle w:val="000000100000" w:firstRow="0" w:lastRow="0" w:firstColumn="0" w:lastColumn="0" w:oddVBand="0" w:evenVBand="0" w:oddHBand="1" w:evenHBand="0" w:firstRowFirstColumn="0" w:firstRowLastColumn="0" w:lastRowFirstColumn="0" w:lastRowLastColumn="0"/>
          <w:trHeight w:val="630"/>
          <w:jc w:val="center"/>
        </w:trPr>
        <w:tc>
          <w:tcPr>
            <w:cnfStyle w:val="001000000000" w:firstRow="0" w:lastRow="0" w:firstColumn="1" w:lastColumn="0" w:oddVBand="0" w:evenVBand="0" w:oddHBand="0" w:evenHBand="0" w:firstRowFirstColumn="0" w:firstRowLastColumn="0" w:lastRowFirstColumn="0" w:lastRowLastColumn="0"/>
            <w:tcW w:w="1124" w:type="dxa"/>
            <w:vMerge/>
            <w:vAlign w:val="center"/>
            <w:hideMark/>
          </w:tcPr>
          <w:p w14:paraId="18193431" w14:textId="77777777" w:rsidR="002D7625" w:rsidRPr="002D7625" w:rsidRDefault="002D7625" w:rsidP="00126975">
            <w:pPr>
              <w:spacing w:after="0" w:line="240" w:lineRule="auto"/>
              <w:jc w:val="center"/>
              <w:rPr>
                <w:b w:val="0"/>
                <w:bCs w:val="0"/>
                <w:color w:val="000000"/>
                <w:sz w:val="20"/>
                <w:szCs w:val="20"/>
              </w:rPr>
            </w:pPr>
          </w:p>
        </w:tc>
        <w:tc>
          <w:tcPr>
            <w:tcW w:w="1276" w:type="dxa"/>
            <w:vMerge/>
            <w:vAlign w:val="center"/>
            <w:hideMark/>
          </w:tcPr>
          <w:p w14:paraId="19F3F0ED"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992" w:type="dxa"/>
            <w:vAlign w:val="center"/>
            <w:hideMark/>
          </w:tcPr>
          <w:p w14:paraId="3E6E859F"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mln EUR</w:t>
            </w:r>
          </w:p>
        </w:tc>
        <w:tc>
          <w:tcPr>
            <w:tcW w:w="1134" w:type="dxa"/>
            <w:vAlign w:val="center"/>
            <w:hideMark/>
          </w:tcPr>
          <w:p w14:paraId="3108F037"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w:t>
            </w:r>
          </w:p>
        </w:tc>
        <w:tc>
          <w:tcPr>
            <w:tcW w:w="1145" w:type="dxa"/>
            <w:vAlign w:val="center"/>
            <w:hideMark/>
          </w:tcPr>
          <w:p w14:paraId="3EF44473"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mln EUR</w:t>
            </w:r>
          </w:p>
        </w:tc>
        <w:tc>
          <w:tcPr>
            <w:tcW w:w="850" w:type="dxa"/>
            <w:vAlign w:val="center"/>
            <w:hideMark/>
          </w:tcPr>
          <w:p w14:paraId="3BF2BAC8"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w:t>
            </w:r>
          </w:p>
        </w:tc>
        <w:tc>
          <w:tcPr>
            <w:tcW w:w="992" w:type="dxa"/>
            <w:vAlign w:val="center"/>
            <w:hideMark/>
          </w:tcPr>
          <w:p w14:paraId="69F45DAD"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mln EUR</w:t>
            </w:r>
          </w:p>
        </w:tc>
        <w:tc>
          <w:tcPr>
            <w:tcW w:w="709" w:type="dxa"/>
            <w:vAlign w:val="center"/>
            <w:hideMark/>
          </w:tcPr>
          <w:p w14:paraId="5EBA9993"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w:t>
            </w:r>
          </w:p>
        </w:tc>
        <w:tc>
          <w:tcPr>
            <w:tcW w:w="992" w:type="dxa"/>
            <w:vAlign w:val="center"/>
            <w:hideMark/>
          </w:tcPr>
          <w:p w14:paraId="37A2938A"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mln EUR</w:t>
            </w:r>
          </w:p>
        </w:tc>
        <w:tc>
          <w:tcPr>
            <w:tcW w:w="851" w:type="dxa"/>
            <w:vAlign w:val="center"/>
            <w:hideMark/>
          </w:tcPr>
          <w:p w14:paraId="7302E7A0"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D7625">
              <w:rPr>
                <w:b/>
                <w:bCs/>
                <w:sz w:val="20"/>
                <w:szCs w:val="20"/>
              </w:rPr>
              <w:t>%</w:t>
            </w:r>
          </w:p>
        </w:tc>
      </w:tr>
      <w:tr w:rsidR="00C50E84" w:rsidRPr="00C50E84" w14:paraId="67F73E2D" w14:textId="77777777" w:rsidTr="00126975">
        <w:trPr>
          <w:trHeight w:val="315"/>
          <w:jc w:val="center"/>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3F627A18" w14:textId="77777777" w:rsidR="002D7625" w:rsidRPr="002D7625" w:rsidRDefault="002D7625" w:rsidP="00126975">
            <w:pPr>
              <w:spacing w:after="0" w:line="240" w:lineRule="auto"/>
              <w:jc w:val="center"/>
              <w:rPr>
                <w:b w:val="0"/>
                <w:bCs w:val="0"/>
                <w:color w:val="000000"/>
                <w:sz w:val="20"/>
                <w:szCs w:val="20"/>
              </w:rPr>
            </w:pPr>
            <w:r w:rsidRPr="002D7625">
              <w:rPr>
                <w:b w:val="0"/>
                <w:bCs w:val="0"/>
                <w:color w:val="000000"/>
                <w:sz w:val="20"/>
                <w:szCs w:val="20"/>
              </w:rPr>
              <w:t>4.1</w:t>
            </w:r>
          </w:p>
        </w:tc>
        <w:tc>
          <w:tcPr>
            <w:tcW w:w="1276" w:type="dxa"/>
            <w:noWrap/>
            <w:vAlign w:val="center"/>
            <w:hideMark/>
          </w:tcPr>
          <w:p w14:paraId="3FF2BA98"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D7625">
              <w:rPr>
                <w:sz w:val="20"/>
                <w:szCs w:val="20"/>
              </w:rPr>
              <w:t>44,59</w:t>
            </w:r>
          </w:p>
        </w:tc>
        <w:tc>
          <w:tcPr>
            <w:tcW w:w="992" w:type="dxa"/>
            <w:noWrap/>
            <w:vAlign w:val="center"/>
            <w:hideMark/>
          </w:tcPr>
          <w:p w14:paraId="5DED24D2"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48,17</w:t>
            </w:r>
          </w:p>
        </w:tc>
        <w:tc>
          <w:tcPr>
            <w:tcW w:w="1134" w:type="dxa"/>
            <w:noWrap/>
            <w:vAlign w:val="center"/>
            <w:hideMark/>
          </w:tcPr>
          <w:p w14:paraId="6DAA70B1"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108,03</w:t>
            </w:r>
          </w:p>
        </w:tc>
        <w:tc>
          <w:tcPr>
            <w:tcW w:w="1145" w:type="dxa"/>
            <w:noWrap/>
            <w:vAlign w:val="center"/>
            <w:hideMark/>
          </w:tcPr>
          <w:p w14:paraId="3EB21F6D"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41,88</w:t>
            </w:r>
          </w:p>
        </w:tc>
        <w:tc>
          <w:tcPr>
            <w:tcW w:w="850" w:type="dxa"/>
            <w:noWrap/>
            <w:vAlign w:val="center"/>
            <w:hideMark/>
          </w:tcPr>
          <w:p w14:paraId="526C6C71"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93,92</w:t>
            </w:r>
          </w:p>
        </w:tc>
        <w:tc>
          <w:tcPr>
            <w:tcW w:w="992" w:type="dxa"/>
            <w:noWrap/>
            <w:vAlign w:val="center"/>
            <w:hideMark/>
          </w:tcPr>
          <w:p w14:paraId="24890EB5"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41,60</w:t>
            </w:r>
          </w:p>
        </w:tc>
        <w:tc>
          <w:tcPr>
            <w:tcW w:w="709" w:type="dxa"/>
            <w:noWrap/>
            <w:vAlign w:val="center"/>
            <w:hideMark/>
          </w:tcPr>
          <w:p w14:paraId="3905FF8F"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93,29</w:t>
            </w:r>
          </w:p>
        </w:tc>
        <w:tc>
          <w:tcPr>
            <w:tcW w:w="992" w:type="dxa"/>
            <w:vAlign w:val="center"/>
            <w:hideMark/>
          </w:tcPr>
          <w:p w14:paraId="3629E791" w14:textId="6D8ACA14" w:rsidR="002D7625" w:rsidRPr="002D7625" w:rsidRDefault="00D771D3"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44,3</w:t>
            </w:r>
            <w:r w:rsidR="00710E9D">
              <w:rPr>
                <w:sz w:val="20"/>
                <w:szCs w:val="20"/>
              </w:rPr>
              <w:t>2</w:t>
            </w:r>
            <w:r>
              <w:rPr>
                <w:sz w:val="20"/>
                <w:szCs w:val="20"/>
              </w:rPr>
              <w:t xml:space="preserve"> </w:t>
            </w:r>
          </w:p>
        </w:tc>
        <w:tc>
          <w:tcPr>
            <w:tcW w:w="851" w:type="dxa"/>
            <w:noWrap/>
            <w:vAlign w:val="center"/>
            <w:hideMark/>
          </w:tcPr>
          <w:p w14:paraId="00A57E9F" w14:textId="00774513" w:rsidR="002D7625" w:rsidRPr="002D7625" w:rsidRDefault="00D771D3"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 99,39</w:t>
            </w:r>
          </w:p>
        </w:tc>
      </w:tr>
      <w:tr w:rsidR="00C50E84" w:rsidRPr="00C50E84" w14:paraId="221FE032" w14:textId="77777777" w:rsidTr="001269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131928D5" w14:textId="77777777" w:rsidR="002D7625" w:rsidRPr="002D7625" w:rsidRDefault="002D7625" w:rsidP="00126975">
            <w:pPr>
              <w:spacing w:after="0" w:line="240" w:lineRule="auto"/>
              <w:jc w:val="center"/>
              <w:rPr>
                <w:b w:val="0"/>
                <w:bCs w:val="0"/>
                <w:color w:val="000000"/>
                <w:sz w:val="20"/>
                <w:szCs w:val="20"/>
              </w:rPr>
            </w:pPr>
            <w:r w:rsidRPr="002D7625">
              <w:rPr>
                <w:b w:val="0"/>
                <w:bCs w:val="0"/>
                <w:color w:val="000000"/>
                <w:sz w:val="20"/>
                <w:szCs w:val="20"/>
              </w:rPr>
              <w:t>4.2</w:t>
            </w:r>
          </w:p>
        </w:tc>
        <w:tc>
          <w:tcPr>
            <w:tcW w:w="1276" w:type="dxa"/>
            <w:noWrap/>
            <w:vAlign w:val="center"/>
            <w:hideMark/>
          </w:tcPr>
          <w:p w14:paraId="47402235"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D7625">
              <w:rPr>
                <w:sz w:val="20"/>
                <w:szCs w:val="20"/>
              </w:rPr>
              <w:t>4,58</w:t>
            </w:r>
          </w:p>
        </w:tc>
        <w:tc>
          <w:tcPr>
            <w:tcW w:w="992" w:type="dxa"/>
            <w:noWrap/>
            <w:vAlign w:val="center"/>
            <w:hideMark/>
          </w:tcPr>
          <w:p w14:paraId="026D3941"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2D7625">
              <w:rPr>
                <w:color w:val="000000"/>
                <w:sz w:val="20"/>
                <w:szCs w:val="20"/>
              </w:rPr>
              <w:t>4,75</w:t>
            </w:r>
          </w:p>
        </w:tc>
        <w:tc>
          <w:tcPr>
            <w:tcW w:w="1134" w:type="dxa"/>
            <w:noWrap/>
            <w:vAlign w:val="center"/>
            <w:hideMark/>
          </w:tcPr>
          <w:p w14:paraId="333A189A"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2D7625">
              <w:rPr>
                <w:color w:val="000000"/>
                <w:sz w:val="20"/>
                <w:szCs w:val="20"/>
              </w:rPr>
              <w:t>103,71</w:t>
            </w:r>
          </w:p>
        </w:tc>
        <w:tc>
          <w:tcPr>
            <w:tcW w:w="1145" w:type="dxa"/>
            <w:noWrap/>
            <w:vAlign w:val="center"/>
            <w:hideMark/>
          </w:tcPr>
          <w:p w14:paraId="56CEA94F"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2D7625">
              <w:rPr>
                <w:color w:val="000000"/>
                <w:sz w:val="20"/>
                <w:szCs w:val="20"/>
              </w:rPr>
              <w:t>4,40</w:t>
            </w:r>
          </w:p>
        </w:tc>
        <w:tc>
          <w:tcPr>
            <w:tcW w:w="850" w:type="dxa"/>
            <w:noWrap/>
            <w:vAlign w:val="center"/>
            <w:hideMark/>
          </w:tcPr>
          <w:p w14:paraId="5142129E"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2D7625">
              <w:rPr>
                <w:color w:val="000000"/>
                <w:sz w:val="20"/>
                <w:szCs w:val="20"/>
              </w:rPr>
              <w:t>96,07</w:t>
            </w:r>
          </w:p>
        </w:tc>
        <w:tc>
          <w:tcPr>
            <w:tcW w:w="992" w:type="dxa"/>
            <w:noWrap/>
            <w:vAlign w:val="center"/>
            <w:hideMark/>
          </w:tcPr>
          <w:p w14:paraId="6ED105D9"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2D7625">
              <w:rPr>
                <w:color w:val="000000"/>
                <w:sz w:val="20"/>
                <w:szCs w:val="20"/>
              </w:rPr>
              <w:t>4,25</w:t>
            </w:r>
          </w:p>
        </w:tc>
        <w:tc>
          <w:tcPr>
            <w:tcW w:w="709" w:type="dxa"/>
            <w:noWrap/>
            <w:vAlign w:val="center"/>
            <w:hideMark/>
          </w:tcPr>
          <w:p w14:paraId="63DA367D"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2D7625">
              <w:rPr>
                <w:color w:val="000000"/>
                <w:sz w:val="20"/>
                <w:szCs w:val="20"/>
              </w:rPr>
              <w:t>92,79</w:t>
            </w:r>
          </w:p>
        </w:tc>
        <w:tc>
          <w:tcPr>
            <w:tcW w:w="992" w:type="dxa"/>
            <w:vAlign w:val="center"/>
            <w:hideMark/>
          </w:tcPr>
          <w:p w14:paraId="45693F8A" w14:textId="77777777" w:rsidR="002D7625" w:rsidRPr="002D7625" w:rsidRDefault="002D7625"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2D7625">
              <w:rPr>
                <w:sz w:val="20"/>
                <w:szCs w:val="20"/>
              </w:rPr>
              <w:t>4,40</w:t>
            </w:r>
          </w:p>
        </w:tc>
        <w:tc>
          <w:tcPr>
            <w:tcW w:w="851" w:type="dxa"/>
            <w:noWrap/>
            <w:vAlign w:val="center"/>
            <w:hideMark/>
          </w:tcPr>
          <w:p w14:paraId="71B75AB6" w14:textId="7AA19B47" w:rsidR="002D7625" w:rsidRPr="002D7625" w:rsidRDefault="00D771D3"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 96,08</w:t>
            </w:r>
          </w:p>
        </w:tc>
      </w:tr>
      <w:tr w:rsidR="00C50E84" w:rsidRPr="00C50E84" w14:paraId="7B893E0B" w14:textId="77777777" w:rsidTr="00126975">
        <w:trPr>
          <w:trHeight w:val="315"/>
          <w:jc w:val="center"/>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3BE89D2E" w14:textId="77777777" w:rsidR="002D7625" w:rsidRPr="002D7625" w:rsidRDefault="002D7625" w:rsidP="00126975">
            <w:pPr>
              <w:spacing w:after="0" w:line="240" w:lineRule="auto"/>
              <w:jc w:val="center"/>
              <w:rPr>
                <w:b w:val="0"/>
                <w:bCs w:val="0"/>
                <w:color w:val="000000"/>
                <w:sz w:val="20"/>
                <w:szCs w:val="20"/>
              </w:rPr>
            </w:pPr>
            <w:r w:rsidRPr="002D7625">
              <w:rPr>
                <w:b w:val="0"/>
                <w:bCs w:val="0"/>
                <w:color w:val="000000"/>
                <w:sz w:val="20"/>
                <w:szCs w:val="20"/>
              </w:rPr>
              <w:t>4.3</w:t>
            </w:r>
          </w:p>
        </w:tc>
        <w:tc>
          <w:tcPr>
            <w:tcW w:w="1276" w:type="dxa"/>
            <w:noWrap/>
            <w:vAlign w:val="center"/>
            <w:hideMark/>
          </w:tcPr>
          <w:p w14:paraId="65E2BE55" w14:textId="309531A3" w:rsidR="002D7625" w:rsidRPr="002D7625" w:rsidRDefault="00D771D3"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w:t>
            </w:r>
            <w:r w:rsidR="00710E9D">
              <w:rPr>
                <w:sz w:val="20"/>
                <w:szCs w:val="20"/>
              </w:rPr>
              <w:t>10</w:t>
            </w:r>
            <w:r>
              <w:rPr>
                <w:sz w:val="20"/>
                <w:szCs w:val="20"/>
              </w:rPr>
              <w:t xml:space="preserve"> </w:t>
            </w:r>
          </w:p>
        </w:tc>
        <w:tc>
          <w:tcPr>
            <w:tcW w:w="992" w:type="dxa"/>
            <w:noWrap/>
            <w:vAlign w:val="center"/>
            <w:hideMark/>
          </w:tcPr>
          <w:p w14:paraId="46ACADCD"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7,48</w:t>
            </w:r>
          </w:p>
        </w:tc>
        <w:tc>
          <w:tcPr>
            <w:tcW w:w="1134" w:type="dxa"/>
            <w:noWrap/>
            <w:vAlign w:val="center"/>
            <w:hideMark/>
          </w:tcPr>
          <w:p w14:paraId="69947307"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182,44</w:t>
            </w:r>
          </w:p>
        </w:tc>
        <w:tc>
          <w:tcPr>
            <w:tcW w:w="1145" w:type="dxa"/>
            <w:noWrap/>
            <w:vAlign w:val="center"/>
            <w:hideMark/>
          </w:tcPr>
          <w:p w14:paraId="7F0DC069"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3,87</w:t>
            </w:r>
          </w:p>
        </w:tc>
        <w:tc>
          <w:tcPr>
            <w:tcW w:w="850" w:type="dxa"/>
            <w:noWrap/>
            <w:vAlign w:val="center"/>
            <w:hideMark/>
          </w:tcPr>
          <w:p w14:paraId="4D9B796D"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94,39</w:t>
            </w:r>
          </w:p>
        </w:tc>
        <w:tc>
          <w:tcPr>
            <w:tcW w:w="992" w:type="dxa"/>
            <w:noWrap/>
            <w:vAlign w:val="center"/>
            <w:hideMark/>
          </w:tcPr>
          <w:p w14:paraId="608E190C"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3,87</w:t>
            </w:r>
          </w:p>
        </w:tc>
        <w:tc>
          <w:tcPr>
            <w:tcW w:w="709" w:type="dxa"/>
            <w:noWrap/>
            <w:vAlign w:val="center"/>
            <w:hideMark/>
          </w:tcPr>
          <w:p w14:paraId="4663C204" w14:textId="77777777" w:rsidR="002D7625" w:rsidRPr="002D7625" w:rsidRDefault="002D7625"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2D7625">
              <w:rPr>
                <w:color w:val="000000"/>
                <w:sz w:val="20"/>
                <w:szCs w:val="20"/>
              </w:rPr>
              <w:t>94,39</w:t>
            </w:r>
          </w:p>
        </w:tc>
        <w:tc>
          <w:tcPr>
            <w:tcW w:w="992" w:type="dxa"/>
            <w:vAlign w:val="center"/>
            <w:hideMark/>
          </w:tcPr>
          <w:p w14:paraId="7C16F96D" w14:textId="3E34D1A7" w:rsidR="002D7625" w:rsidRPr="002D7625" w:rsidRDefault="00D771D3"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w:t>
            </w:r>
            <w:r w:rsidR="00710E9D">
              <w:rPr>
                <w:sz w:val="20"/>
                <w:szCs w:val="20"/>
              </w:rPr>
              <w:t>10</w:t>
            </w:r>
            <w:r>
              <w:rPr>
                <w:sz w:val="20"/>
                <w:szCs w:val="20"/>
              </w:rPr>
              <w:t xml:space="preserve"> </w:t>
            </w:r>
          </w:p>
        </w:tc>
        <w:tc>
          <w:tcPr>
            <w:tcW w:w="851" w:type="dxa"/>
            <w:noWrap/>
            <w:vAlign w:val="center"/>
            <w:hideMark/>
          </w:tcPr>
          <w:p w14:paraId="186BD2F8" w14:textId="0B5BC139" w:rsidR="002D7625" w:rsidRPr="002D7625" w:rsidRDefault="00D771D3"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 100,03</w:t>
            </w:r>
          </w:p>
        </w:tc>
      </w:tr>
    </w:tbl>
    <w:p w14:paraId="08DADBC3" w14:textId="77777777" w:rsidR="002D7625" w:rsidRDefault="002D7625" w:rsidP="0094320D">
      <w:pPr>
        <w:spacing w:after="120"/>
        <w:contextualSpacing/>
        <w:jc w:val="both"/>
        <w:rPr>
          <w:b/>
          <w:szCs w:val="24"/>
        </w:rPr>
      </w:pPr>
    </w:p>
    <w:p w14:paraId="03D84833" w14:textId="77777777" w:rsidR="00580CE6" w:rsidRPr="0094320D" w:rsidRDefault="00580CE6" w:rsidP="0094320D">
      <w:pPr>
        <w:spacing w:after="120"/>
        <w:contextualSpacing/>
        <w:jc w:val="both"/>
        <w:rPr>
          <w:b/>
          <w:szCs w:val="24"/>
        </w:rPr>
      </w:pPr>
      <w:r w:rsidRPr="0094320D">
        <w:rPr>
          <w:b/>
          <w:szCs w:val="24"/>
        </w:rPr>
        <w:t>Projekty kluczowe</w:t>
      </w:r>
    </w:p>
    <w:p w14:paraId="1B56761D" w14:textId="3C23353F" w:rsidR="00580CE6" w:rsidRPr="0094320D" w:rsidRDefault="00580CE6" w:rsidP="0094320D">
      <w:pPr>
        <w:spacing w:after="120"/>
        <w:jc w:val="both"/>
        <w:rPr>
          <w:i/>
          <w:szCs w:val="24"/>
        </w:rPr>
      </w:pPr>
      <w:r w:rsidRPr="0094320D">
        <w:rPr>
          <w:szCs w:val="24"/>
        </w:rPr>
        <w:t xml:space="preserve">W ramach priorytetu realizowany </w:t>
      </w:r>
      <w:r w:rsidR="006E1268">
        <w:rPr>
          <w:szCs w:val="24"/>
        </w:rPr>
        <w:t>był</w:t>
      </w:r>
      <w:r w:rsidRPr="0094320D">
        <w:rPr>
          <w:szCs w:val="24"/>
        </w:rPr>
        <w:t xml:space="preserve"> jeden projekt kluczowy znajdujący się w IWIPK </w:t>
      </w:r>
      <w:r w:rsidRPr="0094320D">
        <w:rPr>
          <w:i/>
          <w:szCs w:val="24"/>
        </w:rPr>
        <w:t>Kompleksowa restauracja zabudowań klasztoru Ojców Paulinów na Jasnej Górze</w:t>
      </w:r>
      <w:r w:rsidRPr="0094320D">
        <w:rPr>
          <w:szCs w:val="24"/>
        </w:rPr>
        <w:t>. Szczegółowe informacje dot. projektu zostały przedstawione w załączniku nr XII do </w:t>
      </w:r>
      <w:r w:rsidRPr="0094320D">
        <w:rPr>
          <w:i/>
          <w:szCs w:val="24"/>
        </w:rPr>
        <w:t>Sprawozdania.</w:t>
      </w:r>
    </w:p>
    <w:p w14:paraId="5EFE091B" w14:textId="77777777" w:rsidR="00580CE6" w:rsidRPr="0094320D" w:rsidRDefault="00580CE6" w:rsidP="0094320D">
      <w:pPr>
        <w:spacing w:after="120"/>
        <w:contextualSpacing/>
        <w:jc w:val="both"/>
        <w:rPr>
          <w:b/>
          <w:szCs w:val="24"/>
          <w:lang w:eastAsia="ar-SA"/>
        </w:rPr>
      </w:pPr>
      <w:r w:rsidRPr="0094320D">
        <w:rPr>
          <w:b/>
          <w:szCs w:val="24"/>
          <w:lang w:eastAsia="ar-SA"/>
        </w:rPr>
        <w:t>Harmonogram konkursów</w:t>
      </w:r>
    </w:p>
    <w:p w14:paraId="3F2DCED2" w14:textId="77777777" w:rsidR="001F484B" w:rsidRDefault="00580CE6" w:rsidP="00832C38">
      <w:pPr>
        <w:jc w:val="both"/>
        <w:rPr>
          <w:szCs w:val="24"/>
        </w:rPr>
      </w:pPr>
      <w:r w:rsidRPr="0094320D">
        <w:rPr>
          <w:szCs w:val="24"/>
        </w:rPr>
        <w:t>W ramach przedmiotowego priorytetu ogłoszono 7 konkursów na kwotę 33,27 mln EUR.</w:t>
      </w:r>
    </w:p>
    <w:p w14:paraId="4C5828DB" w14:textId="5B641612" w:rsidR="00580CE6" w:rsidRPr="00832C38" w:rsidRDefault="004E6046" w:rsidP="00832C38">
      <w:pPr>
        <w:jc w:val="both"/>
        <w:rPr>
          <w:szCs w:val="24"/>
        </w:rPr>
      </w:pPr>
      <w:r w:rsidRPr="0094320D">
        <w:rPr>
          <w:b/>
          <w:szCs w:val="24"/>
          <w:lang w:eastAsia="ar-SA"/>
        </w:rPr>
        <w:lastRenderedPageBreak/>
        <w:t>Rozkład projektów</w:t>
      </w:r>
    </w:p>
    <w:p w14:paraId="0ADEE9D9" w14:textId="0100CE5A" w:rsidR="0005532E" w:rsidRDefault="004E6046" w:rsidP="00126975">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na koniec 2016 </w:t>
      </w:r>
      <w:r w:rsidRPr="00D90934">
        <w:rPr>
          <w:szCs w:val="24"/>
          <w:lang w:eastAsia="ar-SA"/>
        </w:rPr>
        <w:t>r., w przypadkach braku danych w KS</w:t>
      </w:r>
      <w:r>
        <w:rPr>
          <w:szCs w:val="24"/>
          <w:lang w:eastAsia="ar-SA"/>
        </w:rPr>
        <w:t>I dane pochodzą z LSI.</w:t>
      </w:r>
    </w:p>
    <w:p w14:paraId="18F4C4D3" w14:textId="77777777" w:rsidR="00126975" w:rsidRPr="004E6046" w:rsidRDefault="00126975" w:rsidP="00126975">
      <w:pPr>
        <w:pStyle w:val="Akapitzlist"/>
        <w:spacing w:before="120" w:after="240"/>
        <w:ind w:left="0"/>
        <w:jc w:val="both"/>
        <w:rPr>
          <w:szCs w:val="24"/>
          <w:lang w:eastAsia="ar-SA"/>
        </w:rPr>
      </w:pPr>
    </w:p>
    <w:p w14:paraId="0C17AC28" w14:textId="77777777" w:rsidR="0005532E" w:rsidRPr="00126975" w:rsidRDefault="0005532E" w:rsidP="00126975">
      <w:pPr>
        <w:pStyle w:val="Akapitzlist"/>
        <w:numPr>
          <w:ilvl w:val="0"/>
          <w:numId w:val="99"/>
        </w:numPr>
        <w:spacing w:before="240" w:after="240"/>
        <w:jc w:val="both"/>
        <w:rPr>
          <w:b/>
          <w:szCs w:val="24"/>
          <w:lang w:eastAsia="ar-SA"/>
        </w:rPr>
      </w:pPr>
      <w:r w:rsidRPr="00126975">
        <w:rPr>
          <w:b/>
          <w:szCs w:val="24"/>
          <w:lang w:eastAsia="ar-SA"/>
        </w:rPr>
        <w:t>Projekty w podziale na sektory gospodarki</w:t>
      </w:r>
    </w:p>
    <w:p w14:paraId="3BB87A01" w14:textId="1BC87D28" w:rsidR="004E6046" w:rsidRPr="0005532E" w:rsidRDefault="004E6046" w:rsidP="0005532E">
      <w:pPr>
        <w:spacing w:before="240" w:after="240"/>
        <w:contextualSpacing/>
        <w:jc w:val="both"/>
        <w:rPr>
          <w:szCs w:val="24"/>
          <w:lang w:eastAsia="ar-SA"/>
        </w:rPr>
      </w:pPr>
      <w:r>
        <w:rPr>
          <w:szCs w:val="24"/>
          <w:lang w:eastAsia="ar-SA"/>
        </w:rPr>
        <w:t xml:space="preserve">W ramach przedmiotowego priorytetu, nie </w:t>
      </w:r>
      <w:r w:rsidR="00126975">
        <w:rPr>
          <w:szCs w:val="24"/>
          <w:lang w:eastAsia="ar-SA"/>
        </w:rPr>
        <w:t xml:space="preserve">były </w:t>
      </w:r>
      <w:r>
        <w:rPr>
          <w:szCs w:val="24"/>
          <w:lang w:eastAsia="ar-SA"/>
        </w:rPr>
        <w:t>realizowane projekty, które można podzielić na sektory gospodarki.</w:t>
      </w:r>
    </w:p>
    <w:p w14:paraId="75842B6B" w14:textId="77777777" w:rsidR="004E6046" w:rsidRDefault="004E6046" w:rsidP="0005532E">
      <w:pPr>
        <w:spacing w:after="120"/>
        <w:contextualSpacing/>
        <w:jc w:val="both"/>
        <w:rPr>
          <w:b/>
          <w:szCs w:val="24"/>
          <w:lang w:eastAsia="ar-SA"/>
        </w:rPr>
      </w:pPr>
    </w:p>
    <w:p w14:paraId="6850E2EB" w14:textId="77777777" w:rsidR="0005532E" w:rsidRPr="00126975" w:rsidRDefault="0005532E" w:rsidP="00126975">
      <w:pPr>
        <w:pStyle w:val="Akapitzlist"/>
        <w:numPr>
          <w:ilvl w:val="0"/>
          <w:numId w:val="99"/>
        </w:numPr>
        <w:spacing w:after="120"/>
        <w:jc w:val="both"/>
        <w:rPr>
          <w:b/>
          <w:szCs w:val="24"/>
          <w:lang w:eastAsia="ar-SA"/>
        </w:rPr>
      </w:pPr>
      <w:r w:rsidRPr="00126975">
        <w:rPr>
          <w:b/>
          <w:szCs w:val="24"/>
          <w:lang w:eastAsia="ar-SA"/>
        </w:rPr>
        <w:t>Projekty w podziale na formy prawne beneficjentów</w:t>
      </w:r>
    </w:p>
    <w:p w14:paraId="257AE4F0" w14:textId="56A7C3C6" w:rsidR="0005532E" w:rsidRDefault="0005532E" w:rsidP="0005532E">
      <w:pPr>
        <w:spacing w:after="120"/>
        <w:jc w:val="both"/>
        <w:rPr>
          <w:bCs/>
          <w:szCs w:val="24"/>
        </w:rPr>
      </w:pPr>
      <w:r w:rsidRPr="0005532E">
        <w:rPr>
          <w:bCs/>
          <w:szCs w:val="24"/>
        </w:rPr>
        <w:t>Od uruchomienia programu do końca 2016 roku w ramach priorytetu największe zaangażowanie w realizac</w:t>
      </w:r>
      <w:r>
        <w:rPr>
          <w:bCs/>
          <w:szCs w:val="24"/>
        </w:rPr>
        <w:t>ję projektów wykazywały JST (117</w:t>
      </w:r>
      <w:r w:rsidRPr="0005532E">
        <w:rPr>
          <w:bCs/>
          <w:szCs w:val="24"/>
        </w:rPr>
        <w:t xml:space="preserve"> proj</w:t>
      </w:r>
      <w:r>
        <w:rPr>
          <w:bCs/>
          <w:szCs w:val="24"/>
        </w:rPr>
        <w:t>ektów na kwotę dofinansowania 61</w:t>
      </w:r>
      <w:r w:rsidR="000E197A">
        <w:rPr>
          <w:bCs/>
          <w:szCs w:val="24"/>
        </w:rPr>
        <w:t xml:space="preserve"> mln EUR). Związane</w:t>
      </w:r>
      <w:r w:rsidRPr="0005532E">
        <w:rPr>
          <w:bCs/>
          <w:szCs w:val="24"/>
        </w:rPr>
        <w:t xml:space="preserve"> jest to ze specyfiką projektów kulturalnych. W rozwój kultury zaangażowane są zazwyczaj samorządy, którym podlegają liczne instytucje</w:t>
      </w:r>
      <w:r>
        <w:rPr>
          <w:bCs/>
          <w:szCs w:val="24"/>
        </w:rPr>
        <w:t xml:space="preserve"> kultury.</w:t>
      </w:r>
    </w:p>
    <w:p w14:paraId="021E456E" w14:textId="0F0CA3DB" w:rsidR="0005532E" w:rsidRDefault="0005532E" w:rsidP="0005532E">
      <w:pPr>
        <w:spacing w:after="120"/>
        <w:jc w:val="both"/>
        <w:rPr>
          <w:bCs/>
          <w:szCs w:val="24"/>
        </w:rPr>
      </w:pPr>
      <w:r>
        <w:rPr>
          <w:noProof/>
        </w:rPr>
        <w:drawing>
          <wp:inline distT="0" distB="0" distL="0" distR="0" wp14:anchorId="12CDF7E1" wp14:editId="75762964">
            <wp:extent cx="5172076" cy="3390900"/>
            <wp:effectExtent l="0" t="0" r="0" b="0"/>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E5A3F03" w14:textId="10E66700" w:rsidR="0005532E" w:rsidRPr="00C50E84" w:rsidRDefault="00B66319" w:rsidP="00B66319">
      <w:pPr>
        <w:pStyle w:val="Legenda"/>
        <w:rPr>
          <w:b w:val="0"/>
          <w:color w:val="auto"/>
          <w:sz w:val="20"/>
          <w:szCs w:val="20"/>
          <w:lang w:eastAsia="ar-SA"/>
        </w:rPr>
      </w:pPr>
      <w:bookmarkStart w:id="371" w:name="_Toc476832957"/>
      <w:bookmarkStart w:id="372" w:name="_Toc292793756"/>
      <w:bookmarkStart w:id="373" w:name="_Toc292796337"/>
      <w:bookmarkStart w:id="374" w:name="_Toc292796831"/>
      <w:bookmarkStart w:id="375" w:name="_Toc292889141"/>
      <w:bookmarkStart w:id="376" w:name="_Toc295293449"/>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39</w:t>
      </w:r>
      <w:r w:rsidR="00A44293" w:rsidRPr="00A44293">
        <w:rPr>
          <w:noProof/>
          <w:color w:val="auto"/>
        </w:rPr>
        <w:fldChar w:fldCharType="end"/>
      </w:r>
      <w:r w:rsidRPr="00A44293">
        <w:rPr>
          <w:color w:val="auto"/>
        </w:rPr>
        <w:t xml:space="preserve"> </w:t>
      </w:r>
      <w:r w:rsidR="00C50E84" w:rsidRPr="00C50E84">
        <w:rPr>
          <w:b w:val="0"/>
          <w:i/>
          <w:color w:val="auto"/>
          <w:sz w:val="20"/>
          <w:szCs w:val="20"/>
        </w:rPr>
        <w:t xml:space="preserve">Rozkład projektów </w:t>
      </w:r>
      <w:r w:rsidR="009E3592">
        <w:rPr>
          <w:b w:val="0"/>
          <w:i/>
          <w:color w:val="auto"/>
          <w:sz w:val="20"/>
          <w:szCs w:val="20"/>
        </w:rPr>
        <w:t xml:space="preserve">w ramach priorytetu IV </w:t>
      </w:r>
      <w:r w:rsidR="00C50E84" w:rsidRPr="00C50E84">
        <w:rPr>
          <w:b w:val="0"/>
          <w:i/>
          <w:color w:val="auto"/>
          <w:sz w:val="20"/>
          <w:szCs w:val="20"/>
        </w:rPr>
        <w:t>w podziale na beneficjentów</w:t>
      </w:r>
      <w:bookmarkEnd w:id="371"/>
      <w:r w:rsidR="00C50E84" w:rsidRPr="00C50E84">
        <w:rPr>
          <w:color w:val="auto"/>
          <w:sz w:val="20"/>
          <w:szCs w:val="20"/>
        </w:rPr>
        <w:t xml:space="preserve"> </w:t>
      </w:r>
    </w:p>
    <w:p w14:paraId="47303CD2" w14:textId="77777777" w:rsidR="0005532E" w:rsidRPr="00126975" w:rsidRDefault="0005532E" w:rsidP="00126975">
      <w:pPr>
        <w:pStyle w:val="Akapitzlist"/>
        <w:numPr>
          <w:ilvl w:val="0"/>
          <w:numId w:val="99"/>
        </w:numPr>
        <w:spacing w:after="120"/>
        <w:jc w:val="both"/>
        <w:rPr>
          <w:b/>
          <w:szCs w:val="24"/>
          <w:lang w:eastAsia="ar-SA"/>
        </w:rPr>
      </w:pPr>
      <w:r w:rsidRPr="00126975">
        <w:rPr>
          <w:b/>
          <w:szCs w:val="24"/>
          <w:lang w:eastAsia="ar-SA"/>
        </w:rPr>
        <w:t>Projekty w podziale na rozkład terytorialny</w:t>
      </w:r>
    </w:p>
    <w:p w14:paraId="209A0FE5" w14:textId="2886E2A4" w:rsidR="0005532E" w:rsidRPr="0005532E" w:rsidRDefault="00FB1609" w:rsidP="0005532E">
      <w:pPr>
        <w:jc w:val="both"/>
        <w:rPr>
          <w:bCs/>
          <w:szCs w:val="24"/>
        </w:rPr>
      </w:pPr>
      <w:r>
        <w:rPr>
          <w:bCs/>
          <w:szCs w:val="24"/>
        </w:rPr>
        <w:t>Większość projektów (65</w:t>
      </w:r>
      <w:r w:rsidR="0005532E" w:rsidRPr="0005532E">
        <w:rPr>
          <w:bCs/>
          <w:szCs w:val="24"/>
        </w:rPr>
        <w:t>%) w ramach przedmiotowego</w:t>
      </w:r>
      <w:r>
        <w:rPr>
          <w:bCs/>
          <w:szCs w:val="24"/>
        </w:rPr>
        <w:t xml:space="preserve"> priorytetu realizowana </w:t>
      </w:r>
      <w:r w:rsidR="00126975">
        <w:rPr>
          <w:bCs/>
          <w:szCs w:val="24"/>
        </w:rPr>
        <w:t xml:space="preserve">była </w:t>
      </w:r>
      <w:r>
        <w:rPr>
          <w:bCs/>
          <w:szCs w:val="24"/>
        </w:rPr>
        <w:t>na </w:t>
      </w:r>
      <w:r w:rsidR="0005532E" w:rsidRPr="0005532E">
        <w:rPr>
          <w:bCs/>
          <w:szCs w:val="24"/>
        </w:rPr>
        <w:t>obszarach miejskich. W województwie śl</w:t>
      </w:r>
      <w:r>
        <w:rPr>
          <w:bCs/>
          <w:szCs w:val="24"/>
        </w:rPr>
        <w:t xml:space="preserve">ąskim znaczące obiekty kultury </w:t>
      </w:r>
      <w:r w:rsidR="0005532E" w:rsidRPr="0005532E">
        <w:rPr>
          <w:bCs/>
          <w:szCs w:val="24"/>
        </w:rPr>
        <w:t>znajduj</w:t>
      </w:r>
      <w:r>
        <w:rPr>
          <w:bCs/>
          <w:szCs w:val="24"/>
        </w:rPr>
        <w:t>ą się w </w:t>
      </w:r>
      <w:r w:rsidR="0005532E" w:rsidRPr="0005532E">
        <w:rPr>
          <w:bCs/>
          <w:szCs w:val="24"/>
        </w:rPr>
        <w:t xml:space="preserve">większych miastach, stąd liczba projektów na tych obszarach jest </w:t>
      </w:r>
      <w:r w:rsidR="006E1268">
        <w:rPr>
          <w:bCs/>
          <w:szCs w:val="24"/>
        </w:rPr>
        <w:t xml:space="preserve">ponad </w:t>
      </w:r>
      <w:r w:rsidR="0005532E" w:rsidRPr="0005532E">
        <w:rPr>
          <w:bCs/>
          <w:szCs w:val="24"/>
        </w:rPr>
        <w:t>dwa razy większa niż na obszarach wiejskich.</w:t>
      </w:r>
    </w:p>
    <w:p w14:paraId="05E4FC40" w14:textId="77777777" w:rsidR="00126975" w:rsidRDefault="00126975">
      <w:pPr>
        <w:spacing w:after="0" w:line="240" w:lineRule="auto"/>
        <w:rPr>
          <w:b/>
          <w:bCs/>
          <w:sz w:val="18"/>
          <w:szCs w:val="18"/>
        </w:rPr>
      </w:pPr>
      <w:bookmarkStart w:id="377" w:name="_Toc476131806"/>
      <w:bookmarkStart w:id="378" w:name="_Toc324853728"/>
      <w:bookmarkStart w:id="379" w:name="_Toc326046376"/>
      <w:bookmarkStart w:id="380" w:name="_Toc355688741"/>
      <w:r>
        <w:br w:type="page"/>
      </w:r>
    </w:p>
    <w:p w14:paraId="4F4913B8" w14:textId="59B167B9" w:rsidR="0005532E" w:rsidRPr="00B66319" w:rsidRDefault="00B66319" w:rsidP="00B66319">
      <w:pPr>
        <w:pStyle w:val="Legenda"/>
        <w:rPr>
          <w:b w:val="0"/>
          <w:i/>
          <w:color w:val="auto"/>
          <w:sz w:val="20"/>
          <w:szCs w:val="20"/>
        </w:rPr>
      </w:pPr>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23</w:t>
      </w:r>
      <w:r w:rsidR="00A44293" w:rsidRPr="00A44293">
        <w:rPr>
          <w:noProof/>
          <w:color w:val="auto"/>
        </w:rPr>
        <w:fldChar w:fldCharType="end"/>
      </w:r>
      <w:r>
        <w:t xml:space="preserve"> </w:t>
      </w:r>
      <w:r w:rsidR="0005532E" w:rsidRPr="00B66319">
        <w:rPr>
          <w:b w:val="0"/>
          <w:i/>
          <w:color w:val="auto"/>
          <w:sz w:val="20"/>
          <w:szCs w:val="20"/>
        </w:rPr>
        <w:t>Rozkład projektów w ramach priorytetu IV w podziale na obszary</w:t>
      </w:r>
      <w:bookmarkEnd w:id="372"/>
      <w:bookmarkEnd w:id="373"/>
      <w:bookmarkEnd w:id="374"/>
      <w:bookmarkEnd w:id="375"/>
      <w:bookmarkEnd w:id="376"/>
      <w:bookmarkEnd w:id="377"/>
      <w:r w:rsidR="0005532E" w:rsidRPr="00B66319">
        <w:rPr>
          <w:b w:val="0"/>
          <w:i/>
          <w:color w:val="auto"/>
          <w:sz w:val="20"/>
          <w:szCs w:val="20"/>
        </w:rPr>
        <w:t xml:space="preserve"> </w:t>
      </w:r>
      <w:bookmarkEnd w:id="378"/>
      <w:bookmarkEnd w:id="379"/>
      <w:bookmarkEnd w:id="380"/>
    </w:p>
    <w:tbl>
      <w:tblPr>
        <w:tblStyle w:val="Tabelalisty3akcent61"/>
        <w:tblW w:w="5107" w:type="dxa"/>
        <w:jc w:val="center"/>
        <w:tblLayout w:type="fixed"/>
        <w:tblLook w:val="04A0" w:firstRow="1" w:lastRow="0" w:firstColumn="1" w:lastColumn="0" w:noHBand="0" w:noVBand="1"/>
      </w:tblPr>
      <w:tblGrid>
        <w:gridCol w:w="1286"/>
        <w:gridCol w:w="1127"/>
        <w:gridCol w:w="2694"/>
      </w:tblGrid>
      <w:tr w:rsidR="0005532E" w:rsidRPr="0005532E" w14:paraId="40571E21" w14:textId="77777777" w:rsidTr="00126975">
        <w:trPr>
          <w:cnfStyle w:val="100000000000" w:firstRow="1" w:lastRow="0" w:firstColumn="0" w:lastColumn="0" w:oddVBand="0" w:evenVBand="0" w:oddHBand="0" w:evenHBand="0" w:firstRowFirstColumn="0" w:firstRowLastColumn="0" w:lastRowFirstColumn="0" w:lastRowLastColumn="0"/>
          <w:trHeight w:val="780"/>
          <w:jc w:val="center"/>
        </w:trPr>
        <w:tc>
          <w:tcPr>
            <w:cnfStyle w:val="001000000100" w:firstRow="0" w:lastRow="0" w:firstColumn="1" w:lastColumn="0" w:oddVBand="0" w:evenVBand="0" w:oddHBand="0" w:evenHBand="0" w:firstRowFirstColumn="1" w:firstRowLastColumn="0" w:lastRowFirstColumn="0" w:lastRowLastColumn="0"/>
            <w:tcW w:w="1286" w:type="dxa"/>
            <w:vAlign w:val="center"/>
            <w:hideMark/>
          </w:tcPr>
          <w:p w14:paraId="418656AE" w14:textId="77777777" w:rsidR="0005532E" w:rsidRPr="0005532E" w:rsidRDefault="0005532E" w:rsidP="00126975">
            <w:pPr>
              <w:spacing w:after="0" w:line="240" w:lineRule="auto"/>
              <w:jc w:val="center"/>
              <w:rPr>
                <w:color w:val="auto"/>
                <w:sz w:val="20"/>
              </w:rPr>
            </w:pPr>
            <w:r w:rsidRPr="0005532E">
              <w:rPr>
                <w:color w:val="auto"/>
                <w:sz w:val="20"/>
              </w:rPr>
              <w:t>OBSZAR</w:t>
            </w:r>
          </w:p>
        </w:tc>
        <w:tc>
          <w:tcPr>
            <w:tcW w:w="1127" w:type="dxa"/>
            <w:vAlign w:val="center"/>
            <w:hideMark/>
          </w:tcPr>
          <w:p w14:paraId="59B82D12" w14:textId="77777777" w:rsidR="0005532E" w:rsidRPr="0005532E" w:rsidRDefault="0005532E"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05532E">
              <w:rPr>
                <w:color w:val="auto"/>
                <w:sz w:val="20"/>
              </w:rPr>
              <w:t>LICZBA</w:t>
            </w:r>
          </w:p>
        </w:tc>
        <w:tc>
          <w:tcPr>
            <w:tcW w:w="2694" w:type="dxa"/>
            <w:vAlign w:val="center"/>
            <w:hideMark/>
          </w:tcPr>
          <w:p w14:paraId="09A5FFE8" w14:textId="77777777" w:rsidR="0005532E" w:rsidRPr="0005532E" w:rsidRDefault="0005532E"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05532E">
              <w:rPr>
                <w:color w:val="auto"/>
                <w:sz w:val="20"/>
              </w:rPr>
              <w:t>DOFINANSOWANIE UE</w:t>
            </w:r>
          </w:p>
        </w:tc>
      </w:tr>
      <w:tr w:rsidR="0005532E" w:rsidRPr="0005532E" w14:paraId="46BB10AF" w14:textId="77777777" w:rsidTr="00126975">
        <w:trPr>
          <w:cnfStyle w:val="000000100000" w:firstRow="0" w:lastRow="0" w:firstColumn="0" w:lastColumn="0" w:oddVBand="0" w:evenVBand="0" w:oddHBand="1" w:evenHBand="0" w:firstRowFirstColumn="0" w:firstRowLastColumn="0" w:lastRowFirstColumn="0" w:lastRowLastColumn="0"/>
          <w:trHeight w:val="537"/>
          <w:jc w:val="center"/>
        </w:trPr>
        <w:tc>
          <w:tcPr>
            <w:cnfStyle w:val="001000000000" w:firstRow="0" w:lastRow="0" w:firstColumn="1" w:lastColumn="0" w:oddVBand="0" w:evenVBand="0" w:oddHBand="0" w:evenHBand="0" w:firstRowFirstColumn="0" w:firstRowLastColumn="0" w:lastRowFirstColumn="0" w:lastRowLastColumn="0"/>
            <w:tcW w:w="1286" w:type="dxa"/>
            <w:vAlign w:val="center"/>
            <w:hideMark/>
          </w:tcPr>
          <w:p w14:paraId="692BB054" w14:textId="2D997043" w:rsidR="0005532E" w:rsidRPr="001D040C" w:rsidRDefault="001D040C" w:rsidP="00126975">
            <w:pPr>
              <w:spacing w:after="0" w:line="240" w:lineRule="auto"/>
              <w:jc w:val="center"/>
              <w:rPr>
                <w:b w:val="0"/>
                <w:sz w:val="20"/>
              </w:rPr>
            </w:pPr>
            <w:r w:rsidRPr="001D040C">
              <w:rPr>
                <w:b w:val="0"/>
                <w:sz w:val="20"/>
              </w:rPr>
              <w:t>Miejski</w:t>
            </w:r>
          </w:p>
        </w:tc>
        <w:tc>
          <w:tcPr>
            <w:tcW w:w="1127" w:type="dxa"/>
            <w:vAlign w:val="center"/>
            <w:hideMark/>
          </w:tcPr>
          <w:p w14:paraId="4C186646" w14:textId="26D0089D" w:rsidR="0005532E" w:rsidRPr="0005532E" w:rsidRDefault="0005532E"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92</w:t>
            </w:r>
          </w:p>
        </w:tc>
        <w:tc>
          <w:tcPr>
            <w:tcW w:w="2694" w:type="dxa"/>
            <w:vAlign w:val="center"/>
            <w:hideMark/>
          </w:tcPr>
          <w:p w14:paraId="5F186A83" w14:textId="61AD7008" w:rsidR="0005532E" w:rsidRPr="0005532E" w:rsidRDefault="0005532E"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38,87</w:t>
            </w:r>
          </w:p>
        </w:tc>
      </w:tr>
      <w:tr w:rsidR="0005532E" w:rsidRPr="0005532E" w14:paraId="772CAD55" w14:textId="77777777" w:rsidTr="00126975">
        <w:trPr>
          <w:trHeight w:val="543"/>
          <w:jc w:val="center"/>
        </w:trPr>
        <w:tc>
          <w:tcPr>
            <w:cnfStyle w:val="001000000000" w:firstRow="0" w:lastRow="0" w:firstColumn="1" w:lastColumn="0" w:oddVBand="0" w:evenVBand="0" w:oddHBand="0" w:evenHBand="0" w:firstRowFirstColumn="0" w:firstRowLastColumn="0" w:lastRowFirstColumn="0" w:lastRowLastColumn="0"/>
            <w:tcW w:w="1286" w:type="dxa"/>
            <w:vAlign w:val="center"/>
            <w:hideMark/>
          </w:tcPr>
          <w:p w14:paraId="117BF566" w14:textId="7A51DDD1" w:rsidR="0005532E" w:rsidRPr="001D040C" w:rsidRDefault="001D040C" w:rsidP="00126975">
            <w:pPr>
              <w:spacing w:after="0" w:line="240" w:lineRule="auto"/>
              <w:jc w:val="center"/>
              <w:rPr>
                <w:b w:val="0"/>
                <w:sz w:val="20"/>
              </w:rPr>
            </w:pPr>
            <w:r w:rsidRPr="001D040C">
              <w:rPr>
                <w:b w:val="0"/>
                <w:sz w:val="20"/>
              </w:rPr>
              <w:t>Wiejski</w:t>
            </w:r>
          </w:p>
        </w:tc>
        <w:tc>
          <w:tcPr>
            <w:tcW w:w="1127" w:type="dxa"/>
            <w:vAlign w:val="center"/>
            <w:hideMark/>
          </w:tcPr>
          <w:p w14:paraId="5B820C24" w14:textId="77777777" w:rsidR="0005532E" w:rsidRPr="0005532E" w:rsidRDefault="0005532E"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05532E">
              <w:rPr>
                <w:sz w:val="20"/>
              </w:rPr>
              <w:t>44</w:t>
            </w:r>
          </w:p>
        </w:tc>
        <w:tc>
          <w:tcPr>
            <w:tcW w:w="2694" w:type="dxa"/>
            <w:vAlign w:val="center"/>
            <w:hideMark/>
          </w:tcPr>
          <w:p w14:paraId="2718A2DD" w14:textId="55FF0DFC" w:rsidR="0005532E" w:rsidRPr="0005532E" w:rsidRDefault="0005532E"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Pr>
                <w:sz w:val="20"/>
              </w:rPr>
              <w:t>9,75</w:t>
            </w:r>
          </w:p>
        </w:tc>
      </w:tr>
      <w:tr w:rsidR="0005532E" w:rsidRPr="0005532E" w14:paraId="0040128A" w14:textId="77777777" w:rsidTr="00126975">
        <w:trPr>
          <w:cnfStyle w:val="000000100000" w:firstRow="0" w:lastRow="0" w:firstColumn="0" w:lastColumn="0" w:oddVBand="0" w:evenVBand="0" w:oddHBand="1" w:evenHBand="0" w:firstRowFirstColumn="0" w:firstRowLastColumn="0" w:lastRowFirstColumn="0" w:lastRowLastColumn="0"/>
          <w:trHeight w:val="539"/>
          <w:jc w:val="center"/>
        </w:trPr>
        <w:tc>
          <w:tcPr>
            <w:cnfStyle w:val="001000000000" w:firstRow="0" w:lastRow="0" w:firstColumn="1" w:lastColumn="0" w:oddVBand="0" w:evenVBand="0" w:oddHBand="0" w:evenHBand="0" w:firstRowFirstColumn="0" w:firstRowLastColumn="0" w:lastRowFirstColumn="0" w:lastRowLastColumn="0"/>
            <w:tcW w:w="1286" w:type="dxa"/>
            <w:vAlign w:val="center"/>
            <w:hideMark/>
          </w:tcPr>
          <w:p w14:paraId="080286CD" w14:textId="68743903" w:rsidR="0005532E" w:rsidRPr="001D040C" w:rsidRDefault="001D040C" w:rsidP="00126975">
            <w:pPr>
              <w:spacing w:after="0" w:line="240" w:lineRule="auto"/>
              <w:jc w:val="center"/>
              <w:rPr>
                <w:b w:val="0"/>
                <w:sz w:val="20"/>
              </w:rPr>
            </w:pPr>
            <w:r w:rsidRPr="001D040C">
              <w:rPr>
                <w:b w:val="0"/>
                <w:sz w:val="20"/>
              </w:rPr>
              <w:t>Górski</w:t>
            </w:r>
          </w:p>
        </w:tc>
        <w:tc>
          <w:tcPr>
            <w:tcW w:w="1127" w:type="dxa"/>
            <w:vAlign w:val="center"/>
            <w:hideMark/>
          </w:tcPr>
          <w:p w14:paraId="63FA0FC2" w14:textId="77777777" w:rsidR="0005532E" w:rsidRPr="0005532E" w:rsidRDefault="0005532E"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05532E">
              <w:rPr>
                <w:sz w:val="20"/>
              </w:rPr>
              <w:t>6</w:t>
            </w:r>
          </w:p>
        </w:tc>
        <w:tc>
          <w:tcPr>
            <w:tcW w:w="2694" w:type="dxa"/>
            <w:vAlign w:val="center"/>
            <w:hideMark/>
          </w:tcPr>
          <w:p w14:paraId="0B3B628B" w14:textId="6EB335FD" w:rsidR="0005532E" w:rsidRPr="0005532E" w:rsidRDefault="00FB1609"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1,53</w:t>
            </w:r>
          </w:p>
        </w:tc>
      </w:tr>
    </w:tbl>
    <w:p w14:paraId="3513F9C5" w14:textId="77777777" w:rsidR="0005532E" w:rsidRPr="0005532E" w:rsidRDefault="0005532E" w:rsidP="0005532E">
      <w:pPr>
        <w:jc w:val="both"/>
        <w:rPr>
          <w:noProof/>
          <w:szCs w:val="24"/>
        </w:rPr>
      </w:pPr>
    </w:p>
    <w:p w14:paraId="34C53199" w14:textId="2DA50A48" w:rsidR="0088054F" w:rsidRDefault="0088054F" w:rsidP="0088054F">
      <w:pPr>
        <w:spacing w:before="120" w:after="0" w:line="288" w:lineRule="auto"/>
        <w:jc w:val="both"/>
        <w:rPr>
          <w:rFonts w:eastAsia="Calibri"/>
          <w:szCs w:val="24"/>
        </w:rPr>
      </w:pPr>
      <w:r w:rsidRPr="0088054F">
        <w:rPr>
          <w:rFonts w:eastAsia="Calibri"/>
          <w:szCs w:val="24"/>
        </w:rPr>
        <w:t xml:space="preserve">W przypadku projektów realizowanych w trybie konkursowym – kierując się zarówno kryterium ilościowym (liczba projektów), jak i wartościowym </w:t>
      </w:r>
      <w:r w:rsidR="002D6745">
        <w:rPr>
          <w:rFonts w:eastAsia="Calibri"/>
          <w:szCs w:val="24"/>
        </w:rPr>
        <w:t xml:space="preserve">– </w:t>
      </w:r>
      <w:r w:rsidRPr="0088054F">
        <w:rPr>
          <w:rFonts w:eastAsia="Calibri"/>
          <w:szCs w:val="24"/>
        </w:rPr>
        <w:t>można stwierdzić dominację dwóch subregio</w:t>
      </w:r>
      <w:r w:rsidR="00430BE3">
        <w:rPr>
          <w:rFonts w:eastAsia="Calibri"/>
          <w:szCs w:val="24"/>
        </w:rPr>
        <w:t>nów: centralnego i południowego.</w:t>
      </w:r>
      <w:r w:rsidRPr="0088054F">
        <w:rPr>
          <w:rFonts w:eastAsia="Calibri"/>
          <w:szCs w:val="24"/>
        </w:rPr>
        <w:t xml:space="preserve"> Największa liczba projektów zrealizowanych została w największych miastach regionu. Wskazuje to, że wydarzenia kulturalne i promocja są istotne w obszarach</w:t>
      </w:r>
      <w:r w:rsidR="002D6745">
        <w:rPr>
          <w:rFonts w:eastAsia="Calibri"/>
          <w:szCs w:val="24"/>
        </w:rPr>
        <w:t>,</w:t>
      </w:r>
      <w:r w:rsidRPr="0088054F">
        <w:rPr>
          <w:rFonts w:eastAsia="Calibri"/>
          <w:szCs w:val="24"/>
        </w:rPr>
        <w:t xml:space="preserve"> gdzie jest duży popyt na usługi kulturalne oraz zlokalizowane jest dużo atrakcyjnych kulturalnie obiektów</w:t>
      </w:r>
      <w:r w:rsidR="00474B60">
        <w:rPr>
          <w:rFonts w:eastAsia="Calibri"/>
          <w:szCs w:val="24"/>
        </w:rPr>
        <w:t>.</w:t>
      </w:r>
      <w:r w:rsidRPr="0088054F">
        <w:rPr>
          <w:rFonts w:eastAsia="Calibri"/>
          <w:szCs w:val="24"/>
        </w:rPr>
        <w:t xml:space="preserve"> </w:t>
      </w:r>
      <w:r w:rsidR="001D3D24">
        <w:rPr>
          <w:rFonts w:eastAsia="Calibri"/>
          <w:szCs w:val="24"/>
        </w:rPr>
        <w:t>Najbardziej aktywnymi beneficjentami byli beneficjenci z terenu powiatu będzińskiego, tarnogórskiego oraz z terenu Częstochowy.</w:t>
      </w:r>
    </w:p>
    <w:p w14:paraId="1B3D6050" w14:textId="77777777" w:rsidR="00DD2AE5" w:rsidRDefault="00DD2AE5" w:rsidP="0088054F">
      <w:pPr>
        <w:spacing w:before="120" w:after="0" w:line="288" w:lineRule="auto"/>
        <w:jc w:val="both"/>
        <w:rPr>
          <w:rFonts w:eastAsia="Calibri"/>
          <w:szCs w:val="24"/>
        </w:rPr>
      </w:pPr>
    </w:p>
    <w:p w14:paraId="068E46C3" w14:textId="77777777" w:rsidR="00DD2AE5" w:rsidRDefault="00DD2AE5" w:rsidP="00DD2AE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7F65FC55" w14:textId="77777777" w:rsidR="00DD2AE5" w:rsidRPr="0088054F" w:rsidRDefault="00DD2AE5" w:rsidP="0088054F">
      <w:pPr>
        <w:spacing w:before="120" w:after="0" w:line="288" w:lineRule="auto"/>
        <w:jc w:val="both"/>
        <w:rPr>
          <w:rFonts w:eastAsia="Calibri"/>
          <w:szCs w:val="24"/>
        </w:rPr>
      </w:pPr>
    </w:p>
    <w:p w14:paraId="4A3A2C60" w14:textId="77777777" w:rsidR="0088054F" w:rsidRDefault="0088054F" w:rsidP="0005532E">
      <w:pPr>
        <w:jc w:val="both"/>
        <w:rPr>
          <w:noProof/>
          <w:szCs w:val="24"/>
        </w:rPr>
      </w:pPr>
    </w:p>
    <w:p w14:paraId="5A6D9F64" w14:textId="685BEEEA" w:rsidR="00FB1609" w:rsidRDefault="00FB1609" w:rsidP="0005532E">
      <w:pPr>
        <w:jc w:val="both"/>
        <w:rPr>
          <w:noProof/>
          <w:szCs w:val="24"/>
        </w:rPr>
      </w:pPr>
      <w:r w:rsidRPr="00FB1609">
        <w:rPr>
          <w:noProof/>
          <w:szCs w:val="24"/>
        </w:rPr>
        <w:lastRenderedPageBreak/>
        <w:drawing>
          <wp:inline distT="0" distB="0" distL="0" distR="0" wp14:anchorId="454E4FF5" wp14:editId="164F09DB">
            <wp:extent cx="5759407" cy="7591245"/>
            <wp:effectExtent l="0" t="0" r="0" b="0"/>
            <wp:docPr id="22" name="Obraz 22" descr="W:\RRF\!Zespół ds monitoringu\Perspektywa 2007-2013\Sprawozdanie końcowe\Piotr\mapki\P4\P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RRF\!Zespół ds monitoringu\Perspektywa 2007-2013\Sprawozdanie końcowe\Piotr\mapki\P4\P4.jpe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1818" cy="7594423"/>
                    </a:xfrm>
                    <a:prstGeom prst="rect">
                      <a:avLst/>
                    </a:prstGeom>
                    <a:noFill/>
                    <a:ln>
                      <a:noFill/>
                    </a:ln>
                  </pic:spPr>
                </pic:pic>
              </a:graphicData>
            </a:graphic>
          </wp:inline>
        </w:drawing>
      </w:r>
    </w:p>
    <w:p w14:paraId="3A889C51" w14:textId="288FF767" w:rsidR="00FB1609" w:rsidRPr="000E197A" w:rsidRDefault="004D7598" w:rsidP="004D7598">
      <w:pPr>
        <w:pStyle w:val="Legenda"/>
        <w:rPr>
          <w:noProof/>
          <w:color w:val="auto"/>
          <w:sz w:val="20"/>
          <w:szCs w:val="20"/>
        </w:rPr>
      </w:pPr>
      <w:bookmarkStart w:id="381" w:name="_Toc476832958"/>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40</w:t>
      </w:r>
      <w:r w:rsidR="00A44293" w:rsidRPr="00A44293">
        <w:rPr>
          <w:noProof/>
          <w:color w:val="auto"/>
        </w:rPr>
        <w:fldChar w:fldCharType="end"/>
      </w:r>
      <w:r>
        <w:t xml:space="preserve"> </w:t>
      </w:r>
      <w:r w:rsidR="000E197A" w:rsidRPr="000E197A">
        <w:rPr>
          <w:b w:val="0"/>
          <w:i/>
          <w:color w:val="auto"/>
          <w:sz w:val="20"/>
          <w:szCs w:val="20"/>
        </w:rPr>
        <w:t>Rozkład projektów</w:t>
      </w:r>
      <w:r w:rsidR="009E3592" w:rsidRPr="009E3592">
        <w:rPr>
          <w:b w:val="0"/>
          <w:i/>
          <w:color w:val="auto"/>
          <w:sz w:val="20"/>
          <w:szCs w:val="20"/>
        </w:rPr>
        <w:t xml:space="preserve"> </w:t>
      </w:r>
      <w:r w:rsidR="009E3592">
        <w:rPr>
          <w:b w:val="0"/>
          <w:i/>
          <w:color w:val="auto"/>
          <w:sz w:val="20"/>
          <w:szCs w:val="20"/>
        </w:rPr>
        <w:t>w ramach priorytetu IV</w:t>
      </w:r>
      <w:r w:rsidR="000E197A" w:rsidRPr="000E197A">
        <w:rPr>
          <w:b w:val="0"/>
          <w:i/>
          <w:color w:val="auto"/>
          <w:sz w:val="20"/>
          <w:szCs w:val="20"/>
        </w:rPr>
        <w:t xml:space="preserve"> w podziale na powiaty</w:t>
      </w:r>
      <w:bookmarkEnd w:id="381"/>
    </w:p>
    <w:p w14:paraId="62B5D323" w14:textId="25E192DD" w:rsidR="0005532E" w:rsidRPr="00126975" w:rsidRDefault="0005532E" w:rsidP="00126975">
      <w:pPr>
        <w:pStyle w:val="Akapitzlist"/>
        <w:numPr>
          <w:ilvl w:val="0"/>
          <w:numId w:val="99"/>
        </w:numPr>
        <w:spacing w:after="120"/>
        <w:jc w:val="both"/>
        <w:rPr>
          <w:szCs w:val="24"/>
        </w:rPr>
      </w:pPr>
      <w:r w:rsidRPr="00126975">
        <w:rPr>
          <w:b/>
          <w:szCs w:val="24"/>
          <w:lang w:eastAsia="ar-SA"/>
        </w:rPr>
        <w:t>Projekty w podziale na obszary wsparcia</w:t>
      </w:r>
    </w:p>
    <w:p w14:paraId="33CE3C4D" w14:textId="5AEA59A3" w:rsidR="00575298" w:rsidRPr="00F416F3" w:rsidRDefault="0005532E" w:rsidP="00575298">
      <w:pPr>
        <w:spacing w:after="120"/>
        <w:jc w:val="both"/>
        <w:rPr>
          <w:szCs w:val="24"/>
        </w:rPr>
      </w:pPr>
      <w:r w:rsidRPr="00580CE6">
        <w:rPr>
          <w:szCs w:val="24"/>
          <w:lang w:eastAsia="ar-SA"/>
        </w:rPr>
        <w:t xml:space="preserve">W priorytecie IV wszystkie projekty realizowane </w:t>
      </w:r>
      <w:r w:rsidR="00126975">
        <w:rPr>
          <w:szCs w:val="24"/>
          <w:lang w:eastAsia="ar-SA"/>
        </w:rPr>
        <w:t>były</w:t>
      </w:r>
      <w:r w:rsidRPr="00580CE6">
        <w:rPr>
          <w:szCs w:val="24"/>
          <w:lang w:eastAsia="ar-SA"/>
        </w:rPr>
        <w:t xml:space="preserve"> w ramach obszaru wsparcia kultura. </w:t>
      </w:r>
      <w:r w:rsidRPr="00580CE6">
        <w:rPr>
          <w:szCs w:val="24"/>
        </w:rPr>
        <w:t xml:space="preserve">Działania podejmowane w ramach priorytetu </w:t>
      </w:r>
      <w:r w:rsidR="00126975">
        <w:rPr>
          <w:szCs w:val="24"/>
        </w:rPr>
        <w:t>były</w:t>
      </w:r>
      <w:r w:rsidRPr="00580CE6">
        <w:rPr>
          <w:szCs w:val="24"/>
        </w:rPr>
        <w:t xml:space="preserve"> powiązane z działaniami realizowanymi w ramach </w:t>
      </w:r>
      <w:r w:rsidRPr="00580CE6">
        <w:rPr>
          <w:i/>
          <w:szCs w:val="24"/>
        </w:rPr>
        <w:t>Programu Infrastruktura i Środowisko oraz Programu Rozwoju Obszarów Wiejskich</w:t>
      </w:r>
      <w:r w:rsidRPr="00580CE6">
        <w:rPr>
          <w:szCs w:val="24"/>
        </w:rPr>
        <w:t xml:space="preserve"> </w:t>
      </w:r>
      <w:r w:rsidRPr="00580CE6">
        <w:rPr>
          <w:szCs w:val="24"/>
        </w:rPr>
        <w:lastRenderedPageBreak/>
        <w:t>(komplementarność międzyprogramowa).</w:t>
      </w:r>
      <w:r w:rsidR="00575298" w:rsidRPr="00575298">
        <w:t xml:space="preserve"> </w:t>
      </w:r>
      <w:r w:rsidR="00575298" w:rsidRPr="0059662B">
        <w:t>Szczegółowe inf</w:t>
      </w:r>
      <w:r w:rsidR="00575298">
        <w:t>ormacje zostały przedstawione w </w:t>
      </w:r>
      <w:r w:rsidR="00575298" w:rsidRPr="0059662B">
        <w:t>pkt</w:t>
      </w:r>
      <w:r w:rsidR="00575298" w:rsidRPr="000A2518">
        <w:t xml:space="preserve">. 2.1.6.2 niniejszego </w:t>
      </w:r>
      <w:r w:rsidR="00575298" w:rsidRPr="000A2518">
        <w:rPr>
          <w:i/>
        </w:rPr>
        <w:t>Sprawozdania.</w:t>
      </w:r>
    </w:p>
    <w:p w14:paraId="1064CED6" w14:textId="6FA955E3" w:rsidR="00580CE6" w:rsidRDefault="00DF7ADF" w:rsidP="0094320D">
      <w:pPr>
        <w:spacing w:after="120"/>
        <w:jc w:val="both"/>
        <w:rPr>
          <w:b/>
          <w:szCs w:val="24"/>
        </w:rPr>
      </w:pPr>
      <w:r>
        <w:rPr>
          <w:b/>
          <w:szCs w:val="24"/>
        </w:rPr>
        <w:t>Analiza postępu rzeczowego</w:t>
      </w:r>
    </w:p>
    <w:p w14:paraId="5763AEB0" w14:textId="5116C2E7" w:rsidR="00D636D3" w:rsidRDefault="00D636D3" w:rsidP="00D636D3">
      <w:pPr>
        <w:jc w:val="both"/>
        <w:rPr>
          <w:szCs w:val="24"/>
        </w:rPr>
      </w:pPr>
      <w:r w:rsidRPr="00580CE6">
        <w:rPr>
          <w:szCs w:val="24"/>
        </w:rPr>
        <w:t xml:space="preserve">W załączniku IV do niniejszego </w:t>
      </w:r>
      <w:r w:rsidRPr="00580CE6">
        <w:rPr>
          <w:i/>
          <w:szCs w:val="24"/>
        </w:rPr>
        <w:t>Sprawozdania</w:t>
      </w:r>
      <w:r w:rsidRPr="00580CE6">
        <w:rPr>
          <w:szCs w:val="24"/>
        </w:rPr>
        <w:t xml:space="preserve"> zostały przedstawione programowe wska</w:t>
      </w:r>
      <w:r>
        <w:rPr>
          <w:szCs w:val="24"/>
        </w:rPr>
        <w:t>źniki produktu i rezultatu dla p</w:t>
      </w:r>
      <w:r w:rsidRPr="00580CE6">
        <w:rPr>
          <w:szCs w:val="24"/>
        </w:rPr>
        <w:t>riorytetu IV, dla kolejnych lat w ujęciu kumulatywnym. Przedstawione informacje prezentowane są według stanu na koniec 2014 roku</w:t>
      </w:r>
      <w:r>
        <w:rPr>
          <w:szCs w:val="24"/>
        </w:rPr>
        <w:t xml:space="preserve"> i zostały</w:t>
      </w:r>
      <w:r w:rsidRPr="00580CE6">
        <w:rPr>
          <w:szCs w:val="24"/>
        </w:rPr>
        <w:t xml:space="preserve"> oparte na danych dotyczących operacji zakończonych. Określone zostały wartości docelowe dla 2010, 2013 i 2015 roku</w:t>
      </w:r>
      <w:r>
        <w:rPr>
          <w:szCs w:val="24"/>
        </w:rPr>
        <w:t xml:space="preserve">. </w:t>
      </w:r>
      <w:r w:rsidRPr="00580CE6">
        <w:rPr>
          <w:szCs w:val="24"/>
        </w:rPr>
        <w:t xml:space="preserve">Przedstawiono </w:t>
      </w:r>
      <w:r>
        <w:rPr>
          <w:szCs w:val="24"/>
        </w:rPr>
        <w:t>także wskaźniki przedmiotowego p</w:t>
      </w:r>
      <w:r w:rsidRPr="00580CE6">
        <w:rPr>
          <w:szCs w:val="24"/>
        </w:rPr>
        <w:t>riorytetu w podziale na działania i poddziałania.</w:t>
      </w:r>
    </w:p>
    <w:p w14:paraId="41E52F77" w14:textId="14968EB5" w:rsidR="00D636D3" w:rsidRPr="004851C4" w:rsidRDefault="00D636D3" w:rsidP="00D636D3">
      <w:pPr>
        <w:jc w:val="both"/>
      </w:pPr>
      <w:r>
        <w:t xml:space="preserve">Wskaźnik rezultatu </w:t>
      </w:r>
      <w:r>
        <w:rPr>
          <w:i/>
        </w:rPr>
        <w:t xml:space="preserve">Liczba osób korzystających z infrastruktury kultury objętej wsparciem w ramach programu </w:t>
      </w:r>
      <w:r>
        <w:t>był wskaźnikiem trudnym do oszacowania. Przekroczona o 60% wartość docelowa wynika z niewystarczającego oszacowania potencjału infrastruktury kultury w województwie śląskim. Ponadto</w:t>
      </w:r>
      <w:r w:rsidR="002D6745">
        <w:t>,</w:t>
      </w:r>
      <w:r>
        <w:t xml:space="preserve"> w związku z dużym zainteresowaniem wnioskodawców w zakresie tworzenia nowych ofert programowych w zakresie kultury, wartość docelowa osiągnęła poziom znacznie wyższy niż początkowo planowano.</w:t>
      </w:r>
    </w:p>
    <w:p w14:paraId="070484FF" w14:textId="06CDF2C3" w:rsidR="00D636D3" w:rsidRPr="00C4012E" w:rsidRDefault="00D636D3" w:rsidP="00D636D3">
      <w:pPr>
        <w:jc w:val="both"/>
      </w:pPr>
      <w:r>
        <w:t>W ramach przedmiotowego p</w:t>
      </w:r>
      <w:r w:rsidRPr="00580CE6">
        <w:t>riorytetu, wskaźnik zatrudnienia zosta</w:t>
      </w:r>
      <w:r>
        <w:t>ł</w:t>
      </w:r>
      <w:r w:rsidRPr="00580CE6">
        <w:t xml:space="preserve"> przekroczony.</w:t>
      </w:r>
      <w:r>
        <w:t xml:space="preserve"> Pokazuje to jak silna była potrzeba tworzenia nowych miejsc pracy powiązanych z nowymi ofertami programowymi.</w:t>
      </w:r>
      <w:r w:rsidRPr="00580CE6">
        <w:t xml:space="preserve"> </w:t>
      </w:r>
      <w:r w:rsidRPr="00C4012E">
        <w:rPr>
          <w:iCs/>
        </w:rPr>
        <w:t xml:space="preserve">Realizacja wskaźnika </w:t>
      </w:r>
      <w:r w:rsidRPr="00C4012E">
        <w:rPr>
          <w:i/>
          <w:iCs/>
        </w:rPr>
        <w:t>Liczba bezpośrednio</w:t>
      </w:r>
      <w:r w:rsidRPr="00C4012E">
        <w:rPr>
          <w:iCs/>
        </w:rPr>
        <w:t xml:space="preserve"> </w:t>
      </w:r>
      <w:r w:rsidRPr="00C4012E">
        <w:rPr>
          <w:i/>
          <w:iCs/>
        </w:rPr>
        <w:t xml:space="preserve">utworzonych nowych miejsca pracy (EPC) </w:t>
      </w:r>
      <w:r w:rsidRPr="00C4012E">
        <w:rPr>
          <w:iCs/>
        </w:rPr>
        <w:t xml:space="preserve">w podziale na kobiety i mężczyzn w omawianym priorytecie wskazuje na większą liczbę utworzonych miejsc prac dla </w:t>
      </w:r>
      <w:r>
        <w:rPr>
          <w:iCs/>
        </w:rPr>
        <w:t>mężczyzn</w:t>
      </w:r>
      <w:r w:rsidRPr="00C4012E">
        <w:rPr>
          <w:iCs/>
        </w:rPr>
        <w:t xml:space="preserve"> (</w:t>
      </w:r>
      <w:r>
        <w:rPr>
          <w:iCs/>
        </w:rPr>
        <w:t>41,05</w:t>
      </w:r>
      <w:r w:rsidRPr="003E7C93">
        <w:rPr>
          <w:iCs/>
        </w:rPr>
        <w:t xml:space="preserve"> dla mężczyzn, a dla kobiet </w:t>
      </w:r>
      <w:r>
        <w:rPr>
          <w:iCs/>
        </w:rPr>
        <w:t>39,55</w:t>
      </w:r>
      <w:r w:rsidRPr="00C4012E">
        <w:rPr>
          <w:iCs/>
        </w:rPr>
        <w:t xml:space="preserve"> nowych etatów). </w:t>
      </w:r>
      <w:r w:rsidRPr="00C4012E">
        <w:t>Równość szans kobiet i mężczyzn jest ważnym elementem s</w:t>
      </w:r>
      <w:r>
        <w:t xml:space="preserve">zerszej kwestii równości szans, </w:t>
      </w:r>
      <w:r w:rsidRPr="00C4012E">
        <w:t xml:space="preserve">której przestrzeganie stanowi jedną z podstawowych zasad RPO WSL. Przy programowaniu zostały założone podwskaźniki: miejsca pracy w podziale na płeć na równym poziomie, beneficjenci składając wnioski o dofinansowanie nie deklarują, kogo zatrudnią, gdyż zostałaby zaburzona omawiana zasada, gdyż każdy ma mieć równy dostęp do zatrudnienia niezależnie od płci. Analizując omawiany wskaźnik w podziale na priorytety można zaobserwować, że w jednych zatrudnionych zostało więcej kobiet w innych mężczyzn. </w:t>
      </w:r>
      <w:r w:rsidRPr="00C4012E">
        <w:rPr>
          <w:iCs/>
        </w:rPr>
        <w:t>IZ RPO WSL przyjęła odpowiednie kryteria wyboru projektów do dofinansowania dot. polityk horyzontalnych (ok</w:t>
      </w:r>
      <w:r w:rsidRPr="00C4012E">
        <w:t>reślenie stopnia realizacji polityki równych szans, polityki ochrony środowiska, wpływ projektu na utworzenie nowych miejsc pracy). Projekt mający pozytywny wpływ na realizacje poszczególnych polityk horyzontalny</w:t>
      </w:r>
      <w:r w:rsidR="00B8015D">
        <w:t>ch otrzymuje dodatkowe punkty w </w:t>
      </w:r>
      <w:r w:rsidRPr="00C4012E">
        <w:t xml:space="preserve">trakcie przeprowadzanej oceny merytoryczno-technicznej, co w konsekwencji zwiększa jego szansę na otrzymanie dofinansowania. </w:t>
      </w:r>
    </w:p>
    <w:p w14:paraId="536EDFAF" w14:textId="03CE3816" w:rsidR="00D636D3" w:rsidRPr="00271A6D" w:rsidRDefault="00D636D3" w:rsidP="00D636D3">
      <w:pPr>
        <w:jc w:val="both"/>
      </w:pPr>
      <w:r>
        <w:t>Poniżej na wykresie zaprezentowano podział wskaźników ze względu na procent realizacji wartości docelowej.</w:t>
      </w:r>
    </w:p>
    <w:p w14:paraId="5F882D7D" w14:textId="77777777" w:rsidR="00D636D3" w:rsidRDefault="00D636D3" w:rsidP="00D636D3">
      <w:pPr>
        <w:jc w:val="center"/>
      </w:pPr>
      <w:r>
        <w:rPr>
          <w:noProof/>
        </w:rPr>
        <w:lastRenderedPageBreak/>
        <w:drawing>
          <wp:inline distT="0" distB="0" distL="0" distR="0" wp14:anchorId="7FE30C64" wp14:editId="6B7DB06F">
            <wp:extent cx="5663565" cy="3171825"/>
            <wp:effectExtent l="0" t="0" r="0" b="0"/>
            <wp:docPr id="132" name="Wykres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0AA374A" w14:textId="4F2758C5" w:rsidR="00D636D3" w:rsidRPr="00D636D3" w:rsidRDefault="004D7598" w:rsidP="004D7598">
      <w:pPr>
        <w:pStyle w:val="Legenda"/>
        <w:rPr>
          <w:color w:val="auto"/>
          <w:sz w:val="20"/>
          <w:szCs w:val="20"/>
        </w:rPr>
      </w:pPr>
      <w:bookmarkStart w:id="382" w:name="_Toc476832959"/>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41</w:t>
      </w:r>
      <w:r w:rsidR="00A44293" w:rsidRPr="00A44293">
        <w:rPr>
          <w:noProof/>
          <w:color w:val="auto"/>
        </w:rPr>
        <w:fldChar w:fldCharType="end"/>
      </w:r>
      <w:r>
        <w:t xml:space="preserve"> </w:t>
      </w:r>
      <w:r w:rsidR="009E3592">
        <w:rPr>
          <w:b w:val="0"/>
          <w:i/>
          <w:color w:val="auto"/>
          <w:sz w:val="20"/>
          <w:szCs w:val="20"/>
        </w:rPr>
        <w:t>Osiągnięty poziom wartości docelowej wskaźników w ramach priorytetu IV</w:t>
      </w:r>
      <w:bookmarkEnd w:id="382"/>
    </w:p>
    <w:p w14:paraId="2E2F6641" w14:textId="27FE8BB9" w:rsidR="00D636D3" w:rsidRDefault="00D636D3" w:rsidP="00D636D3">
      <w:pPr>
        <w:jc w:val="both"/>
      </w:pPr>
      <w:r>
        <w:t xml:space="preserve">Słaby stan techniczny obiektów kultury, został zdefiniowany w analizie SWOT, jako obszar wymagający szczególnego wsparcia. Dzięki kosztowi jednostkowemu wskaźnika, </w:t>
      </w:r>
      <w:r w:rsidR="002D6745">
        <w:t>który</w:t>
      </w:r>
      <w:r>
        <w:t xml:space="preserve"> okazał się być w rzeczywistości</w:t>
      </w:r>
      <w:r w:rsidR="002D6745">
        <w:t xml:space="preserve"> znacznie niższy niż zakładano</w:t>
      </w:r>
      <w:r>
        <w:t>, wskaźnik osiągnął tak wysoki poziom.</w:t>
      </w:r>
    </w:p>
    <w:p w14:paraId="2CB747B6" w14:textId="10FDB3E5" w:rsidR="00D636D3" w:rsidRDefault="00D636D3" w:rsidP="00D636D3">
      <w:pPr>
        <w:jc w:val="both"/>
      </w:pPr>
      <w:r w:rsidRPr="00580CE6">
        <w:t>Korelację pomiędzy wskaźnikami w ramach</w:t>
      </w:r>
      <w:r w:rsidR="009E3592">
        <w:t xml:space="preserve"> priorytetu IV</w:t>
      </w:r>
      <w:r w:rsidRPr="00580CE6">
        <w:t xml:space="preserve"> a Strategią UE 2020 przedstawia poniższa tabela</w:t>
      </w:r>
      <w:r>
        <w:t>.</w:t>
      </w:r>
    </w:p>
    <w:p w14:paraId="6E8D6854" w14:textId="1B0A3178" w:rsidR="001D3D24" w:rsidRPr="001D3D24" w:rsidRDefault="001D3D24" w:rsidP="001D3D24">
      <w:pPr>
        <w:pStyle w:val="Legenda"/>
        <w:rPr>
          <w:b w:val="0"/>
          <w:i/>
          <w:color w:val="auto"/>
          <w:sz w:val="20"/>
          <w:szCs w:val="20"/>
        </w:rPr>
      </w:pPr>
      <w:bookmarkStart w:id="383" w:name="_Toc476131807"/>
      <w:r w:rsidRPr="001D3D24">
        <w:rPr>
          <w:color w:val="auto"/>
          <w:sz w:val="20"/>
          <w:szCs w:val="20"/>
        </w:rPr>
        <w:t xml:space="preserve">Tabela </w:t>
      </w:r>
      <w:r w:rsidRPr="001D3D24">
        <w:rPr>
          <w:color w:val="auto"/>
          <w:sz w:val="20"/>
          <w:szCs w:val="20"/>
        </w:rPr>
        <w:fldChar w:fldCharType="begin"/>
      </w:r>
      <w:r w:rsidRPr="001D3D24">
        <w:rPr>
          <w:color w:val="auto"/>
          <w:sz w:val="20"/>
          <w:szCs w:val="20"/>
        </w:rPr>
        <w:instrText xml:space="preserve"> SEQ Tabela \* ARABIC </w:instrText>
      </w:r>
      <w:r w:rsidRPr="001D3D24">
        <w:rPr>
          <w:color w:val="auto"/>
          <w:sz w:val="20"/>
          <w:szCs w:val="20"/>
        </w:rPr>
        <w:fldChar w:fldCharType="separate"/>
      </w:r>
      <w:r w:rsidR="0050297D">
        <w:rPr>
          <w:noProof/>
          <w:color w:val="auto"/>
          <w:sz w:val="20"/>
          <w:szCs w:val="20"/>
        </w:rPr>
        <w:t>24</w:t>
      </w:r>
      <w:r w:rsidRPr="001D3D24">
        <w:rPr>
          <w:color w:val="auto"/>
          <w:sz w:val="20"/>
          <w:szCs w:val="20"/>
        </w:rPr>
        <w:fldChar w:fldCharType="end"/>
      </w:r>
      <w:r w:rsidRPr="001D3D24">
        <w:rPr>
          <w:b w:val="0"/>
          <w:i/>
          <w:color w:val="auto"/>
          <w:sz w:val="20"/>
          <w:szCs w:val="20"/>
        </w:rPr>
        <w:t xml:space="preserve"> Korelację pomiędzy wskaźnikami w ramach priorytetu IV a Strategią UE 2020</w:t>
      </w:r>
      <w:bookmarkEnd w:id="383"/>
    </w:p>
    <w:tbl>
      <w:tblPr>
        <w:tblStyle w:val="Tabelalisty3akcent6"/>
        <w:tblW w:w="0" w:type="auto"/>
        <w:tblLook w:val="04A0" w:firstRow="1" w:lastRow="0" w:firstColumn="1" w:lastColumn="0" w:noHBand="0" w:noVBand="1"/>
      </w:tblPr>
      <w:tblGrid>
        <w:gridCol w:w="4530"/>
        <w:gridCol w:w="4530"/>
      </w:tblGrid>
      <w:tr w:rsidR="001D3D24" w14:paraId="3849B9A2" w14:textId="77777777" w:rsidTr="001269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0" w:type="dxa"/>
            <w:vAlign w:val="center"/>
          </w:tcPr>
          <w:p w14:paraId="4EF5D20A" w14:textId="56ECEC46" w:rsidR="001D3D24" w:rsidRPr="001D3D24" w:rsidRDefault="00126975" w:rsidP="00126975">
            <w:pPr>
              <w:jc w:val="center"/>
              <w:rPr>
                <w:color w:val="auto"/>
                <w:sz w:val="20"/>
                <w:szCs w:val="20"/>
              </w:rPr>
            </w:pPr>
            <w:r w:rsidRPr="001D3D24">
              <w:rPr>
                <w:color w:val="auto"/>
                <w:sz w:val="20"/>
                <w:szCs w:val="20"/>
              </w:rPr>
              <w:t>INICJATYWY FLAGOWE</w:t>
            </w:r>
          </w:p>
        </w:tc>
        <w:tc>
          <w:tcPr>
            <w:tcW w:w="4530" w:type="dxa"/>
            <w:vAlign w:val="center"/>
          </w:tcPr>
          <w:p w14:paraId="47879AC8" w14:textId="2BDC0047" w:rsidR="001D3D24" w:rsidRPr="001D3D24" w:rsidRDefault="00126975" w:rsidP="0012697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1D3D24">
              <w:rPr>
                <w:color w:val="auto"/>
                <w:sz w:val="20"/>
                <w:szCs w:val="20"/>
              </w:rPr>
              <w:t>WSKAŹNIKI</w:t>
            </w:r>
          </w:p>
        </w:tc>
      </w:tr>
      <w:tr w:rsidR="001D3D24" w14:paraId="715A3D24" w14:textId="77777777" w:rsidTr="00126975">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1B94DCAF" w14:textId="30DA5B71" w:rsidR="001D3D24" w:rsidRPr="00126975" w:rsidRDefault="001D3D24" w:rsidP="00126975">
            <w:pPr>
              <w:spacing w:after="0" w:line="240" w:lineRule="auto"/>
              <w:contextualSpacing/>
              <w:rPr>
                <w:b w:val="0"/>
                <w:sz w:val="20"/>
                <w:szCs w:val="20"/>
              </w:rPr>
            </w:pPr>
            <w:r w:rsidRPr="00126975">
              <w:rPr>
                <w:rFonts w:eastAsia="+mn-ea"/>
                <w:b w:val="0"/>
                <w:sz w:val="20"/>
                <w:szCs w:val="20"/>
              </w:rPr>
              <w:t>Europejska Agenda Cyfrowa</w:t>
            </w:r>
          </w:p>
        </w:tc>
        <w:tc>
          <w:tcPr>
            <w:tcW w:w="4530" w:type="dxa"/>
            <w:vAlign w:val="center"/>
          </w:tcPr>
          <w:p w14:paraId="38E2D6E1" w14:textId="1F9EF99A" w:rsidR="001D3D24" w:rsidRPr="00126975" w:rsidRDefault="001D3D24" w:rsidP="00126975">
            <w:p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rPr>
            </w:pPr>
            <w:r w:rsidRPr="00126975">
              <w:rPr>
                <w:rFonts w:eastAsia="+mn-ea"/>
                <w:i/>
                <w:iCs/>
                <w:sz w:val="20"/>
                <w:szCs w:val="20"/>
              </w:rPr>
              <w:t>Liczba projektów dot. infrastruktury społeczeństwa informacyjnego</w:t>
            </w:r>
          </w:p>
        </w:tc>
      </w:tr>
    </w:tbl>
    <w:p w14:paraId="4807CE6D" w14:textId="7770C2BC" w:rsidR="00D636D3" w:rsidRPr="00580CE6" w:rsidRDefault="00D636D3" w:rsidP="00D636D3">
      <w:pPr>
        <w:jc w:val="both"/>
      </w:pPr>
    </w:p>
    <w:p w14:paraId="4BDE72AB" w14:textId="77777777" w:rsidR="00126975" w:rsidRDefault="00D636D3" w:rsidP="00126975">
      <w:pPr>
        <w:spacing w:after="0"/>
        <w:jc w:val="both"/>
      </w:pPr>
      <w:r w:rsidRPr="00580CE6">
        <w:rPr>
          <w:rFonts w:cs="Perpetua"/>
          <w:szCs w:val="24"/>
        </w:rPr>
        <w:t>W ramach priorytetu IV re</w:t>
      </w:r>
      <w:r w:rsidR="00126975">
        <w:rPr>
          <w:rFonts w:cs="Perpetua"/>
          <w:szCs w:val="24"/>
        </w:rPr>
        <w:t>alizowane są dwa wskaźniki KE (core i</w:t>
      </w:r>
      <w:r w:rsidRPr="00580CE6">
        <w:rPr>
          <w:rFonts w:cs="Perpetua"/>
          <w:szCs w:val="24"/>
        </w:rPr>
        <w:t>ndicators):</w:t>
      </w:r>
      <w:r w:rsidRPr="00580CE6">
        <w:t xml:space="preserve"> </w:t>
      </w:r>
    </w:p>
    <w:p w14:paraId="0A548AA0" w14:textId="77777777" w:rsidR="00126975" w:rsidRPr="00126975" w:rsidRDefault="00D636D3" w:rsidP="00126975">
      <w:pPr>
        <w:pStyle w:val="Akapitzlist"/>
        <w:numPr>
          <w:ilvl w:val="0"/>
          <w:numId w:val="100"/>
        </w:numPr>
        <w:spacing w:after="0"/>
        <w:jc w:val="both"/>
        <w:rPr>
          <w:i/>
        </w:rPr>
      </w:pPr>
      <w:r w:rsidRPr="00126975">
        <w:rPr>
          <w:i/>
          <w:sz w:val="23"/>
          <w:szCs w:val="23"/>
        </w:rPr>
        <w:t>Liczba projektów z zakresu społeczeństwa informacyjnego</w:t>
      </w:r>
      <w:r w:rsidRPr="00126975">
        <w:rPr>
          <w:i/>
        </w:rPr>
        <w:t xml:space="preserve">, </w:t>
      </w:r>
    </w:p>
    <w:p w14:paraId="6E86FA1F" w14:textId="6856D7D7" w:rsidR="00D636D3" w:rsidRDefault="00D636D3" w:rsidP="00126975">
      <w:pPr>
        <w:pStyle w:val="Akapitzlist"/>
        <w:numPr>
          <w:ilvl w:val="0"/>
          <w:numId w:val="100"/>
        </w:numPr>
        <w:spacing w:after="0"/>
        <w:jc w:val="both"/>
        <w:rPr>
          <w:i/>
        </w:rPr>
      </w:pPr>
      <w:r w:rsidRPr="00126975">
        <w:rPr>
          <w:i/>
        </w:rPr>
        <w:t>Liczba bezpośrednio utworzonych nowych miejsc pracy (EPC) w tym: kobiety, mężczyźni.</w:t>
      </w:r>
    </w:p>
    <w:p w14:paraId="1AC099D0" w14:textId="77777777" w:rsidR="00126975" w:rsidRPr="00126975" w:rsidRDefault="00126975" w:rsidP="00126975">
      <w:pPr>
        <w:pStyle w:val="Akapitzlist"/>
        <w:spacing w:after="0"/>
        <w:jc w:val="both"/>
        <w:rPr>
          <w:i/>
        </w:rPr>
      </w:pPr>
    </w:p>
    <w:p w14:paraId="54FB1329" w14:textId="02D0B840" w:rsidR="00580CE6" w:rsidRPr="0094320D" w:rsidRDefault="000E197A" w:rsidP="0094320D">
      <w:pPr>
        <w:spacing w:after="120"/>
        <w:jc w:val="both"/>
        <w:rPr>
          <w:b/>
          <w:bCs/>
          <w:szCs w:val="24"/>
        </w:rPr>
      </w:pPr>
      <w:r w:rsidRPr="0094320D">
        <w:rPr>
          <w:b/>
          <w:bCs/>
          <w:szCs w:val="24"/>
        </w:rPr>
        <w:t>Realizacja ewentualnych za</w:t>
      </w:r>
      <w:r>
        <w:rPr>
          <w:b/>
          <w:bCs/>
          <w:szCs w:val="24"/>
        </w:rPr>
        <w:t>leceń i rekomendacji KE</w:t>
      </w:r>
      <w:r w:rsidRPr="0094320D">
        <w:rPr>
          <w:b/>
          <w:bCs/>
          <w:szCs w:val="24"/>
        </w:rPr>
        <w:t xml:space="preserve"> </w:t>
      </w:r>
    </w:p>
    <w:p w14:paraId="334828CF" w14:textId="7879B31A" w:rsidR="009C6E3A" w:rsidRPr="00367271" w:rsidRDefault="009C6E3A" w:rsidP="009C6E3A">
      <w:pPr>
        <w:autoSpaceDE w:val="0"/>
        <w:autoSpaceDN w:val="0"/>
        <w:adjustRightInd w:val="0"/>
        <w:spacing w:after="0" w:line="259" w:lineRule="auto"/>
        <w:jc w:val="both"/>
        <w:rPr>
          <w:rFonts w:eastAsia="Calibri"/>
          <w:szCs w:val="24"/>
          <w:lang w:eastAsia="en-US"/>
        </w:rPr>
      </w:pPr>
      <w:r w:rsidRPr="00367271">
        <w:rPr>
          <w:rFonts w:eastAsia="Calibri"/>
          <w:szCs w:val="24"/>
          <w:lang w:eastAsia="en-US"/>
        </w:rPr>
        <w:t>Realizacja przedmiotowego priorytetu przebiega</w:t>
      </w:r>
      <w:r>
        <w:rPr>
          <w:rFonts w:eastAsia="Calibri"/>
          <w:szCs w:val="24"/>
          <w:lang w:eastAsia="en-US"/>
        </w:rPr>
        <w:t>ła</w:t>
      </w:r>
      <w:r w:rsidRPr="00367271">
        <w:rPr>
          <w:rFonts w:eastAsia="Calibri"/>
          <w:szCs w:val="24"/>
          <w:lang w:eastAsia="en-US"/>
        </w:rPr>
        <w:t xml:space="preserve"> prawidłowo. Nie </w:t>
      </w:r>
      <w:r>
        <w:rPr>
          <w:rFonts w:eastAsia="Calibri"/>
          <w:szCs w:val="24"/>
          <w:lang w:eastAsia="en-US"/>
        </w:rPr>
        <w:t>otrzymano</w:t>
      </w:r>
      <w:r w:rsidRPr="00367271">
        <w:rPr>
          <w:rFonts w:eastAsia="Calibri"/>
          <w:szCs w:val="24"/>
          <w:lang w:eastAsia="en-US"/>
        </w:rPr>
        <w:t xml:space="preserve"> rekomendacji, ani zaleceń</w:t>
      </w:r>
      <w:r>
        <w:rPr>
          <w:rFonts w:eastAsia="Calibri"/>
          <w:szCs w:val="24"/>
          <w:lang w:eastAsia="en-US"/>
        </w:rPr>
        <w:t xml:space="preserve"> KE</w:t>
      </w:r>
      <w:r w:rsidRPr="00367271">
        <w:rPr>
          <w:rFonts w:eastAsia="Calibri"/>
          <w:szCs w:val="24"/>
          <w:lang w:eastAsia="en-US"/>
        </w:rPr>
        <w:t>.</w:t>
      </w:r>
    </w:p>
    <w:p w14:paraId="78B85240" w14:textId="77777777" w:rsidR="006601B6" w:rsidRDefault="006601B6" w:rsidP="006601B6">
      <w:pPr>
        <w:spacing w:before="120" w:after="120"/>
        <w:jc w:val="both"/>
        <w:rPr>
          <w:b/>
          <w:lang w:eastAsia="ar-SA"/>
        </w:rPr>
      </w:pPr>
      <w:r w:rsidRPr="00194369">
        <w:rPr>
          <w:b/>
          <w:lang w:eastAsia="ar-SA"/>
        </w:rPr>
        <w:t>Opis wkładu priorytetu w redukcję ubóstwa</w:t>
      </w:r>
    </w:p>
    <w:p w14:paraId="49E1DBC1" w14:textId="17CC6C88" w:rsidR="006601B6" w:rsidRPr="006601B6" w:rsidRDefault="002D6745" w:rsidP="006601B6">
      <w:pPr>
        <w:autoSpaceDE w:val="0"/>
        <w:autoSpaceDN w:val="0"/>
        <w:adjustRightInd w:val="0"/>
        <w:spacing w:before="120" w:after="120"/>
        <w:jc w:val="both"/>
        <w:rPr>
          <w:rFonts w:eastAsia="Calibri"/>
          <w:szCs w:val="24"/>
        </w:rPr>
      </w:pPr>
      <w:r>
        <w:rPr>
          <w:rFonts w:eastAsia="Calibri"/>
          <w:szCs w:val="24"/>
        </w:rPr>
        <w:t>W ramach Osi priorytetowej IV nie realizowano projektów wpływających</w:t>
      </w:r>
      <w:r w:rsidR="006601B6">
        <w:rPr>
          <w:rFonts w:eastAsia="Calibri"/>
          <w:szCs w:val="24"/>
        </w:rPr>
        <w:t xml:space="preserve"> na redukcję ubóstwa.</w:t>
      </w:r>
    </w:p>
    <w:p w14:paraId="4E6DBC22" w14:textId="77777777" w:rsidR="001F484B" w:rsidRDefault="001F484B">
      <w:pPr>
        <w:spacing w:after="0" w:line="240" w:lineRule="auto"/>
        <w:rPr>
          <w:rFonts w:eastAsia="Calibri"/>
          <w:b/>
          <w:szCs w:val="24"/>
        </w:rPr>
      </w:pPr>
      <w:r>
        <w:rPr>
          <w:rFonts w:eastAsia="Calibri"/>
          <w:b/>
          <w:szCs w:val="24"/>
        </w:rPr>
        <w:br w:type="page"/>
      </w:r>
    </w:p>
    <w:p w14:paraId="6B84D7E9" w14:textId="29AF8AD4" w:rsidR="00580CE6" w:rsidRPr="0094320D" w:rsidRDefault="00F416F3" w:rsidP="0094320D">
      <w:pPr>
        <w:spacing w:before="120" w:after="240"/>
        <w:contextualSpacing/>
        <w:jc w:val="both"/>
        <w:rPr>
          <w:rFonts w:eastAsia="Calibri"/>
          <w:b/>
          <w:szCs w:val="24"/>
        </w:rPr>
      </w:pPr>
      <w:r w:rsidRPr="0094320D">
        <w:rPr>
          <w:rFonts w:eastAsia="Calibri"/>
          <w:b/>
          <w:szCs w:val="24"/>
        </w:rPr>
        <w:lastRenderedPageBreak/>
        <w:t>Podsumowanie</w:t>
      </w:r>
    </w:p>
    <w:p w14:paraId="1E637382" w14:textId="2203DDC0" w:rsidR="00F416F3" w:rsidRPr="00F416F3" w:rsidRDefault="00F416F3" w:rsidP="00F416F3">
      <w:pPr>
        <w:jc w:val="both"/>
        <w:rPr>
          <w:rFonts w:eastAsia="Calibri"/>
          <w:szCs w:val="24"/>
        </w:rPr>
      </w:pPr>
      <w:r w:rsidRPr="00F416F3">
        <w:rPr>
          <w:szCs w:val="24"/>
        </w:rPr>
        <w:t>W procesie rozwoju każdego regionu kultura pełni istotną rolę, nie tylko, jako jeden z kluczowych obszaró</w:t>
      </w:r>
      <w:r w:rsidR="002D6745">
        <w:rPr>
          <w:szCs w:val="24"/>
        </w:rPr>
        <w:t>w życia społecznego, lecz także</w:t>
      </w:r>
      <w:r w:rsidRPr="00F416F3">
        <w:rPr>
          <w:szCs w:val="24"/>
        </w:rPr>
        <w:t xml:space="preserve"> jako bodziec rozwoju gospodarczego - zwiększając atrakcyjność regionu dla jego mieszkańcó</w:t>
      </w:r>
      <w:r w:rsidR="006E0058">
        <w:rPr>
          <w:szCs w:val="24"/>
        </w:rPr>
        <w:t>w, inwestorów i turystów, tworząc</w:t>
      </w:r>
      <w:r w:rsidRPr="00F416F3">
        <w:rPr>
          <w:szCs w:val="24"/>
        </w:rPr>
        <w:t xml:space="preserve"> nowe miejsca pracy. Przez długi czas w regionie zaniedbywana była infrastruktura kulturalna, gdyż uczestnictwo w kulturze nie należy do tzw. potrzeb pierwszego rzędu. </w:t>
      </w:r>
      <w:r w:rsidR="00474B60">
        <w:rPr>
          <w:rFonts w:eastAsia="Calibri"/>
          <w:bCs/>
          <w:iCs/>
          <w:szCs w:val="24"/>
        </w:rPr>
        <w:t>Z badania ewaluacyjnego ex - post wynika, że</w:t>
      </w:r>
      <w:r w:rsidR="00474B60" w:rsidRPr="00474B60">
        <w:rPr>
          <w:rFonts w:eastAsia="Calibri"/>
          <w:bCs/>
          <w:iCs/>
          <w:szCs w:val="24"/>
        </w:rPr>
        <w:t xml:space="preserve"> zdecydowana większość inwestycji w zakresie kultury nie zostałaby zrealizowana, gdyby nie uzyskane dofinansowanie</w:t>
      </w:r>
      <w:r w:rsidR="00474B60">
        <w:rPr>
          <w:rFonts w:eastAsia="Calibri"/>
          <w:bCs/>
          <w:iCs/>
          <w:szCs w:val="24"/>
        </w:rPr>
        <w:t>.</w:t>
      </w:r>
      <w:r w:rsidR="00474B60" w:rsidRPr="00F416F3">
        <w:rPr>
          <w:szCs w:val="24"/>
        </w:rPr>
        <w:t xml:space="preserve"> </w:t>
      </w:r>
      <w:r w:rsidRPr="00F416F3">
        <w:rPr>
          <w:szCs w:val="24"/>
        </w:rPr>
        <w:t xml:space="preserve">Województwo śląskie dysponuje bogatą ofertą kulturalną i przy pomocy środków unijnych zyskało szansę na podniesienie wartości estetycznej i funkcjonalnej przestrzeni publicznej. </w:t>
      </w:r>
      <w:r w:rsidRPr="00F416F3">
        <w:rPr>
          <w:rFonts w:eastAsia="Calibri"/>
          <w:szCs w:val="24"/>
        </w:rPr>
        <w:t xml:space="preserve">Infrastruktura kulturalna jest istotnym elementem warunkującym dostępność do oferty kulturalnej regionu, jej rozwój w znacznym stopniu decyduje o konkurencyjności kulturalnej województwa. W celu zwiększenia atrakcyjności i dostępności oferty w ramach RPO WSL beneficjenci mieli możliwość realizacji projektów, które mają na celu poprawę stanu istniejących obiektów. </w:t>
      </w:r>
      <w:r w:rsidR="002D6745">
        <w:rPr>
          <w:rFonts w:eastAsia="Calibri"/>
          <w:szCs w:val="24"/>
        </w:rPr>
        <w:t>Ponad połowa</w:t>
      </w:r>
      <w:r w:rsidRPr="00F416F3">
        <w:rPr>
          <w:rFonts w:eastAsia="Calibri"/>
          <w:szCs w:val="24"/>
        </w:rPr>
        <w:t xml:space="preserve"> realizowanych projektów w ramac</w:t>
      </w:r>
      <w:r w:rsidR="002D6745">
        <w:rPr>
          <w:rFonts w:eastAsia="Calibri"/>
          <w:szCs w:val="24"/>
        </w:rPr>
        <w:t>h przedmiotowego priorytetu dotyczyła infrastruktury.</w:t>
      </w:r>
      <w:r w:rsidRPr="00F416F3">
        <w:rPr>
          <w:rFonts w:eastAsia="Calibri"/>
          <w:szCs w:val="24"/>
        </w:rPr>
        <w:t xml:space="preserve"> </w:t>
      </w:r>
      <w:r w:rsidR="002D6745">
        <w:rPr>
          <w:rFonts w:eastAsia="Calibri"/>
          <w:szCs w:val="24"/>
        </w:rPr>
        <w:t>C</w:t>
      </w:r>
      <w:r w:rsidR="00F6113E">
        <w:rPr>
          <w:rFonts w:eastAsia="Calibri"/>
          <w:szCs w:val="24"/>
        </w:rPr>
        <w:t xml:space="preserve">iekawym </w:t>
      </w:r>
      <w:r w:rsidRPr="00F416F3">
        <w:rPr>
          <w:rFonts w:eastAsia="Calibri"/>
          <w:szCs w:val="24"/>
        </w:rPr>
        <w:t xml:space="preserve">przykładem jest projekt </w:t>
      </w:r>
      <w:r w:rsidRPr="00F6113E">
        <w:rPr>
          <w:rFonts w:eastAsia="Calibri"/>
          <w:szCs w:val="24"/>
        </w:rPr>
        <w:t>Centrum Kultury Śląskiej</w:t>
      </w:r>
      <w:r w:rsidRPr="00F416F3">
        <w:rPr>
          <w:rFonts w:eastAsia="Calibri"/>
          <w:szCs w:val="24"/>
        </w:rPr>
        <w:t>. Ta samorządowa instytucja kultury mieści się w zabytkowym Pałacu Donnersmarcków w Nakle Śląskim. Centrum Kultury Śląskiej pełni funkc</w:t>
      </w:r>
      <w:r w:rsidR="002D6745">
        <w:rPr>
          <w:rFonts w:eastAsia="Calibri"/>
          <w:szCs w:val="24"/>
        </w:rPr>
        <w:t>je kulturalne w odniesieniu do p</w:t>
      </w:r>
      <w:r w:rsidRPr="00F416F3">
        <w:rPr>
          <w:rFonts w:eastAsia="Calibri"/>
          <w:szCs w:val="24"/>
        </w:rPr>
        <w:t>owiatu i całego regionu. Tworzyć będzie bazę kulturalną dla zadań w sferze kultury i wychowania. Ma także stanowić o atrak</w:t>
      </w:r>
      <w:r w:rsidR="002D6745">
        <w:rPr>
          <w:rFonts w:eastAsia="Calibri"/>
          <w:szCs w:val="24"/>
        </w:rPr>
        <w:t>cyjności walorów turystycznych p</w:t>
      </w:r>
      <w:r w:rsidRPr="00F416F3">
        <w:rPr>
          <w:rFonts w:eastAsia="Calibri"/>
          <w:szCs w:val="24"/>
        </w:rPr>
        <w:t>owiatu, jako przykład architektury rez</w:t>
      </w:r>
      <w:r w:rsidR="00B8015D">
        <w:rPr>
          <w:rFonts w:eastAsia="Calibri"/>
          <w:szCs w:val="24"/>
        </w:rPr>
        <w:t>ydencjonalnej znajdującej się w </w:t>
      </w:r>
      <w:r w:rsidRPr="00F416F3">
        <w:rPr>
          <w:rFonts w:eastAsia="Calibri"/>
          <w:szCs w:val="24"/>
        </w:rPr>
        <w:t>regionie, w ramach zespołu pałaców i zamków Świerklaniec – Rybna – Brynek – Kamieniec – Szałsza – Stare Tarnowice.</w:t>
      </w:r>
      <w:r w:rsidRPr="00F416F3">
        <w:rPr>
          <w:szCs w:val="24"/>
        </w:rPr>
        <w:t xml:space="preserve"> </w:t>
      </w:r>
    </w:p>
    <w:p w14:paraId="6853080F" w14:textId="7C4A73C2" w:rsidR="00F416F3" w:rsidRPr="00F416F3" w:rsidRDefault="00F416F3" w:rsidP="00F416F3">
      <w:pPr>
        <w:jc w:val="both"/>
        <w:rPr>
          <w:szCs w:val="24"/>
        </w:rPr>
      </w:pPr>
      <w:r w:rsidRPr="00F416F3">
        <w:rPr>
          <w:szCs w:val="24"/>
        </w:rPr>
        <w:t xml:space="preserve">To, z czym od kilku lat mamy do czynienia na Śląsku, to z pewnością zmiana wizerunku regionu na bardziej nowoczesny. Regionu, w którym innowacyjne technologie wykorzystywane będą zarówno przez mieszkańców podczas codziennego korzystania z oferty kulturalnej, jak i przez rządzących w celu promocji Śląska w Polsce i na świecie. Do tej pory bolączką tego najbardziej uprzemysłowionego regionu Polski było niedoinwestowanie w dziedzinie kultury. Skutkowało to </w:t>
      </w:r>
      <w:r w:rsidRPr="00F416F3">
        <w:rPr>
          <w:bCs/>
          <w:szCs w:val="24"/>
        </w:rPr>
        <w:t>brakiem kompleksowej informacji kulturalnej w skali regionu</w:t>
      </w:r>
      <w:r w:rsidRPr="00F416F3">
        <w:rPr>
          <w:szCs w:val="24"/>
        </w:rPr>
        <w:t xml:space="preserve"> oraz nowoczesnych systemów zarządzania tymi treściami i udostępniania ich wszystkim zainteresowanym. W odpowiedzi na te wyzwania Fundacja Habitat Foundation Group zrealizowała projekt </w:t>
      </w:r>
      <w:r w:rsidRPr="00F416F3">
        <w:rPr>
          <w:i/>
          <w:szCs w:val="24"/>
        </w:rPr>
        <w:t>Serwis etnograficzno-kulturalny z obszaru Beskidu Śląskiego, Żywieckiego i Śląska Cieszyńskiego</w:t>
      </w:r>
      <w:r w:rsidRPr="00F416F3">
        <w:rPr>
          <w:szCs w:val="24"/>
        </w:rPr>
        <w:t>. Serwis etnograficzno-kulturalny z obszaru Beskidu Śląskiego, Żywieckiego i Śląska Cieszyńskiego, to w założeniu kompleksowy portal informacyjny zawierający dane encyklopedyczne oraz aktualności regionalne z ww. regionu. Portal ma na celu zebranie w jednym, łatwo dostępnym mie</w:t>
      </w:r>
      <w:r w:rsidR="00F6113E">
        <w:rPr>
          <w:szCs w:val="24"/>
        </w:rPr>
        <w:t>jscu kompleksowej informacji na </w:t>
      </w:r>
      <w:r w:rsidRPr="00F416F3">
        <w:rPr>
          <w:szCs w:val="24"/>
        </w:rPr>
        <w:t>temat kultury, etnografii działalności kulturalnej i</w:t>
      </w:r>
      <w:r w:rsidR="00F6113E">
        <w:rPr>
          <w:szCs w:val="24"/>
        </w:rPr>
        <w:t>stniejących ośrodków, twórców i </w:t>
      </w:r>
      <w:r w:rsidRPr="00F416F3">
        <w:rPr>
          <w:szCs w:val="24"/>
        </w:rPr>
        <w:t>zespołów. Portal prócz aktualności regionalnych zawierać będzie informacje encyklopedyczne w formie tekstów, zdjęć, dźwięków oraz filmów. Zawartość merytor</w:t>
      </w:r>
      <w:r w:rsidR="00F6113E">
        <w:rPr>
          <w:szCs w:val="24"/>
        </w:rPr>
        <w:t>yczna strony jest skorelowana z </w:t>
      </w:r>
      <w:r w:rsidRPr="00F416F3">
        <w:rPr>
          <w:szCs w:val="24"/>
        </w:rPr>
        <w:t>zaawansowanym wyszukiwaniem informacji. Taki podział umożliwi wyszukiwanie np. wg miejsca, daty, nazwy, kategorii, wyd</w:t>
      </w:r>
      <w:r w:rsidR="00F6113E">
        <w:rPr>
          <w:szCs w:val="24"/>
        </w:rPr>
        <w:t>arzenia i innych niezbędnych do </w:t>
      </w:r>
      <w:r w:rsidRPr="00F416F3">
        <w:rPr>
          <w:szCs w:val="24"/>
        </w:rPr>
        <w:t>skutecznego pozyskiwania szczegółowych informacji o regionie.</w:t>
      </w:r>
    </w:p>
    <w:p w14:paraId="4F86799D" w14:textId="77777777" w:rsidR="0088054F" w:rsidRDefault="00F416F3" w:rsidP="00F416F3">
      <w:pPr>
        <w:spacing w:after="0"/>
        <w:jc w:val="both"/>
        <w:rPr>
          <w:szCs w:val="24"/>
        </w:rPr>
      </w:pPr>
      <w:r w:rsidRPr="00F416F3">
        <w:rPr>
          <w:szCs w:val="24"/>
        </w:rPr>
        <w:lastRenderedPageBreak/>
        <w:t>Priorytetem interwencji były projekty służące poprawie infrastruktury kultury. Największa liczba projektów obejmu</w:t>
      </w:r>
      <w:r w:rsidR="00F6113E">
        <w:rPr>
          <w:szCs w:val="24"/>
        </w:rPr>
        <w:t>je przedsięwzięcia z kategorii: r</w:t>
      </w:r>
      <w:r w:rsidRPr="00F416F3">
        <w:rPr>
          <w:szCs w:val="24"/>
        </w:rPr>
        <w:t>ewitalizacja, konserwacja, renowacja, rewaloryzacja, remont, przebudowa, adaptacja historycznyc</w:t>
      </w:r>
      <w:r w:rsidR="00F6113E">
        <w:rPr>
          <w:szCs w:val="24"/>
        </w:rPr>
        <w:t>h i zabytkowych obiektów wraz z </w:t>
      </w:r>
      <w:r w:rsidRPr="00F416F3">
        <w:rPr>
          <w:szCs w:val="24"/>
        </w:rPr>
        <w:t>ich otoczeniem na cele kulturalne, Budowa (w tym rozbudowa, odbudowa, nadbudowa), przebudowa, remont, a także niezbędne wyposażenie publiczn</w:t>
      </w:r>
      <w:r w:rsidR="00F6113E">
        <w:rPr>
          <w:szCs w:val="24"/>
        </w:rPr>
        <w:t>ej infrastruktury kulturalnej i </w:t>
      </w:r>
      <w:r w:rsidR="0088054F">
        <w:rPr>
          <w:szCs w:val="24"/>
        </w:rPr>
        <w:t>u</w:t>
      </w:r>
      <w:r w:rsidRPr="00F416F3">
        <w:rPr>
          <w:szCs w:val="24"/>
        </w:rPr>
        <w:t xml:space="preserve">suwanie barier architektonicznych dla osób niepełnosprawnych w istniejących obiektach kultury. </w:t>
      </w:r>
    </w:p>
    <w:p w14:paraId="1EE62E3F" w14:textId="4818CB57" w:rsidR="00F416F3" w:rsidRPr="00F416F3" w:rsidRDefault="00F416F3" w:rsidP="00F416F3">
      <w:pPr>
        <w:spacing w:after="0"/>
        <w:jc w:val="both"/>
        <w:rPr>
          <w:szCs w:val="24"/>
        </w:rPr>
      </w:pPr>
      <w:r w:rsidRPr="00F416F3">
        <w:rPr>
          <w:szCs w:val="24"/>
        </w:rPr>
        <w:t>Działanie 4.2 to przede wszystkim usprawnianie obiegów kultury poprzez systemy informacji kul</w:t>
      </w:r>
      <w:r w:rsidR="00F6113E">
        <w:rPr>
          <w:szCs w:val="24"/>
        </w:rPr>
        <w:t>turalnej. Najliczniejsze w tym d</w:t>
      </w:r>
      <w:r w:rsidRPr="00F416F3">
        <w:rPr>
          <w:szCs w:val="24"/>
        </w:rPr>
        <w:t xml:space="preserve">ziałaniu były projekty z kategorii Tworzenie i rozwój systemów e-informacji kulturalnej. Jak wynika </w:t>
      </w:r>
      <w:r w:rsidR="00F6113E">
        <w:rPr>
          <w:szCs w:val="24"/>
        </w:rPr>
        <w:t>z przeprowadzonego badania ewaluacyjnego ex -post</w:t>
      </w:r>
      <w:r w:rsidRPr="00F416F3">
        <w:rPr>
          <w:szCs w:val="24"/>
        </w:rPr>
        <w:t>, projekty te nie miały szerokiego z</w:t>
      </w:r>
      <w:r w:rsidR="0088054F">
        <w:rPr>
          <w:szCs w:val="24"/>
        </w:rPr>
        <w:t>asięgu</w:t>
      </w:r>
      <w:r w:rsidRPr="00F416F3">
        <w:rPr>
          <w:szCs w:val="24"/>
        </w:rPr>
        <w:t xml:space="preserve"> </w:t>
      </w:r>
      <w:r w:rsidR="0088054F">
        <w:rPr>
          <w:szCs w:val="24"/>
        </w:rPr>
        <w:t>oraz</w:t>
      </w:r>
      <w:r w:rsidRPr="00F416F3">
        <w:rPr>
          <w:szCs w:val="24"/>
        </w:rPr>
        <w:t xml:space="preserve"> nie były zintegrowane czy to w skali regionalnej, czy przynajmniej subregionalnej lub metropolitalnej. Większość z nich miała czysto lokalny c</w:t>
      </w:r>
      <w:r w:rsidR="00F6113E">
        <w:rPr>
          <w:szCs w:val="24"/>
        </w:rPr>
        <w:t>harakter i w związku z tym miały</w:t>
      </w:r>
      <w:r w:rsidRPr="00F416F3">
        <w:rPr>
          <w:szCs w:val="24"/>
        </w:rPr>
        <w:t xml:space="preserve"> ograniczoną użyteczność. </w:t>
      </w:r>
    </w:p>
    <w:p w14:paraId="43F3D664" w14:textId="3EFB2541" w:rsidR="00F416F3" w:rsidRDefault="00F416F3" w:rsidP="00F416F3">
      <w:pPr>
        <w:spacing w:after="0"/>
        <w:jc w:val="both"/>
        <w:rPr>
          <w:szCs w:val="24"/>
        </w:rPr>
      </w:pPr>
      <w:r w:rsidRPr="00F416F3">
        <w:rPr>
          <w:szCs w:val="24"/>
        </w:rPr>
        <w:t xml:space="preserve">Najwięcej projektów </w:t>
      </w:r>
      <w:r w:rsidR="00F6113E">
        <w:rPr>
          <w:szCs w:val="24"/>
        </w:rPr>
        <w:t xml:space="preserve">w </w:t>
      </w:r>
      <w:r w:rsidRPr="00F416F3">
        <w:rPr>
          <w:szCs w:val="24"/>
        </w:rPr>
        <w:t xml:space="preserve">działaniu 4.3 to przedsięwzięcia z kategorii Organizacja wydarzeń kulturalnych, mających wpływ na wzrost znaczenia </w:t>
      </w:r>
      <w:r w:rsidR="00575298" w:rsidRPr="00F416F3">
        <w:rPr>
          <w:szCs w:val="24"/>
        </w:rPr>
        <w:t>kultury, jako</w:t>
      </w:r>
      <w:r w:rsidRPr="00F416F3">
        <w:rPr>
          <w:szCs w:val="24"/>
        </w:rPr>
        <w:t xml:space="preserve"> czynnika stymulującego rozwój społeczno – gospodarczy, przy czym wiele z </w:t>
      </w:r>
      <w:r w:rsidR="00575298">
        <w:rPr>
          <w:szCs w:val="24"/>
        </w:rPr>
        <w:t>nich to wydarzenia kulturalne o </w:t>
      </w:r>
      <w:r w:rsidRPr="00F416F3">
        <w:rPr>
          <w:szCs w:val="24"/>
        </w:rPr>
        <w:t xml:space="preserve">charakterze festiwali. </w:t>
      </w:r>
    </w:p>
    <w:p w14:paraId="2FBA9128" w14:textId="2FC5719F" w:rsidR="000A2518" w:rsidRDefault="00575298" w:rsidP="00473968">
      <w:pPr>
        <w:spacing w:before="120" w:after="0" w:line="288" w:lineRule="auto"/>
        <w:jc w:val="both"/>
        <w:rPr>
          <w:szCs w:val="24"/>
        </w:rPr>
      </w:pPr>
      <w:r w:rsidRPr="00575298">
        <w:rPr>
          <w:szCs w:val="24"/>
        </w:rPr>
        <w:t>Podsumowując</w:t>
      </w:r>
      <w:r w:rsidR="002D6745">
        <w:rPr>
          <w:szCs w:val="24"/>
        </w:rPr>
        <w:t>,</w:t>
      </w:r>
      <w:r w:rsidRPr="00575298">
        <w:rPr>
          <w:szCs w:val="24"/>
        </w:rPr>
        <w:t xml:space="preserve"> </w:t>
      </w:r>
      <w:r w:rsidR="002D6745">
        <w:rPr>
          <w:szCs w:val="24"/>
        </w:rPr>
        <w:t>według badania ewaluacyjnego ex</w:t>
      </w:r>
      <w:r>
        <w:rPr>
          <w:szCs w:val="24"/>
        </w:rPr>
        <w:t>–</w:t>
      </w:r>
      <w:r w:rsidRPr="00575298">
        <w:rPr>
          <w:szCs w:val="24"/>
        </w:rPr>
        <w:t>post</w:t>
      </w:r>
      <w:r>
        <w:rPr>
          <w:szCs w:val="24"/>
        </w:rPr>
        <w:t>,</w:t>
      </w:r>
      <w:r w:rsidRPr="00575298">
        <w:rPr>
          <w:szCs w:val="24"/>
        </w:rPr>
        <w:t xml:space="preserve"> nie można mówić o pełnym wykorzystaniu potencjału kultury regionu, jako czynnika roz</w:t>
      </w:r>
      <w:r>
        <w:rPr>
          <w:szCs w:val="24"/>
        </w:rPr>
        <w:t>woju społeczno-gospodarczego, a </w:t>
      </w:r>
      <w:r w:rsidRPr="00575298">
        <w:rPr>
          <w:szCs w:val="24"/>
        </w:rPr>
        <w:t>z pewnością, jako czynnika wzrostu poziomu kapitału społecznego, wyrażającego się wzmocnieniem regionalnej tożsamości kulturowej. W ramach Programu został jednak wykonany niewątpliwie pierwszy krok, jakim było dofinans</w:t>
      </w:r>
      <w:r>
        <w:rPr>
          <w:szCs w:val="24"/>
        </w:rPr>
        <w:t>owanie infrastruktury kultury i </w:t>
      </w:r>
      <w:r w:rsidRPr="00575298">
        <w:rPr>
          <w:szCs w:val="24"/>
        </w:rPr>
        <w:t xml:space="preserve">działanie na rzecz zachowania dziedzictwa kulturowego. Z uwagi na ograniczoną alokację </w:t>
      </w:r>
      <w:r>
        <w:rPr>
          <w:szCs w:val="24"/>
        </w:rPr>
        <w:t>p</w:t>
      </w:r>
      <w:r w:rsidRPr="00575298">
        <w:rPr>
          <w:szCs w:val="24"/>
        </w:rPr>
        <w:t xml:space="preserve">riorytetu w stosunku do potrzeb, skupienie się na tych działaniach </w:t>
      </w:r>
      <w:r w:rsidR="00473968">
        <w:rPr>
          <w:szCs w:val="24"/>
        </w:rPr>
        <w:t>zostało uznane jako</w:t>
      </w:r>
      <w:r w:rsidRPr="00575298">
        <w:rPr>
          <w:szCs w:val="24"/>
        </w:rPr>
        <w:t xml:space="preserve"> trafne. </w:t>
      </w:r>
    </w:p>
    <w:p w14:paraId="4C97CFDB" w14:textId="77777777" w:rsidR="00473968" w:rsidRPr="00473968" w:rsidRDefault="00473968" w:rsidP="00473968">
      <w:pPr>
        <w:spacing w:before="120" w:after="0" w:line="288" w:lineRule="auto"/>
        <w:jc w:val="both"/>
        <w:rPr>
          <w:szCs w:val="24"/>
        </w:rPr>
      </w:pPr>
    </w:p>
    <w:p w14:paraId="03925738" w14:textId="1E7202C5" w:rsidR="0005410E" w:rsidRPr="00F416F3" w:rsidRDefault="000E197A" w:rsidP="004914D8">
      <w:pPr>
        <w:pStyle w:val="Akapitzlist"/>
        <w:numPr>
          <w:ilvl w:val="2"/>
          <w:numId w:val="50"/>
        </w:numPr>
        <w:ind w:left="567" w:hanging="567"/>
        <w:jc w:val="both"/>
        <w:rPr>
          <w:b/>
          <w:bCs/>
          <w:szCs w:val="24"/>
        </w:rPr>
      </w:pPr>
      <w:bookmarkStart w:id="384" w:name="_Toc419180273"/>
      <w:bookmarkStart w:id="385" w:name="_Toc423351791"/>
      <w:r w:rsidRPr="000E197A">
        <w:rPr>
          <w:b/>
          <w:szCs w:val="24"/>
        </w:rPr>
        <w:t>OPIS ISTOTNYCH PROBLEMÓW WE WDRAŻANIU WRAZ Z PODJĘTYMI ŚRODKAMI ZARADCZYMI</w:t>
      </w:r>
      <w:bookmarkEnd w:id="359"/>
      <w:bookmarkEnd w:id="360"/>
      <w:bookmarkEnd w:id="361"/>
      <w:bookmarkEnd w:id="362"/>
      <w:bookmarkEnd w:id="363"/>
      <w:bookmarkEnd w:id="364"/>
      <w:bookmarkEnd w:id="365"/>
      <w:bookmarkEnd w:id="366"/>
      <w:bookmarkEnd w:id="367"/>
      <w:bookmarkEnd w:id="368"/>
      <w:bookmarkEnd w:id="384"/>
      <w:bookmarkEnd w:id="385"/>
    </w:p>
    <w:p w14:paraId="52082EFD" w14:textId="3F076F33" w:rsidR="00B8015D" w:rsidRDefault="00F416F3" w:rsidP="000A2518">
      <w:pPr>
        <w:jc w:val="both"/>
        <w:rPr>
          <w:szCs w:val="24"/>
        </w:rPr>
      </w:pPr>
      <w:r w:rsidRPr="00F416F3">
        <w:rPr>
          <w:szCs w:val="24"/>
        </w:rPr>
        <w:t>W całym okresie wdrażania priorytetu nie pojawiły się żadne problemy, sytuacje zakłócające bądź opóźniające realizację przedmiotowego priorytetu.</w:t>
      </w:r>
      <w:bookmarkStart w:id="386" w:name="_Toc386571834"/>
      <w:bookmarkStart w:id="387" w:name="_Toc292793595"/>
      <w:bookmarkStart w:id="388" w:name="_Toc324853917"/>
      <w:bookmarkStart w:id="389" w:name="_Toc327259269"/>
      <w:bookmarkStart w:id="390" w:name="_Toc292789299"/>
      <w:bookmarkStart w:id="391" w:name="_Toc292793596"/>
      <w:bookmarkStart w:id="392" w:name="_Toc292888978"/>
      <w:bookmarkEnd w:id="386"/>
    </w:p>
    <w:p w14:paraId="173A9F8C" w14:textId="12312990" w:rsidR="009062CF" w:rsidRPr="00B8015D" w:rsidRDefault="00B8015D" w:rsidP="00B8015D">
      <w:pPr>
        <w:spacing w:after="0" w:line="240" w:lineRule="auto"/>
        <w:rPr>
          <w:szCs w:val="24"/>
        </w:rPr>
      </w:pPr>
      <w:r>
        <w:rPr>
          <w:szCs w:val="24"/>
        </w:rPr>
        <w:br w:type="page"/>
      </w:r>
    </w:p>
    <w:p w14:paraId="1EFF8A9C" w14:textId="7F8F9058" w:rsidR="009062CF" w:rsidRPr="00126975" w:rsidRDefault="00F416F3" w:rsidP="004914D8">
      <w:pPr>
        <w:pStyle w:val="Akapitzlist"/>
        <w:numPr>
          <w:ilvl w:val="1"/>
          <w:numId w:val="50"/>
        </w:numPr>
        <w:jc w:val="both"/>
        <w:rPr>
          <w:b/>
          <w:color w:val="538135" w:themeColor="accent6" w:themeShade="BF"/>
          <w:szCs w:val="24"/>
        </w:rPr>
      </w:pPr>
      <w:r w:rsidRPr="00126975">
        <w:rPr>
          <w:b/>
          <w:color w:val="538135" w:themeColor="accent6" w:themeShade="BF"/>
          <w:szCs w:val="24"/>
        </w:rPr>
        <w:lastRenderedPageBreak/>
        <w:t>PRIORYTET V ŚRODOWISKO</w:t>
      </w:r>
    </w:p>
    <w:p w14:paraId="4C754F53" w14:textId="327AE5C8" w:rsidR="009062CF" w:rsidRPr="0094320D" w:rsidRDefault="00F416F3" w:rsidP="0094320D">
      <w:pPr>
        <w:pStyle w:val="Nagwek1"/>
        <w:numPr>
          <w:ilvl w:val="0"/>
          <w:numId w:val="0"/>
        </w:numPr>
        <w:tabs>
          <w:tab w:val="left" w:pos="1560"/>
        </w:tabs>
        <w:spacing w:before="240" w:after="120"/>
        <w:jc w:val="both"/>
        <w:rPr>
          <w:szCs w:val="24"/>
        </w:rPr>
      </w:pPr>
      <w:bookmarkStart w:id="393" w:name="_Toc473117335"/>
      <w:bookmarkStart w:id="394" w:name="_Toc477779775"/>
      <w:r>
        <w:rPr>
          <w:noProof/>
        </w:rPr>
        <w:drawing>
          <wp:inline distT="0" distB="0" distL="0" distR="0" wp14:anchorId="2FCDF0D7" wp14:editId="75CB1E1E">
            <wp:extent cx="5943600" cy="2641388"/>
            <wp:effectExtent l="0" t="0" r="0" b="6985"/>
            <wp:docPr id="33794" name="Obraz 11" descr="kuzni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4" name="Obraz 11" descr="kuznia-01.jpg"/>
                    <pic:cNvPicPr>
                      <a:picLocks noChangeAspect="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59329" cy="2648378"/>
                    </a:xfrm>
                    <a:prstGeom prst="rect">
                      <a:avLst/>
                    </a:prstGeom>
                    <a:ln>
                      <a:noFill/>
                    </a:ln>
                    <a:effectLst>
                      <a:softEdge rad="112500"/>
                    </a:effectLst>
                    <a:extLst/>
                  </pic:spPr>
                </pic:pic>
              </a:graphicData>
            </a:graphic>
          </wp:inline>
        </w:drawing>
      </w:r>
      <w:bookmarkEnd w:id="393"/>
      <w:bookmarkEnd w:id="394"/>
    </w:p>
    <w:p w14:paraId="4B70F606" w14:textId="77777777" w:rsidR="00352BDC" w:rsidRPr="0094320D" w:rsidRDefault="00352BDC" w:rsidP="004914D8">
      <w:pPr>
        <w:pStyle w:val="Akapitzlist"/>
        <w:numPr>
          <w:ilvl w:val="2"/>
          <w:numId w:val="50"/>
        </w:numPr>
        <w:jc w:val="both"/>
        <w:rPr>
          <w:b/>
          <w:bCs/>
          <w:szCs w:val="24"/>
        </w:rPr>
      </w:pPr>
      <w:bookmarkStart w:id="395" w:name="_Toc386571835"/>
      <w:bookmarkStart w:id="396" w:name="_Toc386572260"/>
      <w:bookmarkStart w:id="397" w:name="_Toc419180276"/>
      <w:bookmarkStart w:id="398" w:name="_Toc423351794"/>
      <w:bookmarkEnd w:id="387"/>
      <w:bookmarkEnd w:id="388"/>
      <w:bookmarkEnd w:id="389"/>
      <w:bookmarkEnd w:id="390"/>
      <w:bookmarkEnd w:id="391"/>
      <w:bookmarkEnd w:id="392"/>
      <w:r w:rsidRPr="0094320D">
        <w:rPr>
          <w:b/>
          <w:bCs/>
          <w:szCs w:val="24"/>
        </w:rPr>
        <w:t>OSIĄGNIĘCIE CELÓW I ANALIZA POSTĘPÓW</w:t>
      </w:r>
      <w:bookmarkEnd w:id="395"/>
      <w:bookmarkEnd w:id="396"/>
      <w:bookmarkEnd w:id="397"/>
      <w:bookmarkEnd w:id="398"/>
    </w:p>
    <w:p w14:paraId="479B19F9" w14:textId="7ADB8998" w:rsidR="00352BDC" w:rsidRPr="0094320D" w:rsidRDefault="00F416F3" w:rsidP="0094320D">
      <w:pPr>
        <w:jc w:val="both"/>
        <w:rPr>
          <w:szCs w:val="24"/>
        </w:rPr>
      </w:pPr>
      <w:r w:rsidRPr="0094320D">
        <w:rPr>
          <w:b/>
          <w:szCs w:val="24"/>
        </w:rPr>
        <w:t>Informacje ogólne</w:t>
      </w:r>
    </w:p>
    <w:p w14:paraId="24403E79" w14:textId="13130405" w:rsidR="00352BDC" w:rsidRPr="0094320D" w:rsidRDefault="00352BDC" w:rsidP="0094320D">
      <w:pPr>
        <w:spacing w:before="240"/>
        <w:jc w:val="both"/>
        <w:rPr>
          <w:szCs w:val="24"/>
        </w:rPr>
      </w:pPr>
      <w:r w:rsidRPr="0094320D">
        <w:rPr>
          <w:szCs w:val="24"/>
        </w:rPr>
        <w:t xml:space="preserve">Celem głównym priorytetu V </w:t>
      </w:r>
      <w:r w:rsidR="002D6745">
        <w:rPr>
          <w:szCs w:val="24"/>
        </w:rPr>
        <w:t>była</w:t>
      </w:r>
      <w:r w:rsidRPr="0094320D">
        <w:rPr>
          <w:szCs w:val="24"/>
        </w:rPr>
        <w:t xml:space="preserve"> </w:t>
      </w:r>
      <w:r w:rsidRPr="0094320D">
        <w:rPr>
          <w:i/>
          <w:iCs/>
          <w:szCs w:val="24"/>
        </w:rPr>
        <w:t>ochrona oraz poprawa jakości środowiska</w:t>
      </w:r>
      <w:r w:rsidRPr="0094320D">
        <w:rPr>
          <w:szCs w:val="24"/>
        </w:rPr>
        <w:t xml:space="preserve">. W ramach priorytetu wspierane </w:t>
      </w:r>
      <w:r w:rsidR="002D6745">
        <w:rPr>
          <w:szCs w:val="24"/>
        </w:rPr>
        <w:t>były</w:t>
      </w:r>
      <w:r w:rsidRPr="0094320D">
        <w:rPr>
          <w:szCs w:val="24"/>
        </w:rPr>
        <w:t xml:space="preserve"> działania w zakresie rozwoju infrastruktury wodno – ściekowej, gospodarki odpadami, poprawy jakości powietrza i wykorzystania odnawialnych źródeł energii, zarządzania środowiskiem i ochrony dziedzictwa przyrodniczego.</w:t>
      </w:r>
    </w:p>
    <w:p w14:paraId="4FA979B4" w14:textId="77777777" w:rsidR="00352BDC" w:rsidRPr="0094320D" w:rsidRDefault="00352BDC" w:rsidP="0094320D">
      <w:pPr>
        <w:spacing w:after="0"/>
        <w:jc w:val="both"/>
        <w:rPr>
          <w:szCs w:val="24"/>
        </w:rPr>
      </w:pPr>
      <w:r w:rsidRPr="0094320D">
        <w:rPr>
          <w:szCs w:val="24"/>
        </w:rPr>
        <w:t>Realizacji priorytetu służyć ma pięć działań:</w:t>
      </w:r>
    </w:p>
    <w:p w14:paraId="33AECEC0" w14:textId="77777777" w:rsidR="00352BDC" w:rsidRPr="0094320D" w:rsidRDefault="00352BDC" w:rsidP="0094320D">
      <w:pPr>
        <w:numPr>
          <w:ilvl w:val="0"/>
          <w:numId w:val="4"/>
        </w:numPr>
        <w:spacing w:after="0"/>
        <w:contextualSpacing/>
        <w:jc w:val="both"/>
        <w:rPr>
          <w:i/>
          <w:szCs w:val="24"/>
        </w:rPr>
      </w:pPr>
      <w:r w:rsidRPr="0094320D">
        <w:rPr>
          <w:szCs w:val="24"/>
        </w:rPr>
        <w:t>5</w:t>
      </w:r>
      <w:r w:rsidRPr="0094320D">
        <w:rPr>
          <w:i/>
          <w:szCs w:val="24"/>
        </w:rPr>
        <w:t>.1 Gospodarka wodno-ściekowa,</w:t>
      </w:r>
    </w:p>
    <w:p w14:paraId="543E65DA" w14:textId="77777777" w:rsidR="00352BDC" w:rsidRPr="0094320D" w:rsidRDefault="00352BDC" w:rsidP="0094320D">
      <w:pPr>
        <w:numPr>
          <w:ilvl w:val="0"/>
          <w:numId w:val="4"/>
        </w:numPr>
        <w:spacing w:after="0"/>
        <w:contextualSpacing/>
        <w:jc w:val="both"/>
        <w:rPr>
          <w:i/>
          <w:szCs w:val="24"/>
        </w:rPr>
      </w:pPr>
      <w:r w:rsidRPr="0094320D">
        <w:rPr>
          <w:i/>
          <w:szCs w:val="24"/>
        </w:rPr>
        <w:t>5.2 Gospodarka odpadami,</w:t>
      </w:r>
    </w:p>
    <w:p w14:paraId="78D64EAF" w14:textId="77777777" w:rsidR="00352BDC" w:rsidRPr="0094320D" w:rsidRDefault="00352BDC" w:rsidP="0094320D">
      <w:pPr>
        <w:numPr>
          <w:ilvl w:val="0"/>
          <w:numId w:val="4"/>
        </w:numPr>
        <w:spacing w:after="0"/>
        <w:contextualSpacing/>
        <w:jc w:val="both"/>
        <w:rPr>
          <w:i/>
          <w:szCs w:val="24"/>
        </w:rPr>
      </w:pPr>
      <w:r w:rsidRPr="0094320D">
        <w:rPr>
          <w:i/>
          <w:szCs w:val="24"/>
        </w:rPr>
        <w:t>5.3 Czyste powietrze i odnawialne źródła energii,</w:t>
      </w:r>
    </w:p>
    <w:p w14:paraId="50957E64" w14:textId="77777777" w:rsidR="00352BDC" w:rsidRPr="0094320D" w:rsidRDefault="00352BDC" w:rsidP="0094320D">
      <w:pPr>
        <w:numPr>
          <w:ilvl w:val="0"/>
          <w:numId w:val="4"/>
        </w:numPr>
        <w:spacing w:after="0"/>
        <w:contextualSpacing/>
        <w:jc w:val="both"/>
        <w:rPr>
          <w:i/>
          <w:szCs w:val="24"/>
        </w:rPr>
      </w:pPr>
      <w:r w:rsidRPr="0094320D">
        <w:rPr>
          <w:i/>
          <w:szCs w:val="24"/>
        </w:rPr>
        <w:t>5.4 Zarządzanie środowiskiem,</w:t>
      </w:r>
    </w:p>
    <w:p w14:paraId="121EB50C" w14:textId="77777777" w:rsidR="00352BDC" w:rsidRPr="0094320D" w:rsidRDefault="00352BDC" w:rsidP="0094320D">
      <w:pPr>
        <w:numPr>
          <w:ilvl w:val="0"/>
          <w:numId w:val="4"/>
        </w:numPr>
        <w:spacing w:before="240" w:after="0"/>
        <w:contextualSpacing/>
        <w:jc w:val="both"/>
        <w:rPr>
          <w:i/>
          <w:szCs w:val="24"/>
        </w:rPr>
      </w:pPr>
      <w:r w:rsidRPr="0094320D">
        <w:rPr>
          <w:i/>
          <w:szCs w:val="24"/>
        </w:rPr>
        <w:t>5.5 Dziedzictwo przyrodnicze.</w:t>
      </w:r>
    </w:p>
    <w:p w14:paraId="3F14445B" w14:textId="77777777" w:rsidR="00352BDC" w:rsidRPr="0094320D" w:rsidRDefault="00352BDC" w:rsidP="0094320D">
      <w:pPr>
        <w:spacing w:before="240"/>
        <w:jc w:val="both"/>
        <w:rPr>
          <w:i/>
          <w:szCs w:val="24"/>
        </w:rPr>
      </w:pPr>
      <w:r w:rsidRPr="0094320D">
        <w:rPr>
          <w:szCs w:val="24"/>
        </w:rPr>
        <w:t xml:space="preserve">Na realizację priorytetu V alokowano 180 678 600 EUR pochodzących z EFRR, co stanowi 10,34% wartości </w:t>
      </w:r>
      <w:r w:rsidRPr="0094320D">
        <w:rPr>
          <w:i/>
          <w:szCs w:val="24"/>
        </w:rPr>
        <w:t>Programu.</w:t>
      </w:r>
    </w:p>
    <w:p w14:paraId="078F3D57" w14:textId="7D077F18" w:rsidR="00352BDC" w:rsidRPr="0094320D" w:rsidRDefault="00352BDC" w:rsidP="0094320D">
      <w:pPr>
        <w:widowControl w:val="0"/>
        <w:autoSpaceDE w:val="0"/>
        <w:autoSpaceDN w:val="0"/>
        <w:adjustRightInd w:val="0"/>
        <w:spacing w:after="120"/>
        <w:ind w:right="-23"/>
        <w:jc w:val="both"/>
        <w:rPr>
          <w:szCs w:val="24"/>
        </w:rPr>
      </w:pPr>
      <w:r w:rsidRPr="0094320D">
        <w:rPr>
          <w:szCs w:val="24"/>
        </w:rPr>
        <w:t>Opis wkładu osi priorytetowej w promowanie równości szans k</w:t>
      </w:r>
      <w:r w:rsidR="00B8015D">
        <w:rPr>
          <w:szCs w:val="24"/>
        </w:rPr>
        <w:t>obiet i mężczyzn znajduje się w </w:t>
      </w:r>
      <w:r w:rsidRPr="0094320D">
        <w:rPr>
          <w:szCs w:val="24"/>
        </w:rPr>
        <w:t xml:space="preserve">pkt. 2.2.1 </w:t>
      </w:r>
      <w:r w:rsidRPr="0094320D">
        <w:rPr>
          <w:i/>
          <w:szCs w:val="24"/>
        </w:rPr>
        <w:t>Sprawozdania.</w:t>
      </w:r>
    </w:p>
    <w:p w14:paraId="1D30E3C3" w14:textId="0BC0AA2B" w:rsidR="00352BDC" w:rsidRPr="0094320D" w:rsidRDefault="00352BDC" w:rsidP="0094320D">
      <w:pPr>
        <w:widowControl w:val="0"/>
        <w:autoSpaceDE w:val="0"/>
        <w:autoSpaceDN w:val="0"/>
        <w:adjustRightInd w:val="0"/>
        <w:spacing w:after="240"/>
        <w:ind w:right="-23"/>
        <w:jc w:val="both"/>
        <w:rPr>
          <w:szCs w:val="24"/>
        </w:rPr>
      </w:pPr>
      <w:r w:rsidRPr="0094320D">
        <w:rPr>
          <w:szCs w:val="24"/>
        </w:rPr>
        <w:t xml:space="preserve">W ramach priorytetu przewidziano finansowanie krzyżowe. </w:t>
      </w:r>
      <w:r w:rsidRPr="001D3D24">
        <w:rPr>
          <w:szCs w:val="24"/>
        </w:rPr>
        <w:t>Informacje nt. cross – financing</w:t>
      </w:r>
      <w:r w:rsidR="00C50C7B" w:rsidRPr="001D3D24">
        <w:rPr>
          <w:szCs w:val="24"/>
        </w:rPr>
        <w:t>u</w:t>
      </w:r>
      <w:r w:rsidRPr="0094320D">
        <w:rPr>
          <w:szCs w:val="24"/>
        </w:rPr>
        <w:t xml:space="preserve"> realizowanej w ramach przedmiotowego priorytetu znajdują się w pkt. 2.6.3 </w:t>
      </w:r>
      <w:r w:rsidRPr="0094320D">
        <w:rPr>
          <w:i/>
          <w:szCs w:val="24"/>
        </w:rPr>
        <w:t>Sprawozdania.</w:t>
      </w:r>
    </w:p>
    <w:p w14:paraId="54F36BE0" w14:textId="076665C7" w:rsidR="00352BDC" w:rsidRPr="0094320D" w:rsidRDefault="00F416F3" w:rsidP="0094320D">
      <w:pPr>
        <w:widowControl w:val="0"/>
        <w:autoSpaceDE w:val="0"/>
        <w:autoSpaceDN w:val="0"/>
        <w:adjustRightInd w:val="0"/>
        <w:spacing w:after="240"/>
        <w:ind w:right="-23"/>
        <w:jc w:val="both"/>
        <w:rPr>
          <w:b/>
          <w:szCs w:val="24"/>
        </w:rPr>
      </w:pPr>
      <w:r w:rsidRPr="0094320D">
        <w:rPr>
          <w:b/>
          <w:szCs w:val="24"/>
        </w:rPr>
        <w:t>Analiza postępu finansowego</w:t>
      </w:r>
    </w:p>
    <w:p w14:paraId="48AEC037" w14:textId="462F58EB" w:rsidR="000A2518" w:rsidRPr="00D83B2C" w:rsidRDefault="000A2518" w:rsidP="000A2518">
      <w:pPr>
        <w:spacing w:after="120"/>
        <w:jc w:val="both"/>
        <w:rPr>
          <w:szCs w:val="24"/>
        </w:rPr>
      </w:pPr>
      <w:r w:rsidRPr="00D83B2C">
        <w:rPr>
          <w:szCs w:val="24"/>
        </w:rPr>
        <w:t xml:space="preserve">W ramach przedmiotowego priorytetu do końca 2016 roku złożono 473 </w:t>
      </w:r>
      <w:r w:rsidR="002D6745">
        <w:rPr>
          <w:szCs w:val="24"/>
        </w:rPr>
        <w:t>poprawne</w:t>
      </w:r>
      <w:r w:rsidR="002D6745" w:rsidRPr="00D83B2C">
        <w:rPr>
          <w:szCs w:val="24"/>
        </w:rPr>
        <w:t xml:space="preserve"> formalnie </w:t>
      </w:r>
      <w:r w:rsidRPr="00D83B2C">
        <w:rPr>
          <w:szCs w:val="24"/>
        </w:rPr>
        <w:t xml:space="preserve">wnioski o dofinansowanie na kwotę wnioskowanego dofinansowania </w:t>
      </w:r>
      <w:r>
        <w:rPr>
          <w:szCs w:val="24"/>
        </w:rPr>
        <w:t>510,01</w:t>
      </w:r>
      <w:r w:rsidR="002D6745">
        <w:rPr>
          <w:szCs w:val="24"/>
        </w:rPr>
        <w:t xml:space="preserve"> </w:t>
      </w:r>
      <w:r w:rsidRPr="00D83B2C">
        <w:rPr>
          <w:szCs w:val="24"/>
        </w:rPr>
        <w:t xml:space="preserve">mln EUR, co stanowi </w:t>
      </w:r>
      <w:r w:rsidR="00CF33B9">
        <w:rPr>
          <w:szCs w:val="24"/>
        </w:rPr>
        <w:t>282</w:t>
      </w:r>
      <w:r w:rsidRPr="00D83B2C">
        <w:rPr>
          <w:szCs w:val="24"/>
        </w:rPr>
        <w:t xml:space="preserve">% alokacji priorytetu. Do dofinansowania wybrano 273 projekty. Łączna  wartość zatwierdzonych wniosków to </w:t>
      </w:r>
      <w:r>
        <w:rPr>
          <w:szCs w:val="24"/>
        </w:rPr>
        <w:t>248,11</w:t>
      </w:r>
      <w:r w:rsidR="002D6745">
        <w:rPr>
          <w:szCs w:val="24"/>
        </w:rPr>
        <w:t xml:space="preserve"> </w:t>
      </w:r>
      <w:r w:rsidRPr="00D83B2C">
        <w:rPr>
          <w:szCs w:val="24"/>
        </w:rPr>
        <w:t xml:space="preserve">mln EUR. </w:t>
      </w:r>
    </w:p>
    <w:p w14:paraId="67CCE99D" w14:textId="083AB8F6" w:rsidR="000A2518" w:rsidRPr="00D83B2C" w:rsidRDefault="000A2518" w:rsidP="000A2518">
      <w:pPr>
        <w:jc w:val="both"/>
        <w:rPr>
          <w:szCs w:val="24"/>
        </w:rPr>
      </w:pPr>
      <w:r w:rsidRPr="00D83B2C">
        <w:rPr>
          <w:szCs w:val="24"/>
        </w:rPr>
        <w:lastRenderedPageBreak/>
        <w:t>Podpisano 268 umów o dofinansowanie. Łączna wartość dofinansowania to </w:t>
      </w:r>
      <w:r>
        <w:rPr>
          <w:szCs w:val="24"/>
        </w:rPr>
        <w:t>185,09</w:t>
      </w:r>
      <w:r w:rsidRPr="00D83B2C">
        <w:rPr>
          <w:szCs w:val="24"/>
        </w:rPr>
        <w:t xml:space="preserve"> mln EUR, co stanowi </w:t>
      </w:r>
      <w:r w:rsidR="00CF33B9">
        <w:rPr>
          <w:szCs w:val="24"/>
        </w:rPr>
        <w:t>102</w:t>
      </w:r>
      <w:r w:rsidRPr="00D83B2C">
        <w:rPr>
          <w:szCs w:val="24"/>
        </w:rPr>
        <w:t xml:space="preserve">% </w:t>
      </w:r>
      <w:r w:rsidR="00CF33B9">
        <w:rPr>
          <w:szCs w:val="24"/>
        </w:rPr>
        <w:t>dostępnej alokacji na priorytet.</w:t>
      </w:r>
    </w:p>
    <w:p w14:paraId="017DFB26" w14:textId="19D85FAF" w:rsidR="000A2518" w:rsidRDefault="000A2518" w:rsidP="000A2518">
      <w:pPr>
        <w:spacing w:after="120"/>
        <w:jc w:val="both"/>
        <w:rPr>
          <w:szCs w:val="24"/>
        </w:rPr>
      </w:pPr>
      <w:r w:rsidRPr="00D83B2C">
        <w:rPr>
          <w:szCs w:val="24"/>
        </w:rPr>
        <w:t xml:space="preserve">Do końca 2016 roku certyfikowano kwotę </w:t>
      </w:r>
      <w:r w:rsidR="00BB269F">
        <w:rPr>
          <w:szCs w:val="24"/>
        </w:rPr>
        <w:t>178,61</w:t>
      </w:r>
      <w:r w:rsidRPr="00D83B2C">
        <w:rPr>
          <w:szCs w:val="24"/>
        </w:rPr>
        <w:t xml:space="preserve"> mln EUR, co stanowi </w:t>
      </w:r>
      <w:r w:rsidR="00F74234">
        <w:rPr>
          <w:szCs w:val="24"/>
        </w:rPr>
        <w:t>99</w:t>
      </w:r>
      <w:r w:rsidRPr="00D83B2C">
        <w:rPr>
          <w:szCs w:val="24"/>
        </w:rPr>
        <w:t xml:space="preserve">% alokacji. </w:t>
      </w:r>
    </w:p>
    <w:p w14:paraId="07C0C1E3" w14:textId="3B8F5F8F" w:rsidR="002D7625" w:rsidRDefault="002D7625" w:rsidP="002D7625">
      <w:pPr>
        <w:spacing w:after="0"/>
        <w:jc w:val="both"/>
        <w:rPr>
          <w:szCs w:val="24"/>
        </w:rPr>
      </w:pPr>
      <w:r>
        <w:rPr>
          <w:szCs w:val="24"/>
        </w:rPr>
        <w:t xml:space="preserve">Na poniższym wykresie przedstawiono ogólną informację dot. postępu realizacji priorytetu </w:t>
      </w:r>
      <w:r w:rsidR="004A566F">
        <w:rPr>
          <w:szCs w:val="24"/>
        </w:rPr>
        <w:t xml:space="preserve">V </w:t>
      </w:r>
      <w:r>
        <w:rPr>
          <w:szCs w:val="24"/>
        </w:rPr>
        <w:t>na koniec 2016 roku oraz poziom wykorzystania alokacji.</w:t>
      </w:r>
    </w:p>
    <w:p w14:paraId="4502162E" w14:textId="77777777" w:rsidR="00C50E84" w:rsidRPr="00132FC0" w:rsidRDefault="00C50E84" w:rsidP="002D7625">
      <w:pPr>
        <w:spacing w:after="0"/>
        <w:jc w:val="both"/>
        <w:rPr>
          <w:szCs w:val="24"/>
        </w:rPr>
      </w:pPr>
    </w:p>
    <w:p w14:paraId="52EDCC3A" w14:textId="25B6E8B9" w:rsidR="002D7625" w:rsidRDefault="00C50E84" w:rsidP="000A2518">
      <w:pPr>
        <w:spacing w:after="120"/>
        <w:jc w:val="both"/>
        <w:rPr>
          <w:szCs w:val="24"/>
        </w:rPr>
      </w:pPr>
      <w:r>
        <w:rPr>
          <w:noProof/>
        </w:rPr>
        <w:drawing>
          <wp:inline distT="0" distB="0" distL="0" distR="0" wp14:anchorId="750ACE61" wp14:editId="45D4B966">
            <wp:extent cx="6191250" cy="3762375"/>
            <wp:effectExtent l="0" t="0" r="0" b="0"/>
            <wp:docPr id="35847" name="Wykres 3584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6876668B" w14:textId="76A55CC2" w:rsidR="00CF33B9" w:rsidRDefault="004D7598" w:rsidP="004D7598">
      <w:pPr>
        <w:pStyle w:val="Legenda"/>
        <w:rPr>
          <w:b w:val="0"/>
          <w:i/>
          <w:color w:val="auto"/>
          <w:sz w:val="20"/>
          <w:szCs w:val="20"/>
        </w:rPr>
      </w:pPr>
      <w:bookmarkStart w:id="399" w:name="_Toc476832960"/>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42</w:t>
      </w:r>
      <w:r w:rsidR="00A44293" w:rsidRPr="00A44293">
        <w:rPr>
          <w:noProof/>
          <w:color w:val="auto"/>
        </w:rPr>
        <w:fldChar w:fldCharType="end"/>
      </w:r>
      <w:r w:rsidRPr="00A44293">
        <w:rPr>
          <w:color w:val="auto"/>
        </w:rPr>
        <w:t xml:space="preserve"> </w:t>
      </w:r>
      <w:r w:rsidR="00E740B2">
        <w:rPr>
          <w:b w:val="0"/>
          <w:i/>
          <w:color w:val="auto"/>
          <w:sz w:val="20"/>
          <w:szCs w:val="20"/>
        </w:rPr>
        <w:t>Postęp finansowy</w:t>
      </w:r>
      <w:r w:rsidR="00CF33B9" w:rsidRPr="00CF33B9">
        <w:rPr>
          <w:b w:val="0"/>
          <w:i/>
          <w:color w:val="auto"/>
          <w:sz w:val="20"/>
          <w:szCs w:val="20"/>
        </w:rPr>
        <w:t xml:space="preserve"> priorytetu V</w:t>
      </w:r>
      <w:bookmarkEnd w:id="399"/>
    </w:p>
    <w:p w14:paraId="6B4730D6" w14:textId="46AF0F92" w:rsidR="004A566F" w:rsidRPr="004A566F" w:rsidRDefault="004A566F" w:rsidP="004A566F">
      <w:r w:rsidRPr="00B0267C">
        <w:t xml:space="preserve">Poniżej przedstawiono </w:t>
      </w:r>
      <w:r>
        <w:t xml:space="preserve">realizacje priorytetu w podziale </w:t>
      </w:r>
      <w:r w:rsidRPr="00B0267C">
        <w:t>na działania.</w:t>
      </w:r>
    </w:p>
    <w:p w14:paraId="5054159D" w14:textId="14D9898A" w:rsidR="004A566F" w:rsidRPr="004A566F" w:rsidRDefault="004D7598" w:rsidP="004D7598">
      <w:pPr>
        <w:pStyle w:val="Legenda"/>
      </w:pPr>
      <w:bookmarkStart w:id="400" w:name="_Toc476131808"/>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25</w:t>
      </w:r>
      <w:r w:rsidR="00A44293" w:rsidRPr="00A44293">
        <w:rPr>
          <w:noProof/>
          <w:color w:val="auto"/>
        </w:rPr>
        <w:fldChar w:fldCharType="end"/>
      </w:r>
      <w:r>
        <w:t xml:space="preserve"> </w:t>
      </w:r>
      <w:r w:rsidR="004A566F">
        <w:rPr>
          <w:b w:val="0"/>
          <w:i/>
          <w:color w:val="auto"/>
          <w:sz w:val="20"/>
          <w:szCs w:val="20"/>
        </w:rPr>
        <w:t xml:space="preserve">Postęp </w:t>
      </w:r>
      <w:r w:rsidR="009E3592">
        <w:rPr>
          <w:b w:val="0"/>
          <w:i/>
          <w:color w:val="auto"/>
          <w:sz w:val="20"/>
          <w:szCs w:val="20"/>
        </w:rPr>
        <w:t>finansowy</w:t>
      </w:r>
      <w:r w:rsidR="004A566F">
        <w:rPr>
          <w:b w:val="0"/>
          <w:i/>
          <w:color w:val="auto"/>
          <w:sz w:val="20"/>
          <w:szCs w:val="20"/>
        </w:rPr>
        <w:t xml:space="preserve"> priorytetu </w:t>
      </w:r>
      <w:r w:rsidR="004A566F" w:rsidRPr="00C50E84">
        <w:rPr>
          <w:b w:val="0"/>
          <w:i/>
          <w:color w:val="auto"/>
          <w:sz w:val="20"/>
          <w:szCs w:val="20"/>
        </w:rPr>
        <w:t>V w podziale na działania</w:t>
      </w:r>
      <w:bookmarkEnd w:id="400"/>
    </w:p>
    <w:tbl>
      <w:tblPr>
        <w:tblStyle w:val="Tabelalisty3akcent6"/>
        <w:tblW w:w="10055" w:type="dxa"/>
        <w:jc w:val="center"/>
        <w:tblLook w:val="04A0" w:firstRow="1" w:lastRow="0" w:firstColumn="1" w:lastColumn="0" w:noHBand="0" w:noVBand="1"/>
      </w:tblPr>
      <w:tblGrid>
        <w:gridCol w:w="983"/>
        <w:gridCol w:w="1380"/>
        <w:gridCol w:w="888"/>
        <w:gridCol w:w="1275"/>
        <w:gridCol w:w="851"/>
        <w:gridCol w:w="1417"/>
        <w:gridCol w:w="851"/>
        <w:gridCol w:w="992"/>
        <w:gridCol w:w="854"/>
        <w:gridCol w:w="951"/>
      </w:tblGrid>
      <w:tr w:rsidR="004A566F" w:rsidRPr="00FE78EC" w14:paraId="30AA179D" w14:textId="77777777" w:rsidTr="00126975">
        <w:trPr>
          <w:cnfStyle w:val="100000000000" w:firstRow="1" w:lastRow="0" w:firstColumn="0" w:lastColumn="0" w:oddVBand="0" w:evenVBand="0" w:oddHBand="0" w:evenHBand="0" w:firstRowFirstColumn="0" w:firstRowLastColumn="0" w:lastRowFirstColumn="0" w:lastRowLastColumn="0"/>
          <w:trHeight w:val="1141"/>
          <w:jc w:val="center"/>
        </w:trPr>
        <w:tc>
          <w:tcPr>
            <w:cnfStyle w:val="001000000100" w:firstRow="0" w:lastRow="0" w:firstColumn="1" w:lastColumn="0" w:oddVBand="0" w:evenVBand="0" w:oddHBand="0" w:evenHBand="0" w:firstRowFirstColumn="1" w:firstRowLastColumn="0" w:lastRowFirstColumn="0" w:lastRowLastColumn="0"/>
            <w:tcW w:w="983" w:type="dxa"/>
            <w:vMerge w:val="restart"/>
            <w:noWrap/>
            <w:textDirection w:val="btLr"/>
            <w:vAlign w:val="center"/>
            <w:hideMark/>
          </w:tcPr>
          <w:p w14:paraId="56B0139E" w14:textId="78743E60" w:rsidR="00FE78EC" w:rsidRPr="00126975" w:rsidRDefault="001D040C" w:rsidP="00126975">
            <w:pPr>
              <w:spacing w:after="0" w:line="240" w:lineRule="auto"/>
              <w:ind w:left="113" w:right="113"/>
              <w:jc w:val="center"/>
              <w:rPr>
                <w:bCs w:val="0"/>
                <w:color w:val="000000"/>
                <w:sz w:val="20"/>
                <w:szCs w:val="20"/>
              </w:rPr>
            </w:pPr>
            <w:r w:rsidRPr="00126975">
              <w:rPr>
                <w:bCs w:val="0"/>
                <w:color w:val="000000"/>
                <w:sz w:val="20"/>
                <w:szCs w:val="20"/>
              </w:rPr>
              <w:t>DZIAŁANIE</w:t>
            </w:r>
          </w:p>
        </w:tc>
        <w:tc>
          <w:tcPr>
            <w:tcW w:w="1380" w:type="dxa"/>
            <w:vMerge w:val="restart"/>
            <w:textDirection w:val="btLr"/>
            <w:vAlign w:val="center"/>
            <w:hideMark/>
          </w:tcPr>
          <w:p w14:paraId="3BED7EF2" w14:textId="28725C09" w:rsidR="00FE78EC" w:rsidRPr="00126975" w:rsidRDefault="001D040C" w:rsidP="00126975">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ALOKACJA MLN EUR</w:t>
            </w:r>
          </w:p>
        </w:tc>
        <w:tc>
          <w:tcPr>
            <w:tcW w:w="2163" w:type="dxa"/>
            <w:gridSpan w:val="2"/>
            <w:vAlign w:val="center"/>
            <w:hideMark/>
          </w:tcPr>
          <w:p w14:paraId="212BEEFF" w14:textId="0CD9641C" w:rsidR="00FE78EC"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WNIOSKI WYBRANE DO DOFINANSOWANIA</w:t>
            </w:r>
          </w:p>
        </w:tc>
        <w:tc>
          <w:tcPr>
            <w:tcW w:w="2268" w:type="dxa"/>
            <w:gridSpan w:val="2"/>
            <w:vAlign w:val="center"/>
            <w:hideMark/>
          </w:tcPr>
          <w:p w14:paraId="2D7C6163" w14:textId="4AFB6D65" w:rsidR="00FE78EC"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KONTRAKTACJA</w:t>
            </w:r>
          </w:p>
        </w:tc>
        <w:tc>
          <w:tcPr>
            <w:tcW w:w="1843" w:type="dxa"/>
            <w:gridSpan w:val="2"/>
            <w:noWrap/>
            <w:vAlign w:val="center"/>
            <w:hideMark/>
          </w:tcPr>
          <w:p w14:paraId="17B0E803" w14:textId="6F4480AD" w:rsidR="00FE78EC"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PŁATNOŚCI</w:t>
            </w:r>
          </w:p>
        </w:tc>
        <w:tc>
          <w:tcPr>
            <w:tcW w:w="1418" w:type="dxa"/>
            <w:gridSpan w:val="2"/>
            <w:noWrap/>
            <w:vAlign w:val="center"/>
            <w:hideMark/>
          </w:tcPr>
          <w:p w14:paraId="78C174C8" w14:textId="2DF165BF" w:rsidR="00FE78EC" w:rsidRPr="00126975" w:rsidRDefault="001D040C"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26975">
              <w:rPr>
                <w:bCs w:val="0"/>
                <w:color w:val="000000"/>
                <w:sz w:val="20"/>
                <w:szCs w:val="20"/>
              </w:rPr>
              <w:t>CERTYFIKACJA</w:t>
            </w:r>
          </w:p>
        </w:tc>
      </w:tr>
      <w:tr w:rsidR="004A566F" w:rsidRPr="00FE78EC" w14:paraId="5E8A03BA" w14:textId="77777777" w:rsidTr="00126975">
        <w:trPr>
          <w:cnfStyle w:val="000000100000" w:firstRow="0" w:lastRow="0" w:firstColumn="0" w:lastColumn="0" w:oddVBand="0" w:evenVBand="0" w:oddHBand="1" w:evenHBand="0" w:firstRowFirstColumn="0" w:firstRowLastColumn="0" w:lastRowFirstColumn="0" w:lastRowLastColumn="0"/>
          <w:trHeight w:val="1009"/>
          <w:jc w:val="center"/>
        </w:trPr>
        <w:tc>
          <w:tcPr>
            <w:cnfStyle w:val="001000000000" w:firstRow="0" w:lastRow="0" w:firstColumn="1" w:lastColumn="0" w:oddVBand="0" w:evenVBand="0" w:oddHBand="0" w:evenHBand="0" w:firstRowFirstColumn="0" w:firstRowLastColumn="0" w:lastRowFirstColumn="0" w:lastRowLastColumn="0"/>
            <w:tcW w:w="983" w:type="dxa"/>
            <w:vMerge/>
            <w:vAlign w:val="center"/>
            <w:hideMark/>
          </w:tcPr>
          <w:p w14:paraId="0858BEBA" w14:textId="77777777" w:rsidR="00FE78EC" w:rsidRPr="00FE78EC" w:rsidRDefault="00FE78EC" w:rsidP="00126975">
            <w:pPr>
              <w:spacing w:after="0" w:line="240" w:lineRule="auto"/>
              <w:jc w:val="center"/>
              <w:rPr>
                <w:b w:val="0"/>
                <w:bCs w:val="0"/>
                <w:color w:val="000000"/>
                <w:sz w:val="20"/>
                <w:szCs w:val="20"/>
              </w:rPr>
            </w:pPr>
          </w:p>
        </w:tc>
        <w:tc>
          <w:tcPr>
            <w:tcW w:w="1380" w:type="dxa"/>
            <w:vMerge/>
            <w:vAlign w:val="center"/>
            <w:hideMark/>
          </w:tcPr>
          <w:p w14:paraId="4F998D22"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888" w:type="dxa"/>
            <w:vAlign w:val="center"/>
            <w:hideMark/>
          </w:tcPr>
          <w:p w14:paraId="50C82798"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mln EUR</w:t>
            </w:r>
          </w:p>
        </w:tc>
        <w:tc>
          <w:tcPr>
            <w:tcW w:w="1275" w:type="dxa"/>
            <w:vAlign w:val="center"/>
            <w:hideMark/>
          </w:tcPr>
          <w:p w14:paraId="29A3CEAF"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w:t>
            </w:r>
          </w:p>
        </w:tc>
        <w:tc>
          <w:tcPr>
            <w:tcW w:w="851" w:type="dxa"/>
            <w:vAlign w:val="center"/>
            <w:hideMark/>
          </w:tcPr>
          <w:p w14:paraId="0C3CC899"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mln EUR</w:t>
            </w:r>
          </w:p>
        </w:tc>
        <w:tc>
          <w:tcPr>
            <w:tcW w:w="1417" w:type="dxa"/>
            <w:vAlign w:val="center"/>
            <w:hideMark/>
          </w:tcPr>
          <w:p w14:paraId="12E851D4"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w:t>
            </w:r>
          </w:p>
        </w:tc>
        <w:tc>
          <w:tcPr>
            <w:tcW w:w="851" w:type="dxa"/>
            <w:vAlign w:val="center"/>
            <w:hideMark/>
          </w:tcPr>
          <w:p w14:paraId="7597E6FD"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mln EUR</w:t>
            </w:r>
          </w:p>
        </w:tc>
        <w:tc>
          <w:tcPr>
            <w:tcW w:w="992" w:type="dxa"/>
            <w:vAlign w:val="center"/>
            <w:hideMark/>
          </w:tcPr>
          <w:p w14:paraId="5F8561DB"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w:t>
            </w:r>
          </w:p>
        </w:tc>
        <w:tc>
          <w:tcPr>
            <w:tcW w:w="709" w:type="dxa"/>
            <w:vAlign w:val="center"/>
            <w:hideMark/>
          </w:tcPr>
          <w:p w14:paraId="1B0808C5"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mln EUR</w:t>
            </w:r>
          </w:p>
        </w:tc>
        <w:tc>
          <w:tcPr>
            <w:tcW w:w="709" w:type="dxa"/>
            <w:vAlign w:val="center"/>
            <w:hideMark/>
          </w:tcPr>
          <w:p w14:paraId="1E452ADC"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FE78EC">
              <w:rPr>
                <w:b/>
                <w:bCs/>
                <w:sz w:val="20"/>
                <w:szCs w:val="20"/>
              </w:rPr>
              <w:t>%</w:t>
            </w:r>
          </w:p>
        </w:tc>
      </w:tr>
      <w:tr w:rsidR="004A566F" w:rsidRPr="00FE78EC" w14:paraId="76CCA66A" w14:textId="77777777" w:rsidTr="00126975">
        <w:trPr>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6FBDCD2F" w14:textId="77777777" w:rsidR="00FE78EC" w:rsidRPr="00FE78EC" w:rsidRDefault="00FE78EC" w:rsidP="00126975">
            <w:pPr>
              <w:spacing w:after="0" w:line="240" w:lineRule="auto"/>
              <w:jc w:val="center"/>
              <w:rPr>
                <w:b w:val="0"/>
                <w:bCs w:val="0"/>
                <w:color w:val="000000"/>
                <w:sz w:val="20"/>
                <w:szCs w:val="20"/>
              </w:rPr>
            </w:pPr>
            <w:r w:rsidRPr="00FE78EC">
              <w:rPr>
                <w:b w:val="0"/>
                <w:bCs w:val="0"/>
                <w:color w:val="000000"/>
                <w:sz w:val="20"/>
                <w:szCs w:val="20"/>
              </w:rPr>
              <w:t>5.1</w:t>
            </w:r>
          </w:p>
        </w:tc>
        <w:tc>
          <w:tcPr>
            <w:tcW w:w="1380" w:type="dxa"/>
            <w:noWrap/>
            <w:vAlign w:val="center"/>
            <w:hideMark/>
          </w:tcPr>
          <w:p w14:paraId="5F758360" w14:textId="1CDB7C57"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78,25 </w:t>
            </w:r>
          </w:p>
        </w:tc>
        <w:tc>
          <w:tcPr>
            <w:tcW w:w="888" w:type="dxa"/>
            <w:noWrap/>
            <w:vAlign w:val="center"/>
            <w:hideMark/>
          </w:tcPr>
          <w:p w14:paraId="3A3DEB18"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113,28</w:t>
            </w:r>
          </w:p>
        </w:tc>
        <w:tc>
          <w:tcPr>
            <w:tcW w:w="1275" w:type="dxa"/>
            <w:noWrap/>
            <w:vAlign w:val="center"/>
            <w:hideMark/>
          </w:tcPr>
          <w:p w14:paraId="7470BCCD"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145,06</w:t>
            </w:r>
          </w:p>
        </w:tc>
        <w:tc>
          <w:tcPr>
            <w:tcW w:w="851" w:type="dxa"/>
            <w:noWrap/>
            <w:vAlign w:val="center"/>
            <w:hideMark/>
          </w:tcPr>
          <w:p w14:paraId="2407F072"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81,84</w:t>
            </w:r>
          </w:p>
        </w:tc>
        <w:tc>
          <w:tcPr>
            <w:tcW w:w="1417" w:type="dxa"/>
            <w:noWrap/>
            <w:vAlign w:val="center"/>
            <w:hideMark/>
          </w:tcPr>
          <w:p w14:paraId="5FA01583"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104,80</w:t>
            </w:r>
          </w:p>
        </w:tc>
        <w:tc>
          <w:tcPr>
            <w:tcW w:w="851" w:type="dxa"/>
            <w:noWrap/>
            <w:vAlign w:val="center"/>
            <w:hideMark/>
          </w:tcPr>
          <w:p w14:paraId="1B66231A"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75,34</w:t>
            </w:r>
          </w:p>
        </w:tc>
        <w:tc>
          <w:tcPr>
            <w:tcW w:w="992" w:type="dxa"/>
            <w:noWrap/>
            <w:vAlign w:val="center"/>
            <w:hideMark/>
          </w:tcPr>
          <w:p w14:paraId="385D4E20"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96,48</w:t>
            </w:r>
          </w:p>
        </w:tc>
        <w:tc>
          <w:tcPr>
            <w:tcW w:w="709" w:type="dxa"/>
            <w:vAlign w:val="center"/>
            <w:hideMark/>
          </w:tcPr>
          <w:p w14:paraId="6E8AE582" w14:textId="2B3DDF30"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74,59 </w:t>
            </w:r>
          </w:p>
        </w:tc>
        <w:tc>
          <w:tcPr>
            <w:tcW w:w="709" w:type="dxa"/>
            <w:noWrap/>
            <w:vAlign w:val="center"/>
            <w:hideMark/>
          </w:tcPr>
          <w:p w14:paraId="61939BCB" w14:textId="7FA7F625"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95,30 </w:t>
            </w:r>
          </w:p>
        </w:tc>
      </w:tr>
      <w:tr w:rsidR="004A566F" w:rsidRPr="00FE78EC" w14:paraId="56445630" w14:textId="77777777" w:rsidTr="001269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24193163" w14:textId="77777777" w:rsidR="00FE78EC" w:rsidRPr="00FE78EC" w:rsidRDefault="00FE78EC" w:rsidP="00126975">
            <w:pPr>
              <w:spacing w:after="0" w:line="240" w:lineRule="auto"/>
              <w:jc w:val="center"/>
              <w:rPr>
                <w:b w:val="0"/>
                <w:bCs w:val="0"/>
                <w:color w:val="000000"/>
                <w:sz w:val="20"/>
                <w:szCs w:val="20"/>
              </w:rPr>
            </w:pPr>
            <w:r w:rsidRPr="00FE78EC">
              <w:rPr>
                <w:b w:val="0"/>
                <w:bCs w:val="0"/>
                <w:color w:val="000000"/>
                <w:sz w:val="20"/>
                <w:szCs w:val="20"/>
              </w:rPr>
              <w:t>5.2</w:t>
            </w:r>
          </w:p>
        </w:tc>
        <w:tc>
          <w:tcPr>
            <w:tcW w:w="1380" w:type="dxa"/>
            <w:noWrap/>
            <w:vAlign w:val="center"/>
            <w:hideMark/>
          </w:tcPr>
          <w:p w14:paraId="7588669F" w14:textId="78B9FCD3" w:rsidR="00FE78EC" w:rsidRPr="00FE78EC" w:rsidRDefault="00E2475D"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23,10 </w:t>
            </w:r>
          </w:p>
        </w:tc>
        <w:tc>
          <w:tcPr>
            <w:tcW w:w="888" w:type="dxa"/>
            <w:noWrap/>
            <w:vAlign w:val="center"/>
            <w:hideMark/>
          </w:tcPr>
          <w:p w14:paraId="0CD5E2CB"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29,32</w:t>
            </w:r>
          </w:p>
        </w:tc>
        <w:tc>
          <w:tcPr>
            <w:tcW w:w="1275" w:type="dxa"/>
            <w:noWrap/>
            <w:vAlign w:val="center"/>
            <w:hideMark/>
          </w:tcPr>
          <w:p w14:paraId="046A3122"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120,41</w:t>
            </w:r>
          </w:p>
        </w:tc>
        <w:tc>
          <w:tcPr>
            <w:tcW w:w="851" w:type="dxa"/>
            <w:noWrap/>
            <w:vAlign w:val="center"/>
            <w:hideMark/>
          </w:tcPr>
          <w:p w14:paraId="78EB9F58"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22,95</w:t>
            </w:r>
          </w:p>
        </w:tc>
        <w:tc>
          <w:tcPr>
            <w:tcW w:w="1417" w:type="dxa"/>
            <w:noWrap/>
            <w:vAlign w:val="center"/>
            <w:hideMark/>
          </w:tcPr>
          <w:p w14:paraId="024CE371"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94,25</w:t>
            </w:r>
          </w:p>
        </w:tc>
        <w:tc>
          <w:tcPr>
            <w:tcW w:w="851" w:type="dxa"/>
            <w:noWrap/>
            <w:vAlign w:val="center"/>
            <w:hideMark/>
          </w:tcPr>
          <w:p w14:paraId="5ABE0BE3"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22,12</w:t>
            </w:r>
          </w:p>
        </w:tc>
        <w:tc>
          <w:tcPr>
            <w:tcW w:w="992" w:type="dxa"/>
            <w:noWrap/>
            <w:vAlign w:val="center"/>
            <w:hideMark/>
          </w:tcPr>
          <w:p w14:paraId="47DAF941"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90,84</w:t>
            </w:r>
          </w:p>
        </w:tc>
        <w:tc>
          <w:tcPr>
            <w:tcW w:w="709" w:type="dxa"/>
            <w:vAlign w:val="center"/>
            <w:hideMark/>
          </w:tcPr>
          <w:p w14:paraId="369911C6" w14:textId="122519B3" w:rsidR="00FE78EC" w:rsidRPr="00FE78EC" w:rsidRDefault="00E2475D"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22,23 </w:t>
            </w:r>
          </w:p>
        </w:tc>
        <w:tc>
          <w:tcPr>
            <w:tcW w:w="709" w:type="dxa"/>
            <w:noWrap/>
            <w:vAlign w:val="center"/>
            <w:hideMark/>
          </w:tcPr>
          <w:p w14:paraId="294BA6A2" w14:textId="3457A2FF" w:rsidR="00FE78EC" w:rsidRPr="00FE78EC" w:rsidRDefault="00E2475D"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96,26 </w:t>
            </w:r>
          </w:p>
        </w:tc>
      </w:tr>
      <w:tr w:rsidR="004A566F" w:rsidRPr="00FE78EC" w14:paraId="22B84730" w14:textId="77777777" w:rsidTr="00126975">
        <w:trPr>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16AB5844" w14:textId="77777777" w:rsidR="00FE78EC" w:rsidRPr="00FE78EC" w:rsidRDefault="00FE78EC" w:rsidP="00126975">
            <w:pPr>
              <w:spacing w:after="0" w:line="240" w:lineRule="auto"/>
              <w:jc w:val="center"/>
              <w:rPr>
                <w:b w:val="0"/>
                <w:bCs w:val="0"/>
                <w:color w:val="000000"/>
                <w:sz w:val="20"/>
                <w:szCs w:val="20"/>
              </w:rPr>
            </w:pPr>
            <w:r w:rsidRPr="00FE78EC">
              <w:rPr>
                <w:b w:val="0"/>
                <w:bCs w:val="0"/>
                <w:color w:val="000000"/>
                <w:sz w:val="20"/>
                <w:szCs w:val="20"/>
              </w:rPr>
              <w:t>5.3</w:t>
            </w:r>
          </w:p>
        </w:tc>
        <w:tc>
          <w:tcPr>
            <w:tcW w:w="1380" w:type="dxa"/>
            <w:noWrap/>
            <w:vAlign w:val="center"/>
            <w:hideMark/>
          </w:tcPr>
          <w:p w14:paraId="4665E099" w14:textId="2114E89B"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69,00 </w:t>
            </w:r>
          </w:p>
        </w:tc>
        <w:tc>
          <w:tcPr>
            <w:tcW w:w="888" w:type="dxa"/>
            <w:noWrap/>
            <w:vAlign w:val="center"/>
            <w:hideMark/>
          </w:tcPr>
          <w:p w14:paraId="4D663AC1"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94,48</w:t>
            </w:r>
          </w:p>
        </w:tc>
        <w:tc>
          <w:tcPr>
            <w:tcW w:w="1275" w:type="dxa"/>
            <w:noWrap/>
            <w:vAlign w:val="center"/>
            <w:hideMark/>
          </w:tcPr>
          <w:p w14:paraId="65E8CA8A"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139,06</w:t>
            </w:r>
          </w:p>
        </w:tc>
        <w:tc>
          <w:tcPr>
            <w:tcW w:w="851" w:type="dxa"/>
            <w:noWrap/>
            <w:vAlign w:val="center"/>
            <w:hideMark/>
          </w:tcPr>
          <w:p w14:paraId="2EAEF477"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71,15</w:t>
            </w:r>
          </w:p>
        </w:tc>
        <w:tc>
          <w:tcPr>
            <w:tcW w:w="1417" w:type="dxa"/>
            <w:noWrap/>
            <w:vAlign w:val="center"/>
            <w:hideMark/>
          </w:tcPr>
          <w:p w14:paraId="08E53507"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104,72</w:t>
            </w:r>
          </w:p>
        </w:tc>
        <w:tc>
          <w:tcPr>
            <w:tcW w:w="851" w:type="dxa"/>
            <w:noWrap/>
            <w:vAlign w:val="center"/>
            <w:hideMark/>
          </w:tcPr>
          <w:p w14:paraId="5C2FFF12"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69,41</w:t>
            </w:r>
          </w:p>
        </w:tc>
        <w:tc>
          <w:tcPr>
            <w:tcW w:w="992" w:type="dxa"/>
            <w:noWrap/>
            <w:vAlign w:val="center"/>
            <w:hideMark/>
          </w:tcPr>
          <w:p w14:paraId="385931DA"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102,16</w:t>
            </w:r>
          </w:p>
        </w:tc>
        <w:tc>
          <w:tcPr>
            <w:tcW w:w="709" w:type="dxa"/>
            <w:vAlign w:val="center"/>
            <w:hideMark/>
          </w:tcPr>
          <w:p w14:paraId="50DA49A4" w14:textId="3A2C3F3A"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72,53 </w:t>
            </w:r>
          </w:p>
        </w:tc>
        <w:tc>
          <w:tcPr>
            <w:tcW w:w="709" w:type="dxa"/>
            <w:noWrap/>
            <w:vAlign w:val="center"/>
            <w:hideMark/>
          </w:tcPr>
          <w:p w14:paraId="6148036D" w14:textId="4E826165"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105,12 </w:t>
            </w:r>
          </w:p>
        </w:tc>
      </w:tr>
      <w:tr w:rsidR="004A566F" w:rsidRPr="00FE78EC" w14:paraId="71652648" w14:textId="77777777" w:rsidTr="00126975">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128FC712" w14:textId="77777777" w:rsidR="00FE78EC" w:rsidRPr="00FE78EC" w:rsidRDefault="00FE78EC" w:rsidP="00126975">
            <w:pPr>
              <w:spacing w:after="0" w:line="240" w:lineRule="auto"/>
              <w:jc w:val="center"/>
              <w:rPr>
                <w:b w:val="0"/>
                <w:bCs w:val="0"/>
                <w:color w:val="000000"/>
                <w:sz w:val="20"/>
                <w:szCs w:val="20"/>
              </w:rPr>
            </w:pPr>
            <w:r w:rsidRPr="00FE78EC">
              <w:rPr>
                <w:b w:val="0"/>
                <w:bCs w:val="0"/>
                <w:color w:val="000000"/>
                <w:sz w:val="20"/>
                <w:szCs w:val="20"/>
              </w:rPr>
              <w:t>5.4</w:t>
            </w:r>
          </w:p>
        </w:tc>
        <w:tc>
          <w:tcPr>
            <w:tcW w:w="1380" w:type="dxa"/>
            <w:noWrap/>
            <w:vAlign w:val="center"/>
            <w:hideMark/>
          </w:tcPr>
          <w:p w14:paraId="30D4ADB8"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FE78EC">
              <w:rPr>
                <w:sz w:val="20"/>
                <w:szCs w:val="20"/>
              </w:rPr>
              <w:t>4,25</w:t>
            </w:r>
          </w:p>
        </w:tc>
        <w:tc>
          <w:tcPr>
            <w:tcW w:w="888" w:type="dxa"/>
            <w:noWrap/>
            <w:vAlign w:val="center"/>
            <w:hideMark/>
          </w:tcPr>
          <w:p w14:paraId="6A193DD0"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5,22</w:t>
            </w:r>
          </w:p>
        </w:tc>
        <w:tc>
          <w:tcPr>
            <w:tcW w:w="1275" w:type="dxa"/>
            <w:noWrap/>
            <w:vAlign w:val="center"/>
            <w:hideMark/>
          </w:tcPr>
          <w:p w14:paraId="656549D3"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122,82</w:t>
            </w:r>
          </w:p>
        </w:tc>
        <w:tc>
          <w:tcPr>
            <w:tcW w:w="851" w:type="dxa"/>
            <w:noWrap/>
            <w:vAlign w:val="center"/>
            <w:hideMark/>
          </w:tcPr>
          <w:p w14:paraId="79CE07C1"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3,81</w:t>
            </w:r>
          </w:p>
        </w:tc>
        <w:tc>
          <w:tcPr>
            <w:tcW w:w="1417" w:type="dxa"/>
            <w:noWrap/>
            <w:vAlign w:val="center"/>
            <w:hideMark/>
          </w:tcPr>
          <w:p w14:paraId="700C6ABA"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89,65</w:t>
            </w:r>
          </w:p>
        </w:tc>
        <w:tc>
          <w:tcPr>
            <w:tcW w:w="851" w:type="dxa"/>
            <w:noWrap/>
            <w:vAlign w:val="center"/>
            <w:hideMark/>
          </w:tcPr>
          <w:p w14:paraId="276745E7"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3,81</w:t>
            </w:r>
          </w:p>
        </w:tc>
        <w:tc>
          <w:tcPr>
            <w:tcW w:w="992" w:type="dxa"/>
            <w:noWrap/>
            <w:vAlign w:val="center"/>
            <w:hideMark/>
          </w:tcPr>
          <w:p w14:paraId="3FF16AC9" w14:textId="77777777" w:rsidR="00FE78EC" w:rsidRPr="00FE78EC" w:rsidRDefault="00FE78EC"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E78EC">
              <w:rPr>
                <w:color w:val="000000"/>
                <w:sz w:val="20"/>
                <w:szCs w:val="20"/>
              </w:rPr>
              <w:t>89,65</w:t>
            </w:r>
          </w:p>
        </w:tc>
        <w:tc>
          <w:tcPr>
            <w:tcW w:w="709" w:type="dxa"/>
            <w:vAlign w:val="center"/>
            <w:hideMark/>
          </w:tcPr>
          <w:p w14:paraId="2B9A7FE1" w14:textId="6349CA13" w:rsidR="00FE78EC" w:rsidRPr="00FE78EC" w:rsidRDefault="00E2475D"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4,0</w:t>
            </w:r>
            <w:r w:rsidR="00710E9D">
              <w:rPr>
                <w:sz w:val="20"/>
                <w:szCs w:val="20"/>
              </w:rPr>
              <w:t>1</w:t>
            </w:r>
          </w:p>
        </w:tc>
        <w:tc>
          <w:tcPr>
            <w:tcW w:w="709" w:type="dxa"/>
            <w:noWrap/>
            <w:vAlign w:val="center"/>
            <w:hideMark/>
          </w:tcPr>
          <w:p w14:paraId="6128B2ED" w14:textId="20DA1771" w:rsidR="00FE78EC" w:rsidRPr="00FE78EC" w:rsidRDefault="00E2475D"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 94,29</w:t>
            </w:r>
          </w:p>
        </w:tc>
      </w:tr>
      <w:tr w:rsidR="004A566F" w:rsidRPr="00FE78EC" w14:paraId="43D08B5D" w14:textId="77777777" w:rsidTr="00126975">
        <w:trPr>
          <w:trHeight w:val="330"/>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507A7F7B" w14:textId="77777777" w:rsidR="00FE78EC" w:rsidRPr="00FE78EC" w:rsidRDefault="00FE78EC" w:rsidP="00126975">
            <w:pPr>
              <w:spacing w:after="0" w:line="240" w:lineRule="auto"/>
              <w:jc w:val="center"/>
              <w:rPr>
                <w:b w:val="0"/>
                <w:bCs w:val="0"/>
                <w:color w:val="000000"/>
                <w:sz w:val="20"/>
                <w:szCs w:val="20"/>
              </w:rPr>
            </w:pPr>
            <w:r w:rsidRPr="00FE78EC">
              <w:rPr>
                <w:b w:val="0"/>
                <w:bCs w:val="0"/>
                <w:color w:val="000000"/>
                <w:sz w:val="20"/>
                <w:szCs w:val="20"/>
              </w:rPr>
              <w:t>5.5</w:t>
            </w:r>
          </w:p>
        </w:tc>
        <w:tc>
          <w:tcPr>
            <w:tcW w:w="1380" w:type="dxa"/>
            <w:noWrap/>
            <w:vAlign w:val="center"/>
            <w:hideMark/>
          </w:tcPr>
          <w:p w14:paraId="06797E1C"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FE78EC">
              <w:rPr>
                <w:sz w:val="20"/>
                <w:szCs w:val="20"/>
              </w:rPr>
              <w:t>6,04</w:t>
            </w:r>
          </w:p>
        </w:tc>
        <w:tc>
          <w:tcPr>
            <w:tcW w:w="888" w:type="dxa"/>
            <w:noWrap/>
            <w:vAlign w:val="center"/>
            <w:hideMark/>
          </w:tcPr>
          <w:p w14:paraId="7DE7A546"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5,81</w:t>
            </w:r>
          </w:p>
        </w:tc>
        <w:tc>
          <w:tcPr>
            <w:tcW w:w="1275" w:type="dxa"/>
            <w:noWrap/>
            <w:vAlign w:val="center"/>
            <w:hideMark/>
          </w:tcPr>
          <w:p w14:paraId="3ABC7BF8"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96,19</w:t>
            </w:r>
          </w:p>
        </w:tc>
        <w:tc>
          <w:tcPr>
            <w:tcW w:w="851" w:type="dxa"/>
            <w:noWrap/>
            <w:vAlign w:val="center"/>
            <w:hideMark/>
          </w:tcPr>
          <w:p w14:paraId="6BECB793"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5,34</w:t>
            </w:r>
          </w:p>
        </w:tc>
        <w:tc>
          <w:tcPr>
            <w:tcW w:w="1417" w:type="dxa"/>
            <w:noWrap/>
            <w:vAlign w:val="center"/>
            <w:hideMark/>
          </w:tcPr>
          <w:p w14:paraId="734B847A"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88,41</w:t>
            </w:r>
          </w:p>
        </w:tc>
        <w:tc>
          <w:tcPr>
            <w:tcW w:w="851" w:type="dxa"/>
            <w:noWrap/>
            <w:vAlign w:val="center"/>
            <w:hideMark/>
          </w:tcPr>
          <w:p w14:paraId="332622C0"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5,06</w:t>
            </w:r>
          </w:p>
        </w:tc>
        <w:tc>
          <w:tcPr>
            <w:tcW w:w="992" w:type="dxa"/>
            <w:noWrap/>
            <w:vAlign w:val="center"/>
            <w:hideMark/>
          </w:tcPr>
          <w:p w14:paraId="590FDEEA" w14:textId="77777777" w:rsidR="00FE78EC" w:rsidRPr="00FE78EC" w:rsidRDefault="00FE78EC"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FE78EC">
              <w:rPr>
                <w:color w:val="000000"/>
                <w:sz w:val="20"/>
                <w:szCs w:val="20"/>
              </w:rPr>
              <w:t>83,77</w:t>
            </w:r>
          </w:p>
        </w:tc>
        <w:tc>
          <w:tcPr>
            <w:tcW w:w="709" w:type="dxa"/>
            <w:vAlign w:val="center"/>
            <w:hideMark/>
          </w:tcPr>
          <w:p w14:paraId="50E79591" w14:textId="69C20A0A"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5,23 </w:t>
            </w:r>
          </w:p>
        </w:tc>
        <w:tc>
          <w:tcPr>
            <w:tcW w:w="709" w:type="dxa"/>
            <w:noWrap/>
            <w:vAlign w:val="center"/>
            <w:hideMark/>
          </w:tcPr>
          <w:p w14:paraId="5F61BE5B" w14:textId="5408001E" w:rsidR="00FE78EC" w:rsidRPr="00FE78EC" w:rsidRDefault="00E2475D"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86,58 </w:t>
            </w:r>
          </w:p>
        </w:tc>
      </w:tr>
    </w:tbl>
    <w:p w14:paraId="53642149" w14:textId="77777777" w:rsidR="00FE78EC" w:rsidRPr="00FE78EC" w:rsidRDefault="00FE78EC" w:rsidP="00FE78EC"/>
    <w:p w14:paraId="2D472723" w14:textId="77777777" w:rsidR="001D040C" w:rsidRDefault="001D040C" w:rsidP="0094320D">
      <w:pPr>
        <w:spacing w:after="120"/>
        <w:contextualSpacing/>
        <w:jc w:val="both"/>
        <w:rPr>
          <w:b/>
          <w:szCs w:val="24"/>
        </w:rPr>
      </w:pPr>
    </w:p>
    <w:p w14:paraId="2973A13D" w14:textId="77777777" w:rsidR="00352BDC" w:rsidRPr="0094320D" w:rsidRDefault="00352BDC" w:rsidP="0094320D">
      <w:pPr>
        <w:spacing w:after="120"/>
        <w:contextualSpacing/>
        <w:jc w:val="both"/>
        <w:rPr>
          <w:b/>
          <w:szCs w:val="24"/>
        </w:rPr>
      </w:pPr>
      <w:r w:rsidRPr="0094320D">
        <w:rPr>
          <w:b/>
          <w:szCs w:val="24"/>
        </w:rPr>
        <w:t>Projekty kluczowe</w:t>
      </w:r>
    </w:p>
    <w:p w14:paraId="53FD5DDA" w14:textId="4AB030D4" w:rsidR="00352BDC" w:rsidRDefault="00352BDC" w:rsidP="0094320D">
      <w:pPr>
        <w:spacing w:after="120"/>
        <w:contextualSpacing/>
        <w:jc w:val="both"/>
        <w:rPr>
          <w:i/>
          <w:szCs w:val="24"/>
          <w:lang w:eastAsia="ar-SA"/>
        </w:rPr>
      </w:pPr>
      <w:r w:rsidRPr="0094320D">
        <w:rPr>
          <w:szCs w:val="24"/>
        </w:rPr>
        <w:t xml:space="preserve">W ramach priorytetu realizowany </w:t>
      </w:r>
      <w:r w:rsidR="002D6745">
        <w:rPr>
          <w:szCs w:val="24"/>
        </w:rPr>
        <w:t>był</w:t>
      </w:r>
      <w:r w:rsidRPr="0094320D">
        <w:rPr>
          <w:szCs w:val="24"/>
        </w:rPr>
        <w:t xml:space="preserve"> jeden projekt kluczowy </w:t>
      </w:r>
      <w:r w:rsidRPr="0094320D">
        <w:rPr>
          <w:i/>
          <w:szCs w:val="24"/>
        </w:rPr>
        <w:t xml:space="preserve">Infrastruktura okołolotniskowa Międzynarodowego Portu Lotniczego Katowice w Pyrzowicach. </w:t>
      </w:r>
      <w:r w:rsidRPr="0094320D">
        <w:rPr>
          <w:szCs w:val="24"/>
          <w:lang w:eastAsia="ar-SA"/>
        </w:rPr>
        <w:t xml:space="preserve">Szczegółowe informacje dot. projektów </w:t>
      </w:r>
      <w:r w:rsidR="00AD7424">
        <w:rPr>
          <w:szCs w:val="24"/>
          <w:lang w:eastAsia="ar-SA"/>
        </w:rPr>
        <w:t xml:space="preserve">kluczowych </w:t>
      </w:r>
      <w:r w:rsidRPr="0094320D">
        <w:rPr>
          <w:szCs w:val="24"/>
          <w:lang w:eastAsia="ar-SA"/>
        </w:rPr>
        <w:t xml:space="preserve">zostały przedstawione w załączniku nr XII do </w:t>
      </w:r>
      <w:r w:rsidRPr="0094320D">
        <w:rPr>
          <w:i/>
          <w:szCs w:val="24"/>
          <w:lang w:eastAsia="ar-SA"/>
        </w:rPr>
        <w:t>Sprawozdania.</w:t>
      </w:r>
    </w:p>
    <w:p w14:paraId="121B4369" w14:textId="77777777" w:rsidR="002D6745" w:rsidRPr="0094320D" w:rsidRDefault="002D6745" w:rsidP="0094320D">
      <w:pPr>
        <w:spacing w:after="120"/>
        <w:contextualSpacing/>
        <w:jc w:val="both"/>
        <w:rPr>
          <w:b/>
          <w:i/>
          <w:color w:val="00B050"/>
          <w:szCs w:val="24"/>
        </w:rPr>
      </w:pPr>
    </w:p>
    <w:p w14:paraId="1FAA3868" w14:textId="77777777" w:rsidR="00352BDC" w:rsidRPr="0094320D" w:rsidRDefault="00352BDC" w:rsidP="0094320D">
      <w:pPr>
        <w:spacing w:after="120"/>
        <w:contextualSpacing/>
        <w:jc w:val="both"/>
        <w:rPr>
          <w:b/>
          <w:szCs w:val="24"/>
          <w:lang w:eastAsia="ar-SA"/>
        </w:rPr>
      </w:pPr>
      <w:r w:rsidRPr="0094320D">
        <w:rPr>
          <w:b/>
          <w:szCs w:val="24"/>
          <w:lang w:eastAsia="ar-SA"/>
        </w:rPr>
        <w:t>Harmonogram konkursów</w:t>
      </w:r>
    </w:p>
    <w:p w14:paraId="37D91BB1" w14:textId="23A3B4CE" w:rsidR="004E6046" w:rsidRPr="00B8015D" w:rsidRDefault="00352BDC" w:rsidP="00B8015D">
      <w:pPr>
        <w:spacing w:after="120"/>
        <w:jc w:val="both"/>
        <w:rPr>
          <w:b/>
          <w:color w:val="00B050"/>
          <w:szCs w:val="24"/>
          <w:lang w:eastAsia="ar-SA"/>
        </w:rPr>
      </w:pPr>
      <w:r w:rsidRPr="0094320D">
        <w:rPr>
          <w:szCs w:val="24"/>
        </w:rPr>
        <w:t xml:space="preserve">W </w:t>
      </w:r>
      <w:r w:rsidR="00AD7424">
        <w:rPr>
          <w:szCs w:val="24"/>
        </w:rPr>
        <w:t>priorytecie V</w:t>
      </w:r>
      <w:r w:rsidRPr="0094320D">
        <w:rPr>
          <w:szCs w:val="24"/>
        </w:rPr>
        <w:t xml:space="preserve"> zostało ogłoszonych 9 konkursów na kwotę 124,34 mln EUR.</w:t>
      </w:r>
    </w:p>
    <w:p w14:paraId="38F4634E" w14:textId="77777777" w:rsidR="004E6046" w:rsidRDefault="004E6046" w:rsidP="004E6046">
      <w:pPr>
        <w:spacing w:before="120" w:after="240"/>
        <w:contextualSpacing/>
        <w:jc w:val="both"/>
        <w:rPr>
          <w:b/>
          <w:szCs w:val="24"/>
          <w:lang w:eastAsia="ar-SA"/>
        </w:rPr>
      </w:pPr>
      <w:r w:rsidRPr="0094320D">
        <w:rPr>
          <w:b/>
          <w:szCs w:val="24"/>
          <w:lang w:eastAsia="ar-SA"/>
        </w:rPr>
        <w:t>Rozkład projektów</w:t>
      </w:r>
    </w:p>
    <w:p w14:paraId="12927497" w14:textId="5CACAE3A" w:rsidR="004E6046" w:rsidRDefault="004E6046" w:rsidP="004E6046">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w:t>
      </w:r>
      <w:r w:rsidRPr="00D90934">
        <w:rPr>
          <w:szCs w:val="24"/>
          <w:lang w:eastAsia="ar-SA"/>
        </w:rPr>
        <w:t>w przypadkach braku danych w KS</w:t>
      </w:r>
      <w:r>
        <w:rPr>
          <w:szCs w:val="24"/>
          <w:lang w:eastAsia="ar-SA"/>
        </w:rPr>
        <w:t>I dane pochodzą z LSI.</w:t>
      </w:r>
    </w:p>
    <w:p w14:paraId="0956A961" w14:textId="77777777" w:rsidR="00126975" w:rsidRPr="004E6046" w:rsidRDefault="00126975" w:rsidP="004E6046">
      <w:pPr>
        <w:pStyle w:val="Akapitzlist"/>
        <w:spacing w:before="120" w:after="240"/>
        <w:ind w:left="0"/>
        <w:jc w:val="both"/>
        <w:rPr>
          <w:szCs w:val="24"/>
          <w:lang w:eastAsia="ar-SA"/>
        </w:rPr>
      </w:pPr>
    </w:p>
    <w:p w14:paraId="178F82C0" w14:textId="77777777" w:rsidR="004E6046" w:rsidRPr="00126975" w:rsidRDefault="004E6046" w:rsidP="00126975">
      <w:pPr>
        <w:pStyle w:val="Akapitzlist"/>
        <w:numPr>
          <w:ilvl w:val="0"/>
          <w:numId w:val="101"/>
        </w:numPr>
        <w:spacing w:before="240" w:after="240"/>
        <w:jc w:val="both"/>
        <w:rPr>
          <w:b/>
          <w:szCs w:val="24"/>
          <w:lang w:eastAsia="ar-SA"/>
        </w:rPr>
      </w:pPr>
      <w:r w:rsidRPr="00126975">
        <w:rPr>
          <w:b/>
          <w:szCs w:val="24"/>
          <w:lang w:eastAsia="ar-SA"/>
        </w:rPr>
        <w:t>Projekty w podziale na sektory gospodarki</w:t>
      </w:r>
    </w:p>
    <w:p w14:paraId="3D8F86D1" w14:textId="38F4F07C" w:rsidR="00AD7424" w:rsidRPr="0005532E" w:rsidRDefault="004E6046" w:rsidP="004E6046">
      <w:pPr>
        <w:spacing w:before="240" w:after="240"/>
        <w:contextualSpacing/>
        <w:jc w:val="both"/>
        <w:rPr>
          <w:szCs w:val="24"/>
          <w:lang w:eastAsia="ar-SA"/>
        </w:rPr>
      </w:pPr>
      <w:r>
        <w:rPr>
          <w:szCs w:val="24"/>
          <w:lang w:eastAsia="ar-SA"/>
        </w:rPr>
        <w:t>W ramach przedmiotowego priorytetu, nie są realizowane pro</w:t>
      </w:r>
      <w:r w:rsidR="00B8015D">
        <w:rPr>
          <w:szCs w:val="24"/>
          <w:lang w:eastAsia="ar-SA"/>
        </w:rPr>
        <w:t>jekty, które można podzielić na </w:t>
      </w:r>
      <w:r>
        <w:rPr>
          <w:szCs w:val="24"/>
          <w:lang w:eastAsia="ar-SA"/>
        </w:rPr>
        <w:t>sekt</w:t>
      </w:r>
      <w:r w:rsidR="00126975">
        <w:rPr>
          <w:szCs w:val="24"/>
          <w:lang w:eastAsia="ar-SA"/>
        </w:rPr>
        <w:t>ory gospodarki.</w:t>
      </w:r>
    </w:p>
    <w:p w14:paraId="0A1D8C7C" w14:textId="77777777" w:rsidR="000A2518" w:rsidRPr="00126975" w:rsidRDefault="000A2518" w:rsidP="00126975">
      <w:pPr>
        <w:pStyle w:val="Akapitzlist"/>
        <w:numPr>
          <w:ilvl w:val="0"/>
          <w:numId w:val="101"/>
        </w:numPr>
        <w:spacing w:after="120"/>
        <w:jc w:val="both"/>
        <w:rPr>
          <w:b/>
          <w:szCs w:val="24"/>
          <w:lang w:eastAsia="ar-SA"/>
        </w:rPr>
      </w:pPr>
      <w:r w:rsidRPr="00126975">
        <w:rPr>
          <w:b/>
          <w:szCs w:val="24"/>
          <w:lang w:eastAsia="ar-SA"/>
        </w:rPr>
        <w:t>Projekty w podziale na formy prawne beneficjentów</w:t>
      </w:r>
    </w:p>
    <w:p w14:paraId="2AA3269F" w14:textId="4EABE092" w:rsidR="000A2518" w:rsidRDefault="000A2518" w:rsidP="000A2518">
      <w:pPr>
        <w:jc w:val="both"/>
        <w:rPr>
          <w:bCs/>
          <w:i/>
          <w:sz w:val="20"/>
          <w:szCs w:val="20"/>
        </w:rPr>
      </w:pPr>
      <w:r w:rsidRPr="000A2518">
        <w:rPr>
          <w:szCs w:val="24"/>
        </w:rPr>
        <w:t>Dominującą grupę beneficjentów w r</w:t>
      </w:r>
      <w:r w:rsidR="00AD7424">
        <w:rPr>
          <w:szCs w:val="24"/>
        </w:rPr>
        <w:t>amach priorytetu V stanowią JST. Z</w:t>
      </w:r>
      <w:r w:rsidRPr="000A2518">
        <w:rPr>
          <w:szCs w:val="24"/>
        </w:rPr>
        <w:t xml:space="preserve">wiązane jest to przede wszystkim z zakresem przedmiotowego priorytetu, który ma na celu </w:t>
      </w:r>
      <w:r w:rsidRPr="000A2518">
        <w:rPr>
          <w:iCs/>
          <w:szCs w:val="24"/>
        </w:rPr>
        <w:t>ochronę oraz poprawę jakości środowiska</w:t>
      </w:r>
      <w:r w:rsidRPr="000A2518">
        <w:rPr>
          <w:szCs w:val="24"/>
        </w:rPr>
        <w:t xml:space="preserve">. W przedmiotowym priorytecie beneficjenci </w:t>
      </w:r>
      <w:r w:rsidR="00AD7424">
        <w:rPr>
          <w:szCs w:val="24"/>
        </w:rPr>
        <w:t>sklasyfikowani</w:t>
      </w:r>
      <w:r w:rsidR="00FA6EC8" w:rsidRPr="000A2518">
        <w:rPr>
          <w:szCs w:val="24"/>
        </w:rPr>
        <w:t xml:space="preserve"> jako</w:t>
      </w:r>
      <w:r w:rsidRPr="000A2518">
        <w:rPr>
          <w:szCs w:val="24"/>
        </w:rPr>
        <w:t xml:space="preserve"> przedsiębiorcy to podmioty, w których większość udziałów lub akcji posiadają jednostki samorządu terytorialnego lub ich związki i stowarzyszenia.</w:t>
      </w:r>
      <w:r w:rsidRPr="000A2518">
        <w:rPr>
          <w:bCs/>
          <w:i/>
          <w:sz w:val="20"/>
          <w:szCs w:val="20"/>
        </w:rPr>
        <w:t xml:space="preserve"> </w:t>
      </w:r>
    </w:p>
    <w:p w14:paraId="0651B596" w14:textId="1CD4A9E5" w:rsidR="004A566F" w:rsidRDefault="004A566F" w:rsidP="00FA6EC8">
      <w:pPr>
        <w:jc w:val="center"/>
        <w:rPr>
          <w:b/>
          <w:bCs/>
          <w:sz w:val="20"/>
          <w:szCs w:val="20"/>
        </w:rPr>
      </w:pPr>
      <w:r w:rsidRPr="00B8015D">
        <w:rPr>
          <w:noProof/>
        </w:rPr>
        <w:drawing>
          <wp:inline distT="0" distB="0" distL="0" distR="0" wp14:anchorId="258674C2" wp14:editId="0D934F47">
            <wp:extent cx="5645426" cy="3419475"/>
            <wp:effectExtent l="0" t="0" r="0" b="0"/>
            <wp:docPr id="35848" name="Wykres 358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3362985" w14:textId="2CEB75B9" w:rsidR="009E3592" w:rsidRDefault="009E3592" w:rsidP="009E3592">
      <w:pPr>
        <w:pStyle w:val="Legenda"/>
        <w:rPr>
          <w:b w:val="0"/>
          <w:i/>
          <w:color w:val="auto"/>
          <w:sz w:val="20"/>
          <w:szCs w:val="20"/>
        </w:rPr>
      </w:pPr>
      <w:bookmarkStart w:id="401" w:name="_Toc476832961"/>
      <w:r w:rsidRPr="009E3592">
        <w:rPr>
          <w:color w:val="auto"/>
          <w:sz w:val="20"/>
          <w:szCs w:val="20"/>
        </w:rPr>
        <w:t xml:space="preserve">Rysunek </w:t>
      </w:r>
      <w:r w:rsidRPr="009E3592">
        <w:rPr>
          <w:color w:val="auto"/>
          <w:sz w:val="20"/>
          <w:szCs w:val="20"/>
        </w:rPr>
        <w:fldChar w:fldCharType="begin"/>
      </w:r>
      <w:r w:rsidRPr="009E3592">
        <w:rPr>
          <w:color w:val="auto"/>
          <w:sz w:val="20"/>
          <w:szCs w:val="20"/>
        </w:rPr>
        <w:instrText xml:space="preserve"> SEQ Rysunek \* ARABIC </w:instrText>
      </w:r>
      <w:r w:rsidRPr="009E3592">
        <w:rPr>
          <w:color w:val="auto"/>
          <w:sz w:val="20"/>
          <w:szCs w:val="20"/>
        </w:rPr>
        <w:fldChar w:fldCharType="separate"/>
      </w:r>
      <w:r w:rsidR="0050297D">
        <w:rPr>
          <w:noProof/>
          <w:color w:val="auto"/>
          <w:sz w:val="20"/>
          <w:szCs w:val="20"/>
        </w:rPr>
        <w:t>43</w:t>
      </w:r>
      <w:r w:rsidRPr="009E3592">
        <w:rPr>
          <w:color w:val="auto"/>
          <w:sz w:val="20"/>
          <w:szCs w:val="20"/>
        </w:rPr>
        <w:fldChar w:fldCharType="end"/>
      </w:r>
      <w:r w:rsidRPr="009E3592">
        <w:rPr>
          <w:i/>
          <w:color w:val="auto"/>
          <w:sz w:val="20"/>
          <w:szCs w:val="20"/>
        </w:rPr>
        <w:t xml:space="preserve"> </w:t>
      </w:r>
      <w:r w:rsidRPr="009E3592">
        <w:rPr>
          <w:b w:val="0"/>
          <w:i/>
          <w:color w:val="auto"/>
          <w:sz w:val="20"/>
          <w:szCs w:val="20"/>
        </w:rPr>
        <w:t>Rozkład projektów w ramach priorytetu V w podziale na beneficjentów</w:t>
      </w:r>
      <w:bookmarkEnd w:id="401"/>
    </w:p>
    <w:p w14:paraId="463CD8B0" w14:textId="77777777" w:rsidR="00126975" w:rsidRPr="00126975" w:rsidRDefault="00126975" w:rsidP="00126975"/>
    <w:p w14:paraId="500D76BB" w14:textId="77777777" w:rsidR="000A2518" w:rsidRPr="00126975" w:rsidRDefault="000A2518" w:rsidP="00126975">
      <w:pPr>
        <w:pStyle w:val="Akapitzlist"/>
        <w:numPr>
          <w:ilvl w:val="0"/>
          <w:numId w:val="101"/>
        </w:numPr>
        <w:spacing w:after="120"/>
        <w:jc w:val="both"/>
        <w:rPr>
          <w:b/>
          <w:szCs w:val="24"/>
          <w:lang w:eastAsia="ar-SA"/>
        </w:rPr>
      </w:pPr>
      <w:r w:rsidRPr="00126975">
        <w:rPr>
          <w:b/>
          <w:szCs w:val="24"/>
          <w:lang w:eastAsia="ar-SA"/>
        </w:rPr>
        <w:t>Projekty w podziale na rozkład terytorialny</w:t>
      </w:r>
    </w:p>
    <w:p w14:paraId="7B18E187" w14:textId="71F7C0F6" w:rsidR="00A44293" w:rsidRPr="00B8015D" w:rsidRDefault="000A2518" w:rsidP="00B8015D">
      <w:pPr>
        <w:jc w:val="both"/>
        <w:rPr>
          <w:bCs/>
          <w:szCs w:val="24"/>
        </w:rPr>
      </w:pPr>
      <w:r w:rsidRPr="000A2518">
        <w:rPr>
          <w:bCs/>
          <w:szCs w:val="24"/>
        </w:rPr>
        <w:t>W ramach priorytetu przeważająca liczba</w:t>
      </w:r>
      <w:r w:rsidRPr="000A2518">
        <w:rPr>
          <w:b/>
          <w:bCs/>
          <w:szCs w:val="24"/>
        </w:rPr>
        <w:t xml:space="preserve"> </w:t>
      </w:r>
      <w:r w:rsidRPr="000A2518">
        <w:rPr>
          <w:bCs/>
          <w:szCs w:val="24"/>
        </w:rPr>
        <w:t>projektów została zrealizowana na obszarach miejskich, jednak patrząc na wartość dofinansowania różnica już nie jest taka zn</w:t>
      </w:r>
      <w:r w:rsidR="00BF1C65">
        <w:rPr>
          <w:bCs/>
          <w:szCs w:val="24"/>
        </w:rPr>
        <w:t xml:space="preserve">acząca. Na obszarach wiejskich </w:t>
      </w:r>
      <w:r w:rsidRPr="000A2518">
        <w:rPr>
          <w:bCs/>
          <w:szCs w:val="24"/>
        </w:rPr>
        <w:t>32% projektów dotyczyło infrastruktury wodno – ściekowej, która przyczynia się do wzrostu gospodarczego regionu przy równoczesnym zachowaniu i poprawie stanu środowiska. Dla porównani</w:t>
      </w:r>
      <w:r w:rsidR="00275208">
        <w:rPr>
          <w:bCs/>
          <w:szCs w:val="24"/>
        </w:rPr>
        <w:t>a</w:t>
      </w:r>
      <w:r w:rsidR="00AD7424">
        <w:rPr>
          <w:bCs/>
          <w:szCs w:val="24"/>
        </w:rPr>
        <w:t>,</w:t>
      </w:r>
      <w:r w:rsidR="00275208">
        <w:rPr>
          <w:bCs/>
          <w:szCs w:val="24"/>
        </w:rPr>
        <w:t xml:space="preserve"> na obszarach miejskich tylko </w:t>
      </w:r>
      <w:r w:rsidRPr="000A2518">
        <w:rPr>
          <w:bCs/>
          <w:szCs w:val="24"/>
        </w:rPr>
        <w:t>4% projektów dotyczy</w:t>
      </w:r>
      <w:r w:rsidR="00AD7424">
        <w:rPr>
          <w:bCs/>
          <w:szCs w:val="24"/>
        </w:rPr>
        <w:t>ło</w:t>
      </w:r>
      <w:r w:rsidRPr="000A2518">
        <w:rPr>
          <w:bCs/>
          <w:szCs w:val="24"/>
        </w:rPr>
        <w:t xml:space="preserve"> infrastruktury wodno – ściekowej.</w:t>
      </w:r>
      <w:r w:rsidR="00C50C7B">
        <w:rPr>
          <w:bCs/>
          <w:szCs w:val="24"/>
        </w:rPr>
        <w:t xml:space="preserve"> Wsparcie dla większych aglomeracji było oferowane w ramach PO IiŚ.</w:t>
      </w:r>
      <w:r w:rsidRPr="000A2518">
        <w:rPr>
          <w:bCs/>
          <w:szCs w:val="24"/>
        </w:rPr>
        <w:t xml:space="preserve"> </w:t>
      </w:r>
      <w:bookmarkStart w:id="402" w:name="_Toc324853731"/>
      <w:bookmarkStart w:id="403" w:name="_Toc326046379"/>
      <w:bookmarkStart w:id="404" w:name="_Toc355688744"/>
    </w:p>
    <w:p w14:paraId="5EB067E5" w14:textId="0CAE89AC" w:rsidR="000A2518" w:rsidRPr="000A2518" w:rsidRDefault="000D34C2" w:rsidP="000A2518">
      <w:pPr>
        <w:tabs>
          <w:tab w:val="right" w:pos="9070"/>
        </w:tabs>
        <w:spacing w:line="240" w:lineRule="auto"/>
        <w:jc w:val="both"/>
        <w:rPr>
          <w:b/>
          <w:bCs/>
          <w:sz w:val="20"/>
          <w:szCs w:val="20"/>
        </w:rPr>
      </w:pPr>
      <w:bookmarkStart w:id="405" w:name="_Toc476131809"/>
      <w:r>
        <w:rPr>
          <w:b/>
          <w:bCs/>
          <w:sz w:val="20"/>
          <w:szCs w:val="20"/>
        </w:rPr>
        <w:t>Tabela</w:t>
      </w:r>
      <w:r w:rsidR="000A2518" w:rsidRPr="000A2518">
        <w:rPr>
          <w:b/>
          <w:bCs/>
          <w:sz w:val="20"/>
          <w:szCs w:val="20"/>
        </w:rPr>
        <w:t xml:space="preserve"> </w:t>
      </w:r>
      <w:r>
        <w:rPr>
          <w:b/>
          <w:bCs/>
          <w:sz w:val="20"/>
          <w:szCs w:val="20"/>
        </w:rPr>
        <w:fldChar w:fldCharType="begin"/>
      </w:r>
      <w:r>
        <w:rPr>
          <w:b/>
          <w:bCs/>
          <w:sz w:val="20"/>
          <w:szCs w:val="20"/>
        </w:rPr>
        <w:instrText xml:space="preserve"> SEQ Tabela \* ARABIC </w:instrText>
      </w:r>
      <w:r>
        <w:rPr>
          <w:b/>
          <w:bCs/>
          <w:sz w:val="20"/>
          <w:szCs w:val="20"/>
        </w:rPr>
        <w:fldChar w:fldCharType="separate"/>
      </w:r>
      <w:r w:rsidR="0050297D">
        <w:rPr>
          <w:b/>
          <w:bCs/>
          <w:noProof/>
          <w:sz w:val="20"/>
          <w:szCs w:val="20"/>
        </w:rPr>
        <w:t>26</w:t>
      </w:r>
      <w:r>
        <w:rPr>
          <w:b/>
          <w:bCs/>
          <w:sz w:val="20"/>
          <w:szCs w:val="20"/>
        </w:rPr>
        <w:fldChar w:fldCharType="end"/>
      </w:r>
      <w:r w:rsidR="000A2518" w:rsidRPr="000A2518">
        <w:rPr>
          <w:b/>
          <w:bCs/>
          <w:sz w:val="20"/>
          <w:szCs w:val="20"/>
        </w:rPr>
        <w:t xml:space="preserve"> </w:t>
      </w:r>
      <w:r w:rsidR="000A2518" w:rsidRPr="000A2518">
        <w:rPr>
          <w:bCs/>
          <w:i/>
          <w:sz w:val="20"/>
          <w:szCs w:val="20"/>
        </w:rPr>
        <w:t xml:space="preserve">Rozkład projektów </w:t>
      </w:r>
      <w:r w:rsidR="009E3592" w:rsidRPr="009E3592">
        <w:rPr>
          <w:i/>
          <w:sz w:val="20"/>
          <w:szCs w:val="20"/>
        </w:rPr>
        <w:t>w ramach priorytetu V</w:t>
      </w:r>
      <w:r w:rsidR="009E3592" w:rsidRPr="009E3592">
        <w:rPr>
          <w:b/>
          <w:i/>
          <w:sz w:val="20"/>
          <w:szCs w:val="20"/>
        </w:rPr>
        <w:t xml:space="preserve"> </w:t>
      </w:r>
      <w:r w:rsidR="000A2518" w:rsidRPr="000A2518">
        <w:rPr>
          <w:bCs/>
          <w:i/>
          <w:sz w:val="20"/>
          <w:szCs w:val="20"/>
        </w:rPr>
        <w:t>w podziale na obszary</w:t>
      </w:r>
      <w:bookmarkEnd w:id="402"/>
      <w:bookmarkEnd w:id="403"/>
      <w:bookmarkEnd w:id="404"/>
      <w:bookmarkEnd w:id="405"/>
      <w:r w:rsidR="000A2518" w:rsidRPr="000A2518">
        <w:rPr>
          <w:bCs/>
          <w:i/>
          <w:sz w:val="20"/>
          <w:szCs w:val="20"/>
        </w:rPr>
        <w:tab/>
      </w:r>
    </w:p>
    <w:tbl>
      <w:tblPr>
        <w:tblStyle w:val="Tabelalisty3akcent61"/>
        <w:tblW w:w="5202" w:type="dxa"/>
        <w:jc w:val="center"/>
        <w:tblLook w:val="04A0" w:firstRow="1" w:lastRow="0" w:firstColumn="1" w:lastColumn="0" w:noHBand="0" w:noVBand="1"/>
      </w:tblPr>
      <w:tblGrid>
        <w:gridCol w:w="1352"/>
        <w:gridCol w:w="1353"/>
        <w:gridCol w:w="2497"/>
      </w:tblGrid>
      <w:tr w:rsidR="000A2518" w:rsidRPr="000A2518" w14:paraId="204E703F" w14:textId="77777777" w:rsidTr="00126975">
        <w:trPr>
          <w:cnfStyle w:val="100000000000" w:firstRow="1" w:lastRow="0" w:firstColumn="0" w:lastColumn="0" w:oddVBand="0" w:evenVBand="0" w:oddHBand="0" w:evenHBand="0" w:firstRowFirstColumn="0" w:firstRowLastColumn="0" w:lastRowFirstColumn="0" w:lastRowLastColumn="0"/>
          <w:trHeight w:val="780"/>
          <w:jc w:val="center"/>
        </w:trPr>
        <w:tc>
          <w:tcPr>
            <w:cnfStyle w:val="001000000100" w:firstRow="0" w:lastRow="0" w:firstColumn="1" w:lastColumn="0" w:oddVBand="0" w:evenVBand="0" w:oddHBand="0" w:evenHBand="0" w:firstRowFirstColumn="1" w:firstRowLastColumn="0" w:lastRowFirstColumn="0" w:lastRowLastColumn="0"/>
            <w:tcW w:w="1352" w:type="dxa"/>
            <w:vAlign w:val="center"/>
            <w:hideMark/>
          </w:tcPr>
          <w:p w14:paraId="308E986E" w14:textId="77777777" w:rsidR="000A2518" w:rsidRPr="000A2518" w:rsidRDefault="000A2518" w:rsidP="00126975">
            <w:pPr>
              <w:spacing w:after="0" w:line="240" w:lineRule="auto"/>
              <w:jc w:val="center"/>
              <w:rPr>
                <w:bCs w:val="0"/>
                <w:color w:val="auto"/>
                <w:sz w:val="20"/>
              </w:rPr>
            </w:pPr>
            <w:r w:rsidRPr="000A2518">
              <w:rPr>
                <w:bCs w:val="0"/>
                <w:color w:val="auto"/>
                <w:sz w:val="20"/>
              </w:rPr>
              <w:t>OBSZAR</w:t>
            </w:r>
          </w:p>
        </w:tc>
        <w:tc>
          <w:tcPr>
            <w:tcW w:w="1353" w:type="dxa"/>
            <w:vAlign w:val="center"/>
            <w:hideMark/>
          </w:tcPr>
          <w:p w14:paraId="697A7E70" w14:textId="77777777" w:rsidR="000A2518" w:rsidRPr="000A2518" w:rsidRDefault="000A2518"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0A2518">
              <w:rPr>
                <w:bCs w:val="0"/>
                <w:color w:val="auto"/>
                <w:sz w:val="20"/>
              </w:rPr>
              <w:t>LICZBA</w:t>
            </w:r>
          </w:p>
        </w:tc>
        <w:tc>
          <w:tcPr>
            <w:tcW w:w="2497" w:type="dxa"/>
            <w:vAlign w:val="center"/>
            <w:hideMark/>
          </w:tcPr>
          <w:p w14:paraId="1B517DA9" w14:textId="77777777" w:rsidR="000A2518" w:rsidRPr="000A2518" w:rsidRDefault="000A2518" w:rsidP="00126975">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0A2518">
              <w:rPr>
                <w:bCs w:val="0"/>
                <w:color w:val="auto"/>
                <w:sz w:val="20"/>
              </w:rPr>
              <w:t>DOFINANSOWANIE UE</w:t>
            </w:r>
          </w:p>
        </w:tc>
      </w:tr>
      <w:tr w:rsidR="000A2518" w:rsidRPr="000A2518" w14:paraId="03EA5159" w14:textId="77777777" w:rsidTr="00126975">
        <w:trPr>
          <w:cnfStyle w:val="000000100000" w:firstRow="0" w:lastRow="0" w:firstColumn="0" w:lastColumn="0" w:oddVBand="0" w:evenVBand="0" w:oddHBand="1" w:evenHBand="0" w:firstRowFirstColumn="0" w:firstRowLastColumn="0" w:lastRowFirstColumn="0" w:lastRowLastColumn="0"/>
          <w:trHeight w:val="592"/>
          <w:jc w:val="center"/>
        </w:trPr>
        <w:tc>
          <w:tcPr>
            <w:cnfStyle w:val="001000000000" w:firstRow="0" w:lastRow="0" w:firstColumn="1" w:lastColumn="0" w:oddVBand="0" w:evenVBand="0" w:oddHBand="0" w:evenHBand="0" w:firstRowFirstColumn="0" w:firstRowLastColumn="0" w:lastRowFirstColumn="0" w:lastRowLastColumn="0"/>
            <w:tcW w:w="1352" w:type="dxa"/>
            <w:vAlign w:val="center"/>
            <w:hideMark/>
          </w:tcPr>
          <w:p w14:paraId="7C34EF09" w14:textId="378B9C15" w:rsidR="000A2518" w:rsidRPr="001D040C" w:rsidRDefault="001D040C" w:rsidP="00126975">
            <w:pPr>
              <w:spacing w:after="0" w:line="240" w:lineRule="auto"/>
              <w:jc w:val="center"/>
              <w:rPr>
                <w:b w:val="0"/>
                <w:bCs w:val="0"/>
                <w:sz w:val="20"/>
              </w:rPr>
            </w:pPr>
            <w:r w:rsidRPr="001D040C">
              <w:rPr>
                <w:b w:val="0"/>
                <w:bCs w:val="0"/>
                <w:sz w:val="20"/>
              </w:rPr>
              <w:t>Miejski</w:t>
            </w:r>
          </w:p>
        </w:tc>
        <w:tc>
          <w:tcPr>
            <w:tcW w:w="1353" w:type="dxa"/>
            <w:vAlign w:val="center"/>
            <w:hideMark/>
          </w:tcPr>
          <w:p w14:paraId="15C3176B" w14:textId="52E676EC" w:rsidR="000A2518" w:rsidRPr="001D040C" w:rsidRDefault="00FA6EC8"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157</w:t>
            </w:r>
          </w:p>
        </w:tc>
        <w:tc>
          <w:tcPr>
            <w:tcW w:w="2497" w:type="dxa"/>
            <w:vAlign w:val="center"/>
            <w:hideMark/>
          </w:tcPr>
          <w:p w14:paraId="7866341E" w14:textId="54BA3E0E" w:rsidR="000A2518" w:rsidRPr="001D040C" w:rsidRDefault="00FA6EC8"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93,28</w:t>
            </w:r>
          </w:p>
        </w:tc>
      </w:tr>
      <w:tr w:rsidR="000A2518" w:rsidRPr="000A2518" w14:paraId="647FEAE0" w14:textId="77777777" w:rsidTr="00126975">
        <w:trPr>
          <w:trHeight w:val="558"/>
          <w:jc w:val="center"/>
        </w:trPr>
        <w:tc>
          <w:tcPr>
            <w:cnfStyle w:val="001000000000" w:firstRow="0" w:lastRow="0" w:firstColumn="1" w:lastColumn="0" w:oddVBand="0" w:evenVBand="0" w:oddHBand="0" w:evenHBand="0" w:firstRowFirstColumn="0" w:firstRowLastColumn="0" w:lastRowFirstColumn="0" w:lastRowLastColumn="0"/>
            <w:tcW w:w="1352" w:type="dxa"/>
            <w:vAlign w:val="center"/>
            <w:hideMark/>
          </w:tcPr>
          <w:p w14:paraId="4F3F6CEB" w14:textId="63B15F55" w:rsidR="000A2518" w:rsidRPr="001D040C" w:rsidRDefault="001D040C" w:rsidP="00126975">
            <w:pPr>
              <w:spacing w:after="0" w:line="240" w:lineRule="auto"/>
              <w:jc w:val="center"/>
              <w:rPr>
                <w:b w:val="0"/>
                <w:bCs w:val="0"/>
                <w:sz w:val="20"/>
              </w:rPr>
            </w:pPr>
            <w:r w:rsidRPr="001D040C">
              <w:rPr>
                <w:b w:val="0"/>
                <w:bCs w:val="0"/>
                <w:sz w:val="20"/>
              </w:rPr>
              <w:t>Wiejski</w:t>
            </w:r>
          </w:p>
        </w:tc>
        <w:tc>
          <w:tcPr>
            <w:tcW w:w="1353" w:type="dxa"/>
            <w:vAlign w:val="center"/>
            <w:hideMark/>
          </w:tcPr>
          <w:p w14:paraId="4F4245F1" w14:textId="6D7C308F" w:rsidR="000A2518" w:rsidRPr="001D040C" w:rsidRDefault="00FA6EC8"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1D040C">
              <w:rPr>
                <w:sz w:val="20"/>
              </w:rPr>
              <w:t>105</w:t>
            </w:r>
          </w:p>
        </w:tc>
        <w:tc>
          <w:tcPr>
            <w:tcW w:w="2497" w:type="dxa"/>
            <w:vAlign w:val="center"/>
            <w:hideMark/>
          </w:tcPr>
          <w:p w14:paraId="3C820ED6" w14:textId="7181F723" w:rsidR="000A2518" w:rsidRPr="001D040C" w:rsidRDefault="00FA6EC8" w:rsidP="00126975">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1D040C">
              <w:rPr>
                <w:sz w:val="20"/>
              </w:rPr>
              <w:t>88,29</w:t>
            </w:r>
          </w:p>
        </w:tc>
      </w:tr>
      <w:tr w:rsidR="000A2518" w:rsidRPr="000A2518" w14:paraId="4A39A389" w14:textId="77777777" w:rsidTr="00126975">
        <w:trPr>
          <w:cnfStyle w:val="000000100000" w:firstRow="0" w:lastRow="0" w:firstColumn="0" w:lastColumn="0" w:oddVBand="0" w:evenVBand="0" w:oddHBand="1" w:evenHBand="0" w:firstRowFirstColumn="0" w:firstRowLastColumn="0" w:lastRowFirstColumn="0" w:lastRowLastColumn="0"/>
          <w:trHeight w:val="681"/>
          <w:jc w:val="center"/>
        </w:trPr>
        <w:tc>
          <w:tcPr>
            <w:cnfStyle w:val="001000000000" w:firstRow="0" w:lastRow="0" w:firstColumn="1" w:lastColumn="0" w:oddVBand="0" w:evenVBand="0" w:oddHBand="0" w:evenHBand="0" w:firstRowFirstColumn="0" w:firstRowLastColumn="0" w:lastRowFirstColumn="0" w:lastRowLastColumn="0"/>
            <w:tcW w:w="1352" w:type="dxa"/>
            <w:vAlign w:val="center"/>
            <w:hideMark/>
          </w:tcPr>
          <w:p w14:paraId="1A6289FD" w14:textId="5B88C039" w:rsidR="000A2518" w:rsidRPr="001D040C" w:rsidRDefault="001D040C" w:rsidP="00126975">
            <w:pPr>
              <w:spacing w:after="0" w:line="240" w:lineRule="auto"/>
              <w:jc w:val="center"/>
              <w:rPr>
                <w:b w:val="0"/>
                <w:bCs w:val="0"/>
                <w:sz w:val="20"/>
              </w:rPr>
            </w:pPr>
            <w:r w:rsidRPr="001D040C">
              <w:rPr>
                <w:b w:val="0"/>
                <w:bCs w:val="0"/>
                <w:sz w:val="20"/>
              </w:rPr>
              <w:t>Górski</w:t>
            </w:r>
          </w:p>
        </w:tc>
        <w:tc>
          <w:tcPr>
            <w:tcW w:w="1353" w:type="dxa"/>
            <w:vAlign w:val="center"/>
            <w:hideMark/>
          </w:tcPr>
          <w:p w14:paraId="515476FE" w14:textId="0605F082" w:rsidR="000A2518" w:rsidRPr="001D040C" w:rsidRDefault="00FA6EC8"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6</w:t>
            </w:r>
          </w:p>
        </w:tc>
        <w:tc>
          <w:tcPr>
            <w:tcW w:w="2497" w:type="dxa"/>
            <w:vAlign w:val="center"/>
            <w:hideMark/>
          </w:tcPr>
          <w:p w14:paraId="3065BE13" w14:textId="7CC193B6" w:rsidR="000A2518" w:rsidRPr="001D040C" w:rsidRDefault="00FA6EC8" w:rsidP="00126975">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3,52</w:t>
            </w:r>
          </w:p>
        </w:tc>
      </w:tr>
    </w:tbl>
    <w:p w14:paraId="01447A85" w14:textId="77777777" w:rsidR="00B8015D" w:rsidRDefault="00B8015D" w:rsidP="00DD2AE5">
      <w:pPr>
        <w:tabs>
          <w:tab w:val="left" w:pos="1276"/>
        </w:tabs>
        <w:autoSpaceDE w:val="0"/>
        <w:autoSpaceDN w:val="0"/>
        <w:adjustRightInd w:val="0"/>
        <w:spacing w:after="120"/>
        <w:jc w:val="both"/>
        <w:rPr>
          <w:szCs w:val="24"/>
        </w:rPr>
      </w:pPr>
    </w:p>
    <w:p w14:paraId="7412F2A1" w14:textId="3B9C9673" w:rsidR="001D3D24" w:rsidRDefault="000A2518" w:rsidP="00DD2AE5">
      <w:pPr>
        <w:tabs>
          <w:tab w:val="left" w:pos="1276"/>
        </w:tabs>
        <w:autoSpaceDE w:val="0"/>
        <w:autoSpaceDN w:val="0"/>
        <w:adjustRightInd w:val="0"/>
        <w:spacing w:after="120"/>
        <w:jc w:val="both"/>
        <w:rPr>
          <w:szCs w:val="24"/>
        </w:rPr>
      </w:pPr>
      <w:r w:rsidRPr="000A2518">
        <w:rPr>
          <w:szCs w:val="24"/>
        </w:rPr>
        <w:t>Najwięcej projektów w ramach przedmiotowego priorytetu realizowanych było przez powiaty z subregionu południowego</w:t>
      </w:r>
      <w:r w:rsidR="005528B4">
        <w:rPr>
          <w:szCs w:val="24"/>
        </w:rPr>
        <w:t xml:space="preserve"> i północnego</w:t>
      </w:r>
      <w:r w:rsidRPr="000A2518">
        <w:rPr>
          <w:szCs w:val="24"/>
        </w:rPr>
        <w:t xml:space="preserve">. </w:t>
      </w:r>
      <w:r w:rsidR="001D3D24">
        <w:rPr>
          <w:szCs w:val="24"/>
        </w:rPr>
        <w:t>Najaktywniejszymi beneficjentami byli beneficjenci z terenu powiatu tar</w:t>
      </w:r>
      <w:r w:rsidR="00B8015D">
        <w:rPr>
          <w:szCs w:val="24"/>
        </w:rPr>
        <w:t>nogórskiego i z terenu Katowic.</w:t>
      </w:r>
    </w:p>
    <w:p w14:paraId="71890B1B" w14:textId="4CDDCD1F" w:rsidR="00DD2AE5" w:rsidRDefault="00DD2AE5" w:rsidP="00DD2AE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7C5B7728" w14:textId="0B7E5AC7" w:rsidR="005D662B" w:rsidRPr="000A2518" w:rsidRDefault="005D662B" w:rsidP="000A2518">
      <w:pPr>
        <w:spacing w:before="120" w:after="240"/>
        <w:contextualSpacing/>
        <w:jc w:val="both"/>
        <w:rPr>
          <w:b/>
          <w:i/>
          <w:szCs w:val="24"/>
          <w:lang w:eastAsia="ar-SA"/>
        </w:rPr>
      </w:pPr>
    </w:p>
    <w:p w14:paraId="6FFD7B18" w14:textId="33A364A5" w:rsidR="00352BDC" w:rsidRPr="0094320D" w:rsidRDefault="00352BDC" w:rsidP="0094320D">
      <w:pPr>
        <w:jc w:val="both"/>
        <w:rPr>
          <w:szCs w:val="24"/>
        </w:rPr>
      </w:pPr>
    </w:p>
    <w:p w14:paraId="5F4E3674" w14:textId="31BC33EE" w:rsidR="00352BDC" w:rsidRPr="0094320D" w:rsidRDefault="000A2518" w:rsidP="0094320D">
      <w:pPr>
        <w:tabs>
          <w:tab w:val="left" w:pos="1276"/>
        </w:tabs>
        <w:autoSpaceDE w:val="0"/>
        <w:autoSpaceDN w:val="0"/>
        <w:adjustRightInd w:val="0"/>
        <w:spacing w:after="120"/>
        <w:jc w:val="both"/>
        <w:rPr>
          <w:b/>
          <w:i/>
          <w:szCs w:val="24"/>
        </w:rPr>
      </w:pPr>
      <w:r w:rsidRPr="000A2518">
        <w:rPr>
          <w:b/>
          <w:i/>
          <w:noProof/>
          <w:szCs w:val="24"/>
        </w:rPr>
        <w:lastRenderedPageBreak/>
        <w:drawing>
          <wp:inline distT="0" distB="0" distL="0" distR="0" wp14:anchorId="45B90607" wp14:editId="0D6A842D">
            <wp:extent cx="5759450" cy="8138669"/>
            <wp:effectExtent l="0" t="0" r="0" b="0"/>
            <wp:docPr id="35846" name="Obraz 35846" descr="W:\RRF\!Zespół ds monitoringu\Perspektywa 2007-2013\Sprawozdanie końcowe\Piotr\mapki\P5\P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RRF\!Zespół ds monitoringu\Perspektywa 2007-2013\Sprawozdanie końcowe\Piotr\mapki\P5\P5.jpe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9450" cy="8138669"/>
                    </a:xfrm>
                    <a:prstGeom prst="rect">
                      <a:avLst/>
                    </a:prstGeom>
                    <a:noFill/>
                    <a:ln>
                      <a:noFill/>
                    </a:ln>
                  </pic:spPr>
                </pic:pic>
              </a:graphicData>
            </a:graphic>
          </wp:inline>
        </w:drawing>
      </w:r>
    </w:p>
    <w:p w14:paraId="096D3FDD" w14:textId="628EFB49" w:rsidR="005528B4" w:rsidRPr="005528B4" w:rsidRDefault="004D7598" w:rsidP="004D7598">
      <w:pPr>
        <w:pStyle w:val="Legenda"/>
        <w:rPr>
          <w:b w:val="0"/>
          <w:color w:val="auto"/>
          <w:sz w:val="20"/>
          <w:szCs w:val="20"/>
        </w:rPr>
      </w:pPr>
      <w:bookmarkStart w:id="406" w:name="_Toc476832962"/>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44</w:t>
      </w:r>
      <w:r w:rsidR="00A44293" w:rsidRPr="00A44293">
        <w:rPr>
          <w:noProof/>
          <w:color w:val="auto"/>
        </w:rPr>
        <w:fldChar w:fldCharType="end"/>
      </w:r>
      <w:r>
        <w:t xml:space="preserve"> </w:t>
      </w:r>
      <w:r w:rsidR="005528B4" w:rsidRPr="005528B4">
        <w:rPr>
          <w:b w:val="0"/>
          <w:i/>
          <w:color w:val="auto"/>
          <w:sz w:val="20"/>
          <w:szCs w:val="20"/>
        </w:rPr>
        <w:t xml:space="preserve">Rozkład projektów </w:t>
      </w:r>
      <w:r w:rsidR="009E3592" w:rsidRPr="009E3592">
        <w:rPr>
          <w:b w:val="0"/>
          <w:i/>
          <w:color w:val="auto"/>
          <w:sz w:val="20"/>
          <w:szCs w:val="20"/>
        </w:rPr>
        <w:t xml:space="preserve">w ramach priorytetu V </w:t>
      </w:r>
      <w:r w:rsidR="005528B4" w:rsidRPr="005528B4">
        <w:rPr>
          <w:b w:val="0"/>
          <w:i/>
          <w:color w:val="auto"/>
          <w:sz w:val="20"/>
          <w:szCs w:val="20"/>
        </w:rPr>
        <w:t>w podziale na powiaty</w:t>
      </w:r>
      <w:bookmarkEnd w:id="406"/>
    </w:p>
    <w:p w14:paraId="3BCCE9F2" w14:textId="77777777" w:rsidR="005528B4" w:rsidRDefault="005528B4" w:rsidP="0094320D">
      <w:pPr>
        <w:tabs>
          <w:tab w:val="left" w:pos="1276"/>
        </w:tabs>
        <w:autoSpaceDE w:val="0"/>
        <w:autoSpaceDN w:val="0"/>
        <w:adjustRightInd w:val="0"/>
        <w:spacing w:after="120"/>
        <w:jc w:val="both"/>
        <w:rPr>
          <w:b/>
          <w:szCs w:val="24"/>
          <w:highlight w:val="yellow"/>
        </w:rPr>
      </w:pPr>
    </w:p>
    <w:p w14:paraId="568BEEBC" w14:textId="0F4B7119" w:rsidR="00352BDC" w:rsidRDefault="00DF7ADF" w:rsidP="0094320D">
      <w:pPr>
        <w:tabs>
          <w:tab w:val="left" w:pos="1276"/>
        </w:tabs>
        <w:autoSpaceDE w:val="0"/>
        <w:autoSpaceDN w:val="0"/>
        <w:adjustRightInd w:val="0"/>
        <w:spacing w:after="120"/>
        <w:jc w:val="both"/>
        <w:rPr>
          <w:b/>
          <w:szCs w:val="24"/>
        </w:rPr>
      </w:pPr>
      <w:r>
        <w:rPr>
          <w:b/>
          <w:szCs w:val="24"/>
        </w:rPr>
        <w:lastRenderedPageBreak/>
        <w:t>Analiza postępu rzeczowego</w:t>
      </w:r>
    </w:p>
    <w:p w14:paraId="2D8D65B8" w14:textId="7B8072E1" w:rsidR="009E7BD9" w:rsidRPr="00F30C77" w:rsidRDefault="009E7BD9" w:rsidP="009E7BD9">
      <w:pPr>
        <w:jc w:val="both"/>
        <w:rPr>
          <w:szCs w:val="24"/>
        </w:rPr>
      </w:pPr>
      <w:r w:rsidRPr="009955C3">
        <w:rPr>
          <w:szCs w:val="24"/>
        </w:rPr>
        <w:t>W załącznik</w:t>
      </w:r>
      <w:r>
        <w:rPr>
          <w:szCs w:val="24"/>
        </w:rPr>
        <w:t>u</w:t>
      </w:r>
      <w:r w:rsidRPr="009955C3">
        <w:rPr>
          <w:szCs w:val="24"/>
        </w:rPr>
        <w:t xml:space="preserve"> </w:t>
      </w:r>
      <w:r w:rsidR="00534451">
        <w:rPr>
          <w:szCs w:val="24"/>
        </w:rPr>
        <w:t>I</w:t>
      </w:r>
      <w:r w:rsidRPr="009955C3">
        <w:rPr>
          <w:szCs w:val="24"/>
        </w:rPr>
        <w:t xml:space="preserve">V do niniejszego </w:t>
      </w:r>
      <w:r w:rsidRPr="009955C3">
        <w:rPr>
          <w:i/>
          <w:szCs w:val="24"/>
        </w:rPr>
        <w:t>Sprawozdania</w:t>
      </w:r>
      <w:r w:rsidRPr="009955C3">
        <w:rPr>
          <w:szCs w:val="24"/>
        </w:rPr>
        <w:t xml:space="preserve"> zostały przedstawione programowe wskaźniki produktu i rezultatu </w:t>
      </w:r>
      <w:r>
        <w:rPr>
          <w:szCs w:val="24"/>
        </w:rPr>
        <w:t>dla priorytetu V</w:t>
      </w:r>
      <w:r w:rsidRPr="009955C3">
        <w:rPr>
          <w:szCs w:val="24"/>
        </w:rPr>
        <w:t xml:space="preserve"> dla kolejnych lat w ujęciu kumulatywnym. Przedstawione informacje prezentowan</w:t>
      </w:r>
      <w:r>
        <w:rPr>
          <w:szCs w:val="24"/>
        </w:rPr>
        <w:t>e są według stanu na koniec 2016</w:t>
      </w:r>
      <w:r w:rsidRPr="009955C3">
        <w:rPr>
          <w:szCs w:val="24"/>
        </w:rPr>
        <w:t xml:space="preserve"> roku</w:t>
      </w:r>
      <w:r>
        <w:rPr>
          <w:szCs w:val="24"/>
        </w:rPr>
        <w:t xml:space="preserve"> i zostały</w:t>
      </w:r>
      <w:r w:rsidRPr="009955C3">
        <w:rPr>
          <w:szCs w:val="24"/>
        </w:rPr>
        <w:t xml:space="preserve"> oparte na danych dotyczących operacji zakończonych. Określone zostały war</w:t>
      </w:r>
      <w:r>
        <w:rPr>
          <w:szCs w:val="24"/>
        </w:rPr>
        <w:t>tości docelowe dla 2010, 2013 i </w:t>
      </w:r>
      <w:r w:rsidRPr="009955C3">
        <w:rPr>
          <w:szCs w:val="24"/>
        </w:rPr>
        <w:t>2015</w:t>
      </w:r>
      <w:r>
        <w:rPr>
          <w:szCs w:val="24"/>
        </w:rPr>
        <w:t>.</w:t>
      </w:r>
      <w:r w:rsidRPr="009955C3">
        <w:rPr>
          <w:szCs w:val="24"/>
        </w:rPr>
        <w:t xml:space="preserve"> Przedstawiono także wskaźniki przedmiotowego Prior</w:t>
      </w:r>
      <w:r>
        <w:rPr>
          <w:szCs w:val="24"/>
        </w:rPr>
        <w:t>ytetu w podziale na działania i </w:t>
      </w:r>
      <w:r w:rsidRPr="009955C3">
        <w:rPr>
          <w:szCs w:val="24"/>
        </w:rPr>
        <w:t>poddziałania</w:t>
      </w:r>
      <w:r>
        <w:rPr>
          <w:szCs w:val="24"/>
        </w:rPr>
        <w:t>.</w:t>
      </w:r>
    </w:p>
    <w:p w14:paraId="2483FCCB" w14:textId="108055B8" w:rsidR="009E7BD9" w:rsidRDefault="009E7BD9" w:rsidP="009E7BD9">
      <w:pPr>
        <w:jc w:val="both"/>
        <w:rPr>
          <w:rFonts w:cs="Perpetua"/>
          <w:szCs w:val="24"/>
        </w:rPr>
      </w:pPr>
      <w:r>
        <w:rPr>
          <w:rFonts w:cs="Perpetua"/>
          <w:szCs w:val="24"/>
        </w:rPr>
        <w:t xml:space="preserve">Nie osiągnięto wartości docelowej dla wskaźnika </w:t>
      </w:r>
      <w:r w:rsidRPr="0068582A">
        <w:rPr>
          <w:rFonts w:cs="Perpetua"/>
          <w:i/>
          <w:szCs w:val="24"/>
        </w:rPr>
        <w:t>Liczba projektów dot. infrastruktu</w:t>
      </w:r>
      <w:r>
        <w:rPr>
          <w:rFonts w:cs="Perpetua"/>
          <w:i/>
          <w:szCs w:val="24"/>
        </w:rPr>
        <w:t xml:space="preserve">ry społeczeństwa informacyjnego. </w:t>
      </w:r>
      <w:r w:rsidRPr="0068582A">
        <w:rPr>
          <w:rFonts w:cs="Perpetua"/>
          <w:szCs w:val="24"/>
        </w:rPr>
        <w:t>Niski poziom realizac</w:t>
      </w:r>
      <w:r>
        <w:rPr>
          <w:rFonts w:cs="Perpetua"/>
          <w:szCs w:val="24"/>
        </w:rPr>
        <w:t>ji wskaźnika wynika z niewielkiego zainteresowania</w:t>
      </w:r>
      <w:r w:rsidRPr="0068582A">
        <w:rPr>
          <w:rFonts w:cs="Perpetua"/>
          <w:szCs w:val="24"/>
        </w:rPr>
        <w:t xml:space="preserve"> realizacją projektów uwzględniających ten wskaźnik przyjęty dla działań środowiskowych</w:t>
      </w:r>
      <w:r>
        <w:rPr>
          <w:rFonts w:cs="Perpetua"/>
          <w:szCs w:val="24"/>
        </w:rPr>
        <w:t xml:space="preserve">. </w:t>
      </w:r>
      <w:r w:rsidRPr="0068582A">
        <w:rPr>
          <w:rFonts w:cs="Perpetua"/>
          <w:szCs w:val="24"/>
        </w:rPr>
        <w:t xml:space="preserve">Wartość docelowa wskaźnika </w:t>
      </w:r>
      <w:r w:rsidRPr="0068582A">
        <w:rPr>
          <w:rFonts w:cs="Perpetua"/>
          <w:i/>
          <w:szCs w:val="24"/>
        </w:rPr>
        <w:t>Liczba osób przyłączonych do sieci wodociągowej w wyniku realizacji projektów</w:t>
      </w:r>
      <w:r w:rsidRPr="0068582A">
        <w:rPr>
          <w:rFonts w:cs="Perpetua"/>
          <w:szCs w:val="24"/>
        </w:rPr>
        <w:t xml:space="preserve"> </w:t>
      </w:r>
      <w:r>
        <w:rPr>
          <w:rFonts w:cs="Perpetua"/>
          <w:szCs w:val="24"/>
        </w:rPr>
        <w:t xml:space="preserve">również </w:t>
      </w:r>
      <w:r w:rsidRPr="0068582A">
        <w:rPr>
          <w:rFonts w:cs="Perpetua"/>
          <w:szCs w:val="24"/>
        </w:rPr>
        <w:t>nie zosta</w:t>
      </w:r>
      <w:r w:rsidR="00AD7424">
        <w:rPr>
          <w:rFonts w:cs="Perpetua"/>
          <w:szCs w:val="24"/>
        </w:rPr>
        <w:t>ła osiągnięta.</w:t>
      </w:r>
      <w:r>
        <w:rPr>
          <w:rFonts w:cs="Perpetua"/>
          <w:szCs w:val="24"/>
        </w:rPr>
        <w:t xml:space="preserve"> </w:t>
      </w:r>
      <w:r w:rsidR="00AD7424">
        <w:rPr>
          <w:rFonts w:cs="Perpetua"/>
          <w:szCs w:val="24"/>
        </w:rPr>
        <w:t>J</w:t>
      </w:r>
      <w:r>
        <w:rPr>
          <w:rFonts w:cs="Perpetua"/>
          <w:szCs w:val="24"/>
        </w:rPr>
        <w:t>est</w:t>
      </w:r>
      <w:r w:rsidR="00AD7424">
        <w:rPr>
          <w:rFonts w:cs="Perpetua"/>
          <w:szCs w:val="24"/>
        </w:rPr>
        <w:t xml:space="preserve"> to</w:t>
      </w:r>
      <w:r w:rsidRPr="0068582A">
        <w:rPr>
          <w:rFonts w:cs="Perpetua"/>
          <w:szCs w:val="24"/>
        </w:rPr>
        <w:t xml:space="preserve"> wynikiem zapisów programowych preferujących projekty kompleksowe, które rzadziej były realizowane przez beneficjentów</w:t>
      </w:r>
      <w:r>
        <w:rPr>
          <w:rFonts w:cs="Perpetua"/>
          <w:szCs w:val="24"/>
        </w:rPr>
        <w:t>, którzy skupili się na realizacji projektów z zakresu podł</w:t>
      </w:r>
      <w:r w:rsidR="00AD7424">
        <w:rPr>
          <w:rFonts w:cs="Perpetua"/>
          <w:szCs w:val="24"/>
        </w:rPr>
        <w:t>ączania do sieci kanalizacyjnej.</w:t>
      </w:r>
      <w:r>
        <w:rPr>
          <w:rFonts w:cs="Perpetua"/>
          <w:szCs w:val="24"/>
        </w:rPr>
        <w:t xml:space="preserve"> </w:t>
      </w:r>
      <w:r w:rsidR="00AD7424">
        <w:rPr>
          <w:rFonts w:cs="Perpetua"/>
          <w:szCs w:val="24"/>
        </w:rPr>
        <w:t>W związku</w:t>
      </w:r>
      <w:r>
        <w:rPr>
          <w:rFonts w:cs="Perpetua"/>
          <w:szCs w:val="24"/>
        </w:rPr>
        <w:t xml:space="preserve"> z </w:t>
      </w:r>
      <w:r w:rsidR="00AD7424">
        <w:rPr>
          <w:rFonts w:cs="Perpetua"/>
          <w:szCs w:val="24"/>
        </w:rPr>
        <w:t>tym,</w:t>
      </w:r>
      <w:r>
        <w:rPr>
          <w:rFonts w:cs="Perpetua"/>
          <w:szCs w:val="24"/>
        </w:rPr>
        <w:t xml:space="preserve"> wartość wskaźnika </w:t>
      </w:r>
      <w:r w:rsidRPr="0032019D">
        <w:rPr>
          <w:rFonts w:cs="Perpetua"/>
          <w:i/>
          <w:szCs w:val="24"/>
        </w:rPr>
        <w:t>Liczba osób przyłączonych do sieci kanalizacyjnej w wyniku realizacji projektów</w:t>
      </w:r>
      <w:r>
        <w:rPr>
          <w:rFonts w:cs="Perpetua"/>
          <w:i/>
          <w:szCs w:val="24"/>
        </w:rPr>
        <w:t xml:space="preserve"> </w:t>
      </w:r>
      <w:r>
        <w:rPr>
          <w:rFonts w:cs="Perpetua"/>
          <w:szCs w:val="24"/>
        </w:rPr>
        <w:t xml:space="preserve">została przekroczona. </w:t>
      </w:r>
    </w:p>
    <w:p w14:paraId="7685AD04" w14:textId="266532DC" w:rsidR="009E7BD9" w:rsidRDefault="009E7BD9" w:rsidP="009E7BD9">
      <w:pPr>
        <w:jc w:val="both"/>
        <w:rPr>
          <w:rFonts w:cs="Perpetua"/>
          <w:szCs w:val="24"/>
        </w:rPr>
      </w:pPr>
      <w:r>
        <w:rPr>
          <w:rFonts w:cs="Perpetua"/>
          <w:szCs w:val="24"/>
        </w:rPr>
        <w:t xml:space="preserve">Przekroczoną wartość wskaźników dot. </w:t>
      </w:r>
      <w:r>
        <w:rPr>
          <w:rFonts w:cs="Perpetua"/>
          <w:i/>
          <w:szCs w:val="24"/>
        </w:rPr>
        <w:t>Liczby projektów</w:t>
      </w:r>
      <w:r>
        <w:rPr>
          <w:rFonts w:cs="Perpetua"/>
          <w:szCs w:val="24"/>
        </w:rPr>
        <w:t xml:space="preserve">... w ramach priorytetu V należy tłumaczyć niczym innym jak niższą niż założono na etapie programowania średnią wartością dofinansowania poszczególnych projektów. Ma to przełożenie na wskaźnik </w:t>
      </w:r>
      <w:r>
        <w:rPr>
          <w:rFonts w:cs="Perpetua"/>
          <w:i/>
          <w:szCs w:val="24"/>
        </w:rPr>
        <w:t xml:space="preserve">Powierzchnia terenów zrekultywowanych w wyniku realizacji projektów. </w:t>
      </w:r>
      <w:r>
        <w:rPr>
          <w:rFonts w:cs="Perpetua"/>
          <w:szCs w:val="24"/>
        </w:rPr>
        <w:t>Dzięki niższej wartości projektów możliwe było zrealizowanie większej ilości projektów</w:t>
      </w:r>
      <w:r w:rsidR="00AD7424">
        <w:rPr>
          <w:rFonts w:cs="Perpetua"/>
          <w:szCs w:val="24"/>
        </w:rPr>
        <w:t>,</w:t>
      </w:r>
      <w:r>
        <w:rPr>
          <w:rFonts w:cs="Perpetua"/>
          <w:szCs w:val="24"/>
        </w:rPr>
        <w:t xml:space="preserve"> a w konsekwencji zrekultywować większą niż założono powierzchnię terenów.</w:t>
      </w:r>
    </w:p>
    <w:p w14:paraId="0EDC3669" w14:textId="77777777" w:rsidR="009E7BD9" w:rsidRDefault="009E7BD9" w:rsidP="009E7BD9">
      <w:pPr>
        <w:jc w:val="both"/>
        <w:rPr>
          <w:rFonts w:cs="Perpetua"/>
        </w:rPr>
      </w:pPr>
      <w:r>
        <w:rPr>
          <w:rFonts w:cs="Perpetua"/>
          <w:szCs w:val="24"/>
        </w:rPr>
        <w:t xml:space="preserve">Osiągnięta wartość wskaźnika </w:t>
      </w:r>
      <w:r>
        <w:rPr>
          <w:rFonts w:cs="Perpetua"/>
          <w:i/>
          <w:szCs w:val="24"/>
        </w:rPr>
        <w:t xml:space="preserve">Liczba gatunków wyprowadzonych z regionalnego stanu zagrożenia wyginięciem </w:t>
      </w:r>
      <w:r>
        <w:rPr>
          <w:rFonts w:cs="Perpetua"/>
          <w:szCs w:val="24"/>
        </w:rPr>
        <w:t xml:space="preserve">została w całości zrealizowana przez jeden projekt. Natomiast wskaźnik </w:t>
      </w:r>
      <w:r w:rsidRPr="00F50B00">
        <w:rPr>
          <w:rFonts w:cs="Perpetua"/>
          <w:i/>
          <w:szCs w:val="24"/>
        </w:rPr>
        <w:t>Liczba osób objętych programami kształtowania postaw ekologicznych</w:t>
      </w:r>
      <w:r>
        <w:rPr>
          <w:rFonts w:cs="Perpetua"/>
          <w:szCs w:val="24"/>
        </w:rPr>
        <w:t xml:space="preserve"> osiągnął tak wysoką wartość dzięki większej liczbie projektów oraz szerszemu ich zasięgowi.</w:t>
      </w:r>
      <w:r>
        <w:rPr>
          <w:rFonts w:cs="Perpetua"/>
          <w:szCs w:val="24"/>
        </w:rPr>
        <w:br/>
      </w:r>
      <w:r>
        <w:rPr>
          <w:rFonts w:cs="Perpetua"/>
        </w:rPr>
        <w:t xml:space="preserve">Realizacji projektów w </w:t>
      </w:r>
      <w:r w:rsidRPr="004C681E">
        <w:rPr>
          <w:rFonts w:cs="Perpetua"/>
        </w:rPr>
        <w:t xml:space="preserve">zakresie </w:t>
      </w:r>
      <w:r>
        <w:rPr>
          <w:rFonts w:cs="Perpetua"/>
        </w:rPr>
        <w:t>środowiskowym pozwalała niwelować</w:t>
      </w:r>
      <w:r w:rsidRPr="004C681E">
        <w:rPr>
          <w:rFonts w:cs="Perpetua"/>
        </w:rPr>
        <w:t xml:space="preserve"> zły stan techniczny i</w:t>
      </w:r>
      <w:r>
        <w:rPr>
          <w:rFonts w:cs="Perpetua"/>
        </w:rPr>
        <w:t> </w:t>
      </w:r>
      <w:r w:rsidRPr="004C681E">
        <w:rPr>
          <w:rFonts w:cs="Perpetua"/>
        </w:rPr>
        <w:t>niedoinwestowanie in</w:t>
      </w:r>
      <w:r>
        <w:rPr>
          <w:rFonts w:cs="Perpetua"/>
        </w:rPr>
        <w:t xml:space="preserve">frastruktury ochrony środowiska. </w:t>
      </w:r>
    </w:p>
    <w:p w14:paraId="029A1757" w14:textId="76AD3EFC" w:rsidR="009E7BD9" w:rsidRPr="00271A6D" w:rsidRDefault="009E7BD9" w:rsidP="009E7BD9">
      <w:pPr>
        <w:jc w:val="both"/>
      </w:pPr>
      <w:r>
        <w:t>Poniżej na wykresie zaprezentowano podział wskaźników ze względu na procent realizacji wartości docelowej.</w:t>
      </w:r>
    </w:p>
    <w:p w14:paraId="6C7E0725" w14:textId="77777777" w:rsidR="009E7BD9" w:rsidRDefault="009E7BD9" w:rsidP="009E7BD9">
      <w:pPr>
        <w:jc w:val="center"/>
        <w:rPr>
          <w:rFonts w:cs="Perpetua"/>
          <w:szCs w:val="24"/>
        </w:rPr>
      </w:pPr>
      <w:r>
        <w:rPr>
          <w:noProof/>
        </w:rPr>
        <w:lastRenderedPageBreak/>
        <w:drawing>
          <wp:inline distT="0" distB="0" distL="0" distR="0" wp14:anchorId="0AEAF2E6" wp14:editId="7C4DFD31">
            <wp:extent cx="5752465" cy="2143125"/>
            <wp:effectExtent l="0" t="0" r="635" b="0"/>
            <wp:docPr id="31" name="Wykres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022C3D86" w14:textId="56BE04E8" w:rsidR="009E7BD9" w:rsidRPr="009E7BD9" w:rsidRDefault="004D7598" w:rsidP="004D7598">
      <w:pPr>
        <w:pStyle w:val="Legenda"/>
        <w:rPr>
          <w:color w:val="auto"/>
          <w:sz w:val="20"/>
          <w:szCs w:val="20"/>
        </w:rPr>
      </w:pPr>
      <w:bookmarkStart w:id="407" w:name="_Toc476832963"/>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45</w:t>
      </w:r>
      <w:r w:rsidR="00A44293" w:rsidRPr="00A44293">
        <w:rPr>
          <w:noProof/>
          <w:color w:val="auto"/>
        </w:rPr>
        <w:fldChar w:fldCharType="end"/>
      </w:r>
      <w:r w:rsidRPr="00A44293">
        <w:rPr>
          <w:color w:val="auto"/>
        </w:rPr>
        <w:t xml:space="preserve"> </w:t>
      </w:r>
      <w:r w:rsidR="009E3592">
        <w:rPr>
          <w:b w:val="0"/>
          <w:i/>
          <w:color w:val="auto"/>
          <w:sz w:val="20"/>
          <w:szCs w:val="20"/>
        </w:rPr>
        <w:t>Osiągnięty poziom wartości docelowej wskaźników w ramach priorytetu V</w:t>
      </w:r>
      <w:bookmarkEnd w:id="407"/>
    </w:p>
    <w:p w14:paraId="50DAD86A" w14:textId="77777777" w:rsidR="009E7BD9" w:rsidRPr="009E7BD9" w:rsidRDefault="009E7BD9" w:rsidP="009E7BD9">
      <w:pPr>
        <w:jc w:val="both"/>
        <w:rPr>
          <w:rFonts w:cs="Perpetua"/>
          <w:szCs w:val="24"/>
        </w:rPr>
      </w:pPr>
      <w:r w:rsidRPr="004C681E">
        <w:t xml:space="preserve">Wskaźnikami, które </w:t>
      </w:r>
      <w:r>
        <w:t>mają bezpośrednie</w:t>
      </w:r>
      <w:r w:rsidRPr="004C681E">
        <w:t xml:space="preserve"> przełożenie na kwestie problematyczne województwa śląskiego w zakresie środowiska</w:t>
      </w:r>
      <w:r>
        <w:t xml:space="preserve"> zdefiniowane w analizie SWOT w RPO WSL</w:t>
      </w:r>
      <w:r w:rsidRPr="004C681E">
        <w:t xml:space="preserve"> to </w:t>
      </w:r>
      <w:r w:rsidRPr="004C681E">
        <w:rPr>
          <w:i/>
        </w:rPr>
        <w:t xml:space="preserve">Powierzchnia terenów zrekultywowanych w wyniku realizacji projektów, Dodatkowa liczba osób </w:t>
      </w:r>
      <w:r>
        <w:rPr>
          <w:i/>
        </w:rPr>
        <w:t>przyłączonych do </w:t>
      </w:r>
      <w:r w:rsidRPr="004C681E">
        <w:rPr>
          <w:i/>
        </w:rPr>
        <w:t>sieci wodociągowej oraz Dodatkowa liczba osób przyłącz</w:t>
      </w:r>
      <w:r>
        <w:rPr>
          <w:i/>
        </w:rPr>
        <w:t>onych do sieci kanalizacyjnej w </w:t>
      </w:r>
      <w:r w:rsidRPr="004C681E">
        <w:rPr>
          <w:i/>
        </w:rPr>
        <w:t>wyniku realizacji projektów</w:t>
      </w:r>
      <w:r>
        <w:rPr>
          <w:i/>
        </w:rPr>
        <w:t xml:space="preserve">. </w:t>
      </w:r>
      <w:r w:rsidRPr="00536F13">
        <w:t>Ww. wskaźniki</w:t>
      </w:r>
      <w:r w:rsidRPr="004C681E">
        <w:t xml:space="preserve"> wpływają odpowiednio na niski procent zrekultywowanych terenów poprzemysłowych, ograniczone zasoby wodne oraz nagromadzenie znacznych ilości odpadów komunalnych. </w:t>
      </w:r>
    </w:p>
    <w:p w14:paraId="28971A0B" w14:textId="353D6380" w:rsidR="009E7BD9" w:rsidRDefault="009E7BD9" w:rsidP="009E7BD9">
      <w:pPr>
        <w:jc w:val="both"/>
      </w:pPr>
      <w:r>
        <w:t xml:space="preserve">Korelację pomiędzy wskaźnikami w ramach </w:t>
      </w:r>
      <w:r w:rsidR="009E3592">
        <w:t>priorytetu V</w:t>
      </w:r>
      <w:r>
        <w:t xml:space="preserve"> a Strategią UE 2020 przedstawia poniższa tabela.</w:t>
      </w:r>
    </w:p>
    <w:p w14:paraId="13378EF4" w14:textId="06B55F34" w:rsidR="009E7BD9" w:rsidRPr="009E7BD9" w:rsidRDefault="004D7598" w:rsidP="004D7598">
      <w:pPr>
        <w:pStyle w:val="Legenda"/>
        <w:rPr>
          <w:b w:val="0"/>
          <w:i/>
          <w:color w:val="auto"/>
          <w:sz w:val="20"/>
          <w:szCs w:val="20"/>
        </w:rPr>
      </w:pPr>
      <w:bookmarkStart w:id="408" w:name="_Toc476131810"/>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27</w:t>
      </w:r>
      <w:r w:rsidR="00A44293" w:rsidRPr="00A44293">
        <w:rPr>
          <w:noProof/>
          <w:color w:val="auto"/>
        </w:rPr>
        <w:fldChar w:fldCharType="end"/>
      </w:r>
      <w:r>
        <w:t xml:space="preserve"> </w:t>
      </w:r>
      <w:r w:rsidR="009E7BD9" w:rsidRPr="009E7BD9">
        <w:rPr>
          <w:b w:val="0"/>
          <w:i/>
          <w:color w:val="auto"/>
          <w:sz w:val="20"/>
          <w:szCs w:val="20"/>
        </w:rPr>
        <w:t xml:space="preserve">Korelację pomiędzy wskaźnikami w ramach </w:t>
      </w:r>
      <w:r w:rsidR="009E3592">
        <w:rPr>
          <w:b w:val="0"/>
          <w:i/>
          <w:color w:val="auto"/>
          <w:sz w:val="20"/>
          <w:szCs w:val="20"/>
        </w:rPr>
        <w:t>priorytetu V</w:t>
      </w:r>
      <w:r w:rsidR="009E7BD9" w:rsidRPr="009E7BD9">
        <w:rPr>
          <w:b w:val="0"/>
          <w:i/>
          <w:color w:val="auto"/>
          <w:sz w:val="20"/>
          <w:szCs w:val="20"/>
        </w:rPr>
        <w:t xml:space="preserve"> a Strategią UE 2020</w:t>
      </w:r>
      <w:bookmarkEnd w:id="408"/>
    </w:p>
    <w:tbl>
      <w:tblPr>
        <w:tblStyle w:val="Tabelalisty3akcent6"/>
        <w:tblW w:w="0" w:type="auto"/>
        <w:tblLook w:val="04A0" w:firstRow="1" w:lastRow="0" w:firstColumn="1" w:lastColumn="0" w:noHBand="0" w:noVBand="1"/>
      </w:tblPr>
      <w:tblGrid>
        <w:gridCol w:w="4530"/>
        <w:gridCol w:w="4530"/>
      </w:tblGrid>
      <w:tr w:rsidR="009E7BD9" w14:paraId="53CC696B" w14:textId="77777777" w:rsidTr="00126975">
        <w:trPr>
          <w:cnfStyle w:val="100000000000" w:firstRow="1" w:lastRow="0" w:firstColumn="0" w:lastColumn="0" w:oddVBand="0" w:evenVBand="0" w:oddHBand="0" w:evenHBand="0" w:firstRowFirstColumn="0" w:firstRowLastColumn="0" w:lastRowFirstColumn="0" w:lastRowLastColumn="0"/>
          <w:trHeight w:val="748"/>
        </w:trPr>
        <w:tc>
          <w:tcPr>
            <w:cnfStyle w:val="001000000100" w:firstRow="0" w:lastRow="0" w:firstColumn="1" w:lastColumn="0" w:oddVBand="0" w:evenVBand="0" w:oddHBand="0" w:evenHBand="0" w:firstRowFirstColumn="1" w:firstRowLastColumn="0" w:lastRowFirstColumn="0" w:lastRowLastColumn="0"/>
            <w:tcW w:w="4530" w:type="dxa"/>
            <w:vAlign w:val="center"/>
          </w:tcPr>
          <w:p w14:paraId="0986E094" w14:textId="67BC0724" w:rsidR="009E7BD9" w:rsidRPr="009E7BD9" w:rsidRDefault="00126975" w:rsidP="00126975">
            <w:pPr>
              <w:jc w:val="center"/>
              <w:rPr>
                <w:color w:val="auto"/>
              </w:rPr>
            </w:pPr>
            <w:r w:rsidRPr="009E7BD9">
              <w:rPr>
                <w:color w:val="auto"/>
              </w:rPr>
              <w:t>INICJATYWY FLAGOWE</w:t>
            </w:r>
          </w:p>
        </w:tc>
        <w:tc>
          <w:tcPr>
            <w:tcW w:w="4530" w:type="dxa"/>
            <w:vAlign w:val="center"/>
          </w:tcPr>
          <w:p w14:paraId="16624A63" w14:textId="26158869" w:rsidR="009E7BD9" w:rsidRPr="009E7BD9" w:rsidRDefault="00126975" w:rsidP="00126975">
            <w:pPr>
              <w:jc w:val="center"/>
              <w:cnfStyle w:val="100000000000" w:firstRow="1" w:lastRow="0" w:firstColumn="0" w:lastColumn="0" w:oddVBand="0" w:evenVBand="0" w:oddHBand="0" w:evenHBand="0" w:firstRowFirstColumn="0" w:firstRowLastColumn="0" w:lastRowFirstColumn="0" w:lastRowLastColumn="0"/>
              <w:rPr>
                <w:color w:val="auto"/>
              </w:rPr>
            </w:pPr>
            <w:r w:rsidRPr="009E7BD9">
              <w:rPr>
                <w:color w:val="auto"/>
              </w:rPr>
              <w:t>WSKAŹNIKI</w:t>
            </w:r>
          </w:p>
        </w:tc>
      </w:tr>
      <w:tr w:rsidR="009E7BD9" w14:paraId="2E322755" w14:textId="77777777" w:rsidTr="001269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3C05B648" w14:textId="77777777" w:rsidR="009E7BD9" w:rsidRPr="00126975" w:rsidRDefault="009E7BD9" w:rsidP="00126975">
            <w:pPr>
              <w:spacing w:after="0" w:line="240" w:lineRule="auto"/>
              <w:contextualSpacing/>
              <w:rPr>
                <w:rFonts w:eastAsia="+mn-ea"/>
                <w:b w:val="0"/>
                <w:sz w:val="20"/>
                <w:szCs w:val="20"/>
              </w:rPr>
            </w:pPr>
          </w:p>
          <w:p w14:paraId="3D3BC775" w14:textId="77777777" w:rsidR="009E7BD9" w:rsidRPr="00126975" w:rsidRDefault="009E7BD9" w:rsidP="00126975">
            <w:pPr>
              <w:spacing w:after="0" w:line="240" w:lineRule="auto"/>
              <w:contextualSpacing/>
              <w:rPr>
                <w:b w:val="0"/>
                <w:sz w:val="20"/>
                <w:szCs w:val="20"/>
              </w:rPr>
            </w:pPr>
            <w:r w:rsidRPr="00126975">
              <w:rPr>
                <w:rFonts w:eastAsia="+mn-ea"/>
                <w:b w:val="0"/>
                <w:sz w:val="20"/>
                <w:szCs w:val="20"/>
              </w:rPr>
              <w:t>Europejska Agenda Cyfrowa</w:t>
            </w:r>
          </w:p>
          <w:p w14:paraId="63F50336" w14:textId="77777777" w:rsidR="009E7BD9" w:rsidRPr="00126975" w:rsidRDefault="009E7BD9" w:rsidP="00126975">
            <w:pPr>
              <w:rPr>
                <w:b w:val="0"/>
                <w:sz w:val="20"/>
                <w:szCs w:val="20"/>
              </w:rPr>
            </w:pPr>
          </w:p>
        </w:tc>
        <w:tc>
          <w:tcPr>
            <w:tcW w:w="4530" w:type="dxa"/>
            <w:vAlign w:val="center"/>
          </w:tcPr>
          <w:p w14:paraId="49892A8C" w14:textId="6F96256F" w:rsidR="009E7BD9" w:rsidRPr="00126975" w:rsidRDefault="009E7BD9" w:rsidP="00126975">
            <w:p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rPr>
            </w:pPr>
            <w:r w:rsidRPr="00126975">
              <w:rPr>
                <w:rFonts w:eastAsia="+mn-ea"/>
                <w:i/>
                <w:iCs/>
                <w:sz w:val="20"/>
                <w:szCs w:val="20"/>
              </w:rPr>
              <w:t>Liczba projektów dot. infrastruktury społeczeństwa informacyjnego</w:t>
            </w:r>
          </w:p>
        </w:tc>
      </w:tr>
      <w:tr w:rsidR="009E7BD9" w14:paraId="549A121C" w14:textId="77777777" w:rsidTr="00126975">
        <w:trPr>
          <w:trHeight w:val="854"/>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422EA9DE" w14:textId="77777777" w:rsidR="009E7BD9" w:rsidRPr="00126975" w:rsidRDefault="009E7BD9" w:rsidP="00126975">
            <w:pPr>
              <w:spacing w:after="0" w:line="240" w:lineRule="auto"/>
              <w:contextualSpacing/>
              <w:rPr>
                <w:rFonts w:eastAsia="+mn-ea"/>
                <w:b w:val="0"/>
                <w:sz w:val="20"/>
                <w:szCs w:val="20"/>
              </w:rPr>
            </w:pPr>
          </w:p>
          <w:p w14:paraId="186E80FB" w14:textId="77777777" w:rsidR="009E7BD9" w:rsidRPr="00126975" w:rsidRDefault="009E7BD9" w:rsidP="00126975">
            <w:pPr>
              <w:spacing w:after="0" w:line="240" w:lineRule="auto"/>
              <w:contextualSpacing/>
              <w:rPr>
                <w:b w:val="0"/>
                <w:sz w:val="20"/>
                <w:szCs w:val="20"/>
              </w:rPr>
            </w:pPr>
            <w:r w:rsidRPr="00126975">
              <w:rPr>
                <w:rFonts w:eastAsia="+mn-ea"/>
                <w:b w:val="0"/>
                <w:sz w:val="20"/>
                <w:szCs w:val="20"/>
              </w:rPr>
              <w:t>Europa efektywnie korzystająca z zasobów</w:t>
            </w:r>
          </w:p>
          <w:p w14:paraId="551BC5FD" w14:textId="77777777" w:rsidR="009E7BD9" w:rsidRPr="00126975" w:rsidRDefault="009E7BD9" w:rsidP="00126975">
            <w:pPr>
              <w:rPr>
                <w:b w:val="0"/>
                <w:sz w:val="20"/>
                <w:szCs w:val="20"/>
              </w:rPr>
            </w:pPr>
          </w:p>
        </w:tc>
        <w:tc>
          <w:tcPr>
            <w:tcW w:w="4530" w:type="dxa"/>
            <w:vAlign w:val="center"/>
          </w:tcPr>
          <w:p w14:paraId="0284C486" w14:textId="77777777" w:rsidR="009E7BD9" w:rsidRPr="00126975" w:rsidRDefault="009E7BD9" w:rsidP="00126975">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126975">
              <w:rPr>
                <w:rFonts w:eastAsia="+mn-ea"/>
                <w:i/>
                <w:iCs/>
                <w:sz w:val="20"/>
                <w:szCs w:val="20"/>
              </w:rPr>
              <w:t>Liczba projektów z zakresu energii odnawialnej,</w:t>
            </w:r>
          </w:p>
          <w:p w14:paraId="25875A25" w14:textId="215C5E30" w:rsidR="009E7BD9" w:rsidRPr="00126975" w:rsidRDefault="009E7BD9" w:rsidP="00126975">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126975">
              <w:rPr>
                <w:rFonts w:eastAsia="+mn-ea"/>
                <w:i/>
                <w:iCs/>
                <w:sz w:val="20"/>
                <w:szCs w:val="20"/>
              </w:rPr>
              <w:t>Moc zainstalowana produkcji energii pochodząca ze źródeł odnawialnych</w:t>
            </w:r>
          </w:p>
        </w:tc>
      </w:tr>
    </w:tbl>
    <w:p w14:paraId="5793C432" w14:textId="77777777" w:rsidR="009E7BD9" w:rsidRDefault="009E7BD9" w:rsidP="009E7BD9">
      <w:pPr>
        <w:jc w:val="both"/>
      </w:pPr>
    </w:p>
    <w:p w14:paraId="231EF392" w14:textId="77777777" w:rsidR="00126975" w:rsidRDefault="009E7BD9" w:rsidP="009B02EB">
      <w:pPr>
        <w:spacing w:after="0"/>
        <w:jc w:val="both"/>
        <w:rPr>
          <w:rFonts w:cs="Perpetua"/>
          <w:szCs w:val="24"/>
        </w:rPr>
      </w:pPr>
      <w:r>
        <w:rPr>
          <w:rFonts w:cs="Perpetua"/>
          <w:szCs w:val="24"/>
        </w:rPr>
        <w:t>W ramach priorytetu V realizowanych jest dziewięć</w:t>
      </w:r>
      <w:r w:rsidRPr="0048596F">
        <w:rPr>
          <w:rFonts w:cs="Perpetua"/>
          <w:szCs w:val="24"/>
        </w:rPr>
        <w:t xml:space="preserve"> </w:t>
      </w:r>
      <w:r>
        <w:rPr>
          <w:rFonts w:cs="Perpetua"/>
          <w:szCs w:val="24"/>
        </w:rPr>
        <w:t>wskaźników</w:t>
      </w:r>
      <w:r w:rsidRPr="0048596F">
        <w:rPr>
          <w:rFonts w:cs="Perpetua"/>
          <w:szCs w:val="24"/>
        </w:rPr>
        <w:t xml:space="preserve"> </w:t>
      </w:r>
      <w:r>
        <w:rPr>
          <w:rFonts w:cs="Perpetua"/>
          <w:szCs w:val="24"/>
        </w:rPr>
        <w:t>KE (core i</w:t>
      </w:r>
      <w:r w:rsidRPr="0048596F">
        <w:rPr>
          <w:rFonts w:cs="Perpetua"/>
          <w:szCs w:val="24"/>
        </w:rPr>
        <w:t>ndicators</w:t>
      </w:r>
      <w:r>
        <w:rPr>
          <w:rFonts w:cs="Perpetua"/>
          <w:szCs w:val="24"/>
        </w:rPr>
        <w:t xml:space="preserve">): </w:t>
      </w:r>
    </w:p>
    <w:p w14:paraId="557584EE" w14:textId="77777777" w:rsidR="00126975"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Liczba projektów z zakresu energii odnawialnej, Moc zainstalowana produkcji energii pochodząca ze źródeł odnawialnych, </w:t>
      </w:r>
    </w:p>
    <w:p w14:paraId="1B293C5D" w14:textId="77777777" w:rsidR="009B02EB"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Liczba osób przyłączonych do sieci kanalizacyjnej w wyniku realizacji projektów, </w:t>
      </w:r>
    </w:p>
    <w:p w14:paraId="74203DCB" w14:textId="77777777" w:rsidR="009B02EB"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Liczba osób przyłączonych do sieci wodociągowej w wyniku realizacji projektów, </w:t>
      </w:r>
    </w:p>
    <w:p w14:paraId="656C2B7A" w14:textId="77777777" w:rsidR="009B02EB"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Liczba projektów z zakresu gospodarki odpadami, </w:t>
      </w:r>
    </w:p>
    <w:p w14:paraId="289F221C" w14:textId="77777777" w:rsidR="009B02EB"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Liczba projektów mających na celu poprawę jakości powietrza, </w:t>
      </w:r>
    </w:p>
    <w:p w14:paraId="341E6BC7" w14:textId="77777777" w:rsidR="009B02EB"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Powierzchnia terenów zrekultywowanych w wyniku realizacji projektów, </w:t>
      </w:r>
    </w:p>
    <w:p w14:paraId="0506E883" w14:textId="77777777" w:rsidR="009B02EB" w:rsidRPr="009B02EB" w:rsidRDefault="009E7BD9" w:rsidP="009B02EB">
      <w:pPr>
        <w:pStyle w:val="Akapitzlist"/>
        <w:numPr>
          <w:ilvl w:val="0"/>
          <w:numId w:val="101"/>
        </w:numPr>
        <w:spacing w:after="0"/>
        <w:jc w:val="both"/>
        <w:rPr>
          <w:rFonts w:cs="Perpetua"/>
          <w:i/>
          <w:szCs w:val="24"/>
        </w:rPr>
      </w:pPr>
      <w:r w:rsidRPr="009B02EB">
        <w:rPr>
          <w:rFonts w:cs="Perpetua"/>
          <w:i/>
          <w:szCs w:val="24"/>
        </w:rPr>
        <w:t xml:space="preserve">Liczba projektów z zakresu prewencji zagrożeń, </w:t>
      </w:r>
    </w:p>
    <w:p w14:paraId="686878B0" w14:textId="75128C21" w:rsidR="009E7BD9" w:rsidRPr="009B02EB" w:rsidRDefault="009E7BD9" w:rsidP="009B02EB">
      <w:pPr>
        <w:pStyle w:val="Akapitzlist"/>
        <w:numPr>
          <w:ilvl w:val="0"/>
          <w:numId w:val="101"/>
        </w:numPr>
        <w:spacing w:after="0"/>
        <w:jc w:val="both"/>
        <w:rPr>
          <w:rFonts w:cs="Perpetua"/>
          <w:szCs w:val="24"/>
        </w:rPr>
      </w:pPr>
      <w:r w:rsidRPr="009B02EB">
        <w:rPr>
          <w:rFonts w:cs="Perpetua"/>
          <w:i/>
          <w:szCs w:val="24"/>
        </w:rPr>
        <w:lastRenderedPageBreak/>
        <w:t>Liczba projektów dot. infrastruktury społeczeństwa informacyjnego</w:t>
      </w:r>
      <w:r w:rsidR="00AD7424" w:rsidRPr="009B02EB">
        <w:rPr>
          <w:rFonts w:cs="Perpetua"/>
          <w:i/>
          <w:szCs w:val="24"/>
        </w:rPr>
        <w:t>.</w:t>
      </w:r>
    </w:p>
    <w:p w14:paraId="1E1A514F" w14:textId="77777777" w:rsidR="009B02EB" w:rsidRDefault="009B02EB" w:rsidP="0094320D">
      <w:pPr>
        <w:spacing w:after="120"/>
        <w:jc w:val="both"/>
        <w:rPr>
          <w:b/>
          <w:bCs/>
          <w:szCs w:val="24"/>
        </w:rPr>
      </w:pPr>
    </w:p>
    <w:p w14:paraId="7E3B27C9" w14:textId="5519DDC9" w:rsidR="00352BDC" w:rsidRPr="00F416F3" w:rsidRDefault="00F416F3" w:rsidP="0094320D">
      <w:pPr>
        <w:spacing w:after="120"/>
        <w:jc w:val="both"/>
        <w:rPr>
          <w:b/>
          <w:bCs/>
          <w:szCs w:val="24"/>
        </w:rPr>
      </w:pPr>
      <w:r w:rsidRPr="00F416F3">
        <w:rPr>
          <w:b/>
          <w:bCs/>
          <w:szCs w:val="24"/>
        </w:rPr>
        <w:t>Realizacja ewentualnych zaleceń i rekomendacji KE</w:t>
      </w:r>
    </w:p>
    <w:p w14:paraId="502B0146" w14:textId="336ED44D" w:rsidR="00DB05C5" w:rsidRPr="00367271" w:rsidRDefault="009C6E3A" w:rsidP="00367271">
      <w:pPr>
        <w:autoSpaceDE w:val="0"/>
        <w:autoSpaceDN w:val="0"/>
        <w:adjustRightInd w:val="0"/>
        <w:spacing w:after="0" w:line="259" w:lineRule="auto"/>
        <w:jc w:val="both"/>
        <w:rPr>
          <w:rFonts w:eastAsia="Calibri"/>
          <w:szCs w:val="24"/>
          <w:lang w:eastAsia="en-US"/>
        </w:rPr>
      </w:pPr>
      <w:r w:rsidRPr="005F2F88">
        <w:rPr>
          <w:rFonts w:eastAsia="Calibri"/>
          <w:szCs w:val="24"/>
          <w:lang w:eastAsia="en-US"/>
        </w:rPr>
        <w:t>Realizacja przedmiotowego priorytetu przebiega</w:t>
      </w:r>
      <w:r>
        <w:rPr>
          <w:rFonts w:eastAsia="Calibri"/>
          <w:szCs w:val="24"/>
          <w:lang w:eastAsia="en-US"/>
        </w:rPr>
        <w:t>ła</w:t>
      </w:r>
      <w:r w:rsidRPr="005F2F88">
        <w:rPr>
          <w:rFonts w:eastAsia="Calibri"/>
          <w:szCs w:val="24"/>
          <w:lang w:eastAsia="en-US"/>
        </w:rPr>
        <w:t xml:space="preserve"> prawidłowo. Nie </w:t>
      </w:r>
      <w:r>
        <w:rPr>
          <w:rFonts w:eastAsia="Calibri"/>
          <w:szCs w:val="24"/>
          <w:lang w:eastAsia="en-US"/>
        </w:rPr>
        <w:t>otrzymano</w:t>
      </w:r>
      <w:r w:rsidRPr="005F2F88">
        <w:rPr>
          <w:rFonts w:eastAsia="Calibri"/>
          <w:szCs w:val="24"/>
          <w:lang w:eastAsia="en-US"/>
        </w:rPr>
        <w:t xml:space="preserve"> rekomendacji, ani zaleceń</w:t>
      </w:r>
      <w:r>
        <w:rPr>
          <w:rFonts w:eastAsia="Calibri"/>
          <w:szCs w:val="24"/>
          <w:lang w:eastAsia="en-US"/>
        </w:rPr>
        <w:t xml:space="preserve"> KE</w:t>
      </w:r>
      <w:r w:rsidRPr="005F2F88">
        <w:rPr>
          <w:rFonts w:eastAsia="Calibri"/>
          <w:szCs w:val="24"/>
          <w:lang w:eastAsia="en-US"/>
        </w:rPr>
        <w:t>.</w:t>
      </w:r>
    </w:p>
    <w:p w14:paraId="1D5DC15B" w14:textId="77777777" w:rsidR="006601B6" w:rsidRDefault="006601B6" w:rsidP="006601B6">
      <w:pPr>
        <w:spacing w:before="120" w:after="120"/>
        <w:jc w:val="both"/>
        <w:rPr>
          <w:b/>
          <w:lang w:eastAsia="ar-SA"/>
        </w:rPr>
      </w:pPr>
      <w:r w:rsidRPr="00194369">
        <w:rPr>
          <w:b/>
          <w:lang w:eastAsia="ar-SA"/>
        </w:rPr>
        <w:t>Opis wkładu priorytetu w redukcję ubóstwa</w:t>
      </w:r>
    </w:p>
    <w:p w14:paraId="30CF8CB6" w14:textId="4B279340" w:rsidR="006601B6" w:rsidRPr="00355475" w:rsidRDefault="00AD7424" w:rsidP="006601B6">
      <w:pPr>
        <w:autoSpaceDE w:val="0"/>
        <w:autoSpaceDN w:val="0"/>
        <w:adjustRightInd w:val="0"/>
        <w:spacing w:before="120" w:after="120"/>
        <w:jc w:val="both"/>
        <w:rPr>
          <w:rFonts w:eastAsia="Calibri"/>
          <w:szCs w:val="24"/>
        </w:rPr>
      </w:pPr>
      <w:r>
        <w:rPr>
          <w:rFonts w:eastAsia="Calibri"/>
          <w:szCs w:val="24"/>
        </w:rPr>
        <w:t xml:space="preserve">W ramach </w:t>
      </w:r>
      <w:r w:rsidR="009E7BD9">
        <w:rPr>
          <w:rFonts w:eastAsia="Calibri"/>
          <w:szCs w:val="24"/>
        </w:rPr>
        <w:t>Priorytet</w:t>
      </w:r>
      <w:r>
        <w:rPr>
          <w:rFonts w:eastAsia="Calibri"/>
          <w:szCs w:val="24"/>
        </w:rPr>
        <w:t>u V nie realizowano</w:t>
      </w:r>
      <w:r w:rsidR="009E7BD9">
        <w:rPr>
          <w:rFonts w:eastAsia="Calibri"/>
          <w:szCs w:val="24"/>
        </w:rPr>
        <w:t xml:space="preserve"> projektów wpływających</w:t>
      </w:r>
      <w:r w:rsidR="006601B6">
        <w:rPr>
          <w:rFonts w:eastAsia="Calibri"/>
          <w:szCs w:val="24"/>
        </w:rPr>
        <w:t xml:space="preserve"> na redukcję ubóstwa.</w:t>
      </w:r>
    </w:p>
    <w:p w14:paraId="4008D0F0" w14:textId="2916CF51" w:rsidR="00352BDC" w:rsidRDefault="00F416F3" w:rsidP="008B656A">
      <w:pPr>
        <w:spacing w:before="120" w:after="120"/>
        <w:jc w:val="both"/>
        <w:rPr>
          <w:rFonts w:eastAsia="Calibri"/>
          <w:b/>
          <w:szCs w:val="24"/>
        </w:rPr>
      </w:pPr>
      <w:r w:rsidRPr="00F416F3">
        <w:rPr>
          <w:rFonts w:eastAsia="Calibri"/>
          <w:b/>
          <w:szCs w:val="24"/>
        </w:rPr>
        <w:t>Podsumowanie</w:t>
      </w:r>
    </w:p>
    <w:p w14:paraId="15053AB7" w14:textId="0B0DCB85" w:rsidR="000A2518" w:rsidRPr="000A2518" w:rsidRDefault="000A2518" w:rsidP="000A2518">
      <w:pPr>
        <w:autoSpaceDE w:val="0"/>
        <w:autoSpaceDN w:val="0"/>
        <w:adjustRightInd w:val="0"/>
        <w:jc w:val="both"/>
        <w:rPr>
          <w:szCs w:val="24"/>
        </w:rPr>
      </w:pPr>
      <w:r w:rsidRPr="000A2518">
        <w:rPr>
          <w:szCs w:val="24"/>
        </w:rPr>
        <w:t>Stan środowiska naturalnego w województwie śląskim ulega sukcesywnej poprawie. Działania proekologiczne o charakterze inwestycyjnym i pozainwestycyjnym podejmowane przez organy samorządu terytorialnego wszystkich szczebli, organy administracji rządowej oraz podmioty gospodarcze zobowiązane do usuwania skutków negatywnego oddziaływania na środowisko</w:t>
      </w:r>
      <w:r w:rsidR="00AD7424">
        <w:rPr>
          <w:szCs w:val="24"/>
        </w:rPr>
        <w:t>,</w:t>
      </w:r>
      <w:r w:rsidRPr="000A2518">
        <w:rPr>
          <w:szCs w:val="24"/>
        </w:rPr>
        <w:t xml:space="preserve"> doprowadziły w ostatnich latach do widocznej poprawy stanu środowiska naturalnego. Wysoki stopień koncentracji przemysłu i urbanizacji spowodował trwałe przeobrażenia tego obszaru. </w:t>
      </w:r>
      <w:r w:rsidR="008B656A" w:rsidRPr="000A2518">
        <w:rPr>
          <w:szCs w:val="24"/>
        </w:rPr>
        <w:t>Poprawa, jakości</w:t>
      </w:r>
      <w:r w:rsidRPr="000A2518">
        <w:rPr>
          <w:szCs w:val="24"/>
        </w:rPr>
        <w:t xml:space="preserve"> środowiska przyrodniczego uwzględnia m.in.: zmniejszenie ilości zanieczyszczeń odprowadzanych do wód i gruntów, budowę systemu oczyszczalni ścieków, ograniczanie zanieczyszczeń powierzchniowych gruntów, działania z zakresu ochrony powietrza, ograniczenia emisji CO2 oraz eliminacji pyłów zawieszonych. Zwiększeniu atrakcyjności terenu </w:t>
      </w:r>
      <w:r w:rsidR="00C50C7B">
        <w:rPr>
          <w:szCs w:val="24"/>
        </w:rPr>
        <w:t>województwa sprzyja zmniejszenie</w:t>
      </w:r>
      <w:r w:rsidRPr="000A2518">
        <w:rPr>
          <w:szCs w:val="24"/>
        </w:rPr>
        <w:t xml:space="preserve"> zanieczy</w:t>
      </w:r>
      <w:r w:rsidR="00C50C7B">
        <w:rPr>
          <w:szCs w:val="24"/>
        </w:rPr>
        <w:t>szczenia powietrza oraz ochrona</w:t>
      </w:r>
      <w:r w:rsidRPr="000A2518">
        <w:rPr>
          <w:szCs w:val="24"/>
        </w:rPr>
        <w:t xml:space="preserve"> zasobów leśnych. </w:t>
      </w:r>
      <w:r w:rsidRPr="000A2518">
        <w:rPr>
          <w:rFonts w:eastAsia="Calibri"/>
          <w:szCs w:val="24"/>
        </w:rPr>
        <w:t>Uwzględniając powyższe</w:t>
      </w:r>
      <w:r w:rsidR="00AD7424">
        <w:rPr>
          <w:rFonts w:eastAsia="Calibri"/>
          <w:szCs w:val="24"/>
        </w:rPr>
        <w:t>,</w:t>
      </w:r>
      <w:r w:rsidRPr="000A2518">
        <w:rPr>
          <w:rFonts w:eastAsia="Calibri"/>
          <w:szCs w:val="24"/>
        </w:rPr>
        <w:t xml:space="preserve"> IZ RPO WSL zdecydowała o wsparciu ww. obszarów interwencją EFRR, dlatego głównym celem priorytetu jest </w:t>
      </w:r>
      <w:r w:rsidRPr="000A2518">
        <w:rPr>
          <w:rFonts w:eastAsia="Calibri"/>
          <w:i/>
          <w:szCs w:val="24"/>
        </w:rPr>
        <w:t xml:space="preserve">ochrona oraz poprawa jakości środowiska, </w:t>
      </w:r>
      <w:r w:rsidRPr="000A2518">
        <w:rPr>
          <w:szCs w:val="24"/>
        </w:rPr>
        <w:t xml:space="preserve">w ramach którego można realizować projekty m.in. w zakresie rozwoju infrastruktury wodno – ściekowej, gospodarki odpadami czy poprawy jakości powietrza. Realizacja tego celu umożliwia </w:t>
      </w:r>
      <w:r w:rsidR="00AD7424">
        <w:rPr>
          <w:szCs w:val="24"/>
        </w:rPr>
        <w:t>wzrost</w:t>
      </w:r>
      <w:r w:rsidR="008B656A" w:rsidRPr="000A2518">
        <w:rPr>
          <w:szCs w:val="24"/>
        </w:rPr>
        <w:t xml:space="preserve"> jakości</w:t>
      </w:r>
      <w:r w:rsidRPr="000A2518">
        <w:rPr>
          <w:szCs w:val="24"/>
        </w:rPr>
        <w:t xml:space="preserve"> życia mieszkańców i zabezpiecza możliwości rozwojowe przyszłych pokoleń, poprawiając również wizerunek województwa, które cały czas postrzegane </w:t>
      </w:r>
      <w:r w:rsidR="008B656A" w:rsidRPr="000A2518">
        <w:rPr>
          <w:szCs w:val="24"/>
        </w:rPr>
        <w:t>jest, jako</w:t>
      </w:r>
      <w:r w:rsidRPr="000A2518">
        <w:rPr>
          <w:szCs w:val="24"/>
        </w:rPr>
        <w:t xml:space="preserve"> region silnie zanieczyszczony i zdegradowany. Zachowanie zasobów oraz ochrona i poprawa środowiska naturalnego są konieczne dla zrównoważonego rozwoju gospodarczego i społecznego regionu.</w:t>
      </w:r>
    </w:p>
    <w:p w14:paraId="04AA333C" w14:textId="4C17FF88" w:rsidR="000A2518" w:rsidRPr="000A2518" w:rsidRDefault="000A2518" w:rsidP="000A2518">
      <w:pPr>
        <w:spacing w:before="100" w:beforeAutospacing="1" w:after="100" w:afterAutospacing="1"/>
        <w:jc w:val="both"/>
        <w:rPr>
          <w:szCs w:val="24"/>
        </w:rPr>
      </w:pPr>
      <w:r w:rsidRPr="000A2518">
        <w:rPr>
          <w:szCs w:val="24"/>
        </w:rPr>
        <w:t>W dzisiejszych czasach coraz większą wagę przykłada się d</w:t>
      </w:r>
      <w:r w:rsidR="00B8015D">
        <w:rPr>
          <w:szCs w:val="24"/>
        </w:rPr>
        <w:t>o zmniejszania ilości odpadów w </w:t>
      </w:r>
      <w:r w:rsidRPr="000A2518">
        <w:rPr>
          <w:szCs w:val="24"/>
        </w:rPr>
        <w:t xml:space="preserve">środowisku nas otaczającym. Masa wytwarzanych odpadów </w:t>
      </w:r>
      <w:r w:rsidR="00B8015D">
        <w:rPr>
          <w:szCs w:val="24"/>
        </w:rPr>
        <w:t>oraz kurcząca się przestrzeń na </w:t>
      </w:r>
      <w:r w:rsidRPr="000A2518">
        <w:rPr>
          <w:szCs w:val="24"/>
        </w:rPr>
        <w:t xml:space="preserve">wysypiskach nakazuje poszukiwać rozwiązań innych niż tradycyjne. Wiele nowoczesnych rozwiązań i technologii pozwala pozbywać się tego, co pozostało i jest niepotrzebne, w sposób ekologiczny i bezpieczny dla środowiska. Katowice, by sprostać temu, postanowiły unowocześnić istniejącą infrastrukturę miejską w tym zakresie realizując projekt </w:t>
      </w:r>
      <w:r w:rsidRPr="000A2518">
        <w:rPr>
          <w:i/>
        </w:rPr>
        <w:t>Budowa zakładu odzysku i unieszkodliwiania odpadów dla północnej części Katowic poprzez przetworzenie frakcji positowej w paliwo alternatywne</w:t>
      </w:r>
      <w:r w:rsidRPr="000A2518">
        <w:rPr>
          <w:szCs w:val="24"/>
        </w:rPr>
        <w:t xml:space="preserve">.  Przedmiotem projektu </w:t>
      </w:r>
      <w:r w:rsidR="008B656A">
        <w:rPr>
          <w:szCs w:val="24"/>
        </w:rPr>
        <w:t xml:space="preserve">była </w:t>
      </w:r>
      <w:r w:rsidRPr="000A2518">
        <w:rPr>
          <w:szCs w:val="24"/>
        </w:rPr>
        <w:t>budowa dla północnej części Katowic zakładu, który spełniał będzie funkcje zakładu wstępnej segregacji odpadów oraz zakładu odzysku i unieszkodliwiania odpadów, głównie poprzez przetworzenie frakcji positowej w paliwo alternatywne. Jego realizacja przyczyni</w:t>
      </w:r>
      <w:r w:rsidR="00AD7424">
        <w:rPr>
          <w:szCs w:val="24"/>
        </w:rPr>
        <w:t>a</w:t>
      </w:r>
      <w:r w:rsidRPr="000A2518">
        <w:rPr>
          <w:szCs w:val="24"/>
        </w:rPr>
        <w:t xml:space="preserve"> się do zmniejszenia ilości odpadów kierowanych na składowiska odpadów, przy równoczesnym </w:t>
      </w:r>
      <w:r w:rsidRPr="000A2518">
        <w:rPr>
          <w:szCs w:val="24"/>
        </w:rPr>
        <w:lastRenderedPageBreak/>
        <w:t>zapewnieniu wypełnienia kryteriów i procedur dopuszc</w:t>
      </w:r>
      <w:r w:rsidR="00B8015D">
        <w:rPr>
          <w:szCs w:val="24"/>
        </w:rPr>
        <w:t>zania odpadów do składowania na </w:t>
      </w:r>
      <w:r w:rsidRPr="000A2518">
        <w:rPr>
          <w:szCs w:val="24"/>
        </w:rPr>
        <w:t>składowisku odpadów danego typu.</w:t>
      </w:r>
    </w:p>
    <w:p w14:paraId="53806C09" w14:textId="3D2FD09A" w:rsidR="00BB21AC" w:rsidRPr="00BB21AC" w:rsidRDefault="00BB21AC" w:rsidP="00BB21AC">
      <w:pPr>
        <w:spacing w:before="120" w:after="0" w:line="288" w:lineRule="auto"/>
        <w:jc w:val="both"/>
        <w:rPr>
          <w:rFonts w:eastAsia="Calibri"/>
          <w:szCs w:val="24"/>
        </w:rPr>
      </w:pPr>
      <w:r w:rsidRPr="00BB21AC">
        <w:rPr>
          <w:szCs w:val="24"/>
        </w:rPr>
        <w:t>Pozio</w:t>
      </w:r>
      <w:r>
        <w:rPr>
          <w:szCs w:val="24"/>
        </w:rPr>
        <w:t>m osiągnięcia założonych celów p</w:t>
      </w:r>
      <w:r w:rsidRPr="00BB21AC">
        <w:rPr>
          <w:szCs w:val="24"/>
        </w:rPr>
        <w:t>riorytetu V</w:t>
      </w:r>
      <w:r w:rsidR="00AD7424">
        <w:rPr>
          <w:szCs w:val="24"/>
        </w:rPr>
        <w:t>,</w:t>
      </w:r>
      <w:r w:rsidRPr="00BB21AC">
        <w:rPr>
          <w:szCs w:val="24"/>
        </w:rPr>
        <w:t xml:space="preserve"> </w:t>
      </w:r>
      <w:r w:rsidR="00AD7424">
        <w:rPr>
          <w:szCs w:val="24"/>
        </w:rPr>
        <w:t>według badania ewaluacyjnego ex-</w:t>
      </w:r>
      <w:r>
        <w:rPr>
          <w:szCs w:val="24"/>
        </w:rPr>
        <w:t>post</w:t>
      </w:r>
      <w:r w:rsidR="00AD7424">
        <w:rPr>
          <w:szCs w:val="24"/>
        </w:rPr>
        <w:t>,</w:t>
      </w:r>
      <w:r w:rsidRPr="00BB21AC">
        <w:rPr>
          <w:szCs w:val="24"/>
        </w:rPr>
        <w:t xml:space="preserve"> </w:t>
      </w:r>
      <w:r>
        <w:rPr>
          <w:szCs w:val="24"/>
        </w:rPr>
        <w:t xml:space="preserve">można </w:t>
      </w:r>
      <w:r w:rsidRPr="00BB21AC">
        <w:rPr>
          <w:szCs w:val="24"/>
        </w:rPr>
        <w:t>uznać za wysoki</w:t>
      </w:r>
      <w:r>
        <w:rPr>
          <w:szCs w:val="24"/>
        </w:rPr>
        <w:t>.</w:t>
      </w:r>
      <w:r w:rsidRPr="008B656A">
        <w:rPr>
          <w:rFonts w:eastAsia="Calibri"/>
          <w:szCs w:val="24"/>
        </w:rPr>
        <w:t xml:space="preserve"> </w:t>
      </w:r>
      <w:r w:rsidR="008B656A" w:rsidRPr="008B656A">
        <w:rPr>
          <w:rFonts w:eastAsia="Calibri"/>
          <w:szCs w:val="24"/>
        </w:rPr>
        <w:t>Analiza danych wskazała na wysokie zainteresowanie działaniami środowiskowymi</w:t>
      </w:r>
      <w:r w:rsidR="00AD7424">
        <w:rPr>
          <w:rFonts w:eastAsia="Calibri"/>
          <w:szCs w:val="24"/>
        </w:rPr>
        <w:t>,</w:t>
      </w:r>
      <w:r w:rsidR="008B656A" w:rsidRPr="008B656A">
        <w:rPr>
          <w:rFonts w:eastAsia="Calibri"/>
          <w:szCs w:val="24"/>
        </w:rPr>
        <w:t xml:space="preserve"> szczególnie w obszarze </w:t>
      </w:r>
      <w:r>
        <w:rPr>
          <w:rFonts w:eastAsia="Calibri"/>
          <w:szCs w:val="24"/>
        </w:rPr>
        <w:t>gospodarki</w:t>
      </w:r>
      <w:r w:rsidR="00AD7424">
        <w:rPr>
          <w:rFonts w:eastAsia="Calibri"/>
          <w:szCs w:val="24"/>
        </w:rPr>
        <w:t xml:space="preserve"> wodno-ściekowej</w:t>
      </w:r>
      <w:r w:rsidR="008B656A" w:rsidRPr="008B656A">
        <w:rPr>
          <w:rFonts w:eastAsia="Calibri"/>
          <w:szCs w:val="24"/>
        </w:rPr>
        <w:t xml:space="preserve">, </w:t>
      </w:r>
      <w:r w:rsidR="007817AE">
        <w:rPr>
          <w:rFonts w:eastAsia="Calibri"/>
          <w:szCs w:val="24"/>
        </w:rPr>
        <w:t>gospodarki odpadami</w:t>
      </w:r>
      <w:r w:rsidR="008B656A" w:rsidRPr="008B656A">
        <w:rPr>
          <w:rFonts w:eastAsia="Calibri"/>
          <w:szCs w:val="24"/>
        </w:rPr>
        <w:t xml:space="preserve"> </w:t>
      </w:r>
      <w:r>
        <w:rPr>
          <w:rFonts w:eastAsia="Calibri"/>
          <w:szCs w:val="24"/>
        </w:rPr>
        <w:t>oraz związanymi z czystym</w:t>
      </w:r>
      <w:r w:rsidR="008B656A" w:rsidRPr="008B656A">
        <w:rPr>
          <w:rFonts w:eastAsia="Calibri"/>
          <w:szCs w:val="24"/>
        </w:rPr>
        <w:t xml:space="preserve"> powietrze</w:t>
      </w:r>
      <w:r>
        <w:rPr>
          <w:rFonts w:eastAsia="Calibri"/>
          <w:szCs w:val="24"/>
        </w:rPr>
        <w:t>m i odnawialnymi</w:t>
      </w:r>
      <w:r w:rsidR="008B656A" w:rsidRPr="008B656A">
        <w:rPr>
          <w:rFonts w:eastAsia="Calibri"/>
          <w:szCs w:val="24"/>
        </w:rPr>
        <w:t xml:space="preserve"> źródła</w:t>
      </w:r>
      <w:r>
        <w:rPr>
          <w:rFonts w:eastAsia="Calibri"/>
          <w:szCs w:val="24"/>
        </w:rPr>
        <w:t>mi</w:t>
      </w:r>
      <w:r w:rsidR="008B656A" w:rsidRPr="008B656A">
        <w:rPr>
          <w:rFonts w:eastAsia="Calibri"/>
          <w:szCs w:val="24"/>
        </w:rPr>
        <w:t xml:space="preserve"> energii. </w:t>
      </w:r>
      <w:r w:rsidR="007817AE">
        <w:rPr>
          <w:rFonts w:eastAsia="Calibri"/>
          <w:szCs w:val="24"/>
        </w:rPr>
        <w:t>Z kolei,</w:t>
      </w:r>
      <w:r w:rsidRPr="00BB21AC">
        <w:rPr>
          <w:rFonts w:eastAsia="Calibri"/>
          <w:szCs w:val="24"/>
        </w:rPr>
        <w:t xml:space="preserve"> nie wystarczające zainteresowanie zidentyfikowano w ramach zarządzania</w:t>
      </w:r>
      <w:r>
        <w:rPr>
          <w:rFonts w:eastAsia="Calibri"/>
          <w:szCs w:val="24"/>
        </w:rPr>
        <w:t xml:space="preserve"> środowiskiem i </w:t>
      </w:r>
      <w:r w:rsidRPr="00BB21AC">
        <w:rPr>
          <w:rFonts w:eastAsia="Calibri"/>
          <w:szCs w:val="24"/>
        </w:rPr>
        <w:t>dziedzictwem przyrodniczym.</w:t>
      </w:r>
      <w:r w:rsidRPr="00BB21AC">
        <w:rPr>
          <w:rFonts w:ascii="Lato" w:hAnsi="Lato"/>
          <w:sz w:val="20"/>
          <w:szCs w:val="20"/>
        </w:rPr>
        <w:t xml:space="preserve"> </w:t>
      </w:r>
      <w:r w:rsidRPr="00BB21AC">
        <w:rPr>
          <w:szCs w:val="24"/>
        </w:rPr>
        <w:t xml:space="preserve">Przyczyną niewystarczającego zainteresowania środkami skierowanymi na </w:t>
      </w:r>
      <w:r>
        <w:rPr>
          <w:szCs w:val="24"/>
        </w:rPr>
        <w:t xml:space="preserve">ww. </w:t>
      </w:r>
      <w:r w:rsidRPr="00BB21AC">
        <w:rPr>
          <w:szCs w:val="24"/>
        </w:rPr>
        <w:t>rodzaje działań była dostępność komplementarnych środków krajowych PO IŚ, Oś priorytetowa V. Ochrona przyrody i kształtowanie postaw ekologicznych.</w:t>
      </w:r>
    </w:p>
    <w:p w14:paraId="23EC923C" w14:textId="77777777" w:rsidR="000A2518" w:rsidRPr="000A2518" w:rsidRDefault="000A2518" w:rsidP="000A2518">
      <w:pPr>
        <w:spacing w:after="0"/>
        <w:jc w:val="both"/>
        <w:rPr>
          <w:szCs w:val="24"/>
        </w:rPr>
      </w:pPr>
    </w:p>
    <w:p w14:paraId="715B9714" w14:textId="37B16365" w:rsidR="00352BDC" w:rsidRPr="0094320D" w:rsidRDefault="00F416F3" w:rsidP="004914D8">
      <w:pPr>
        <w:pStyle w:val="Akapitzlist"/>
        <w:numPr>
          <w:ilvl w:val="2"/>
          <w:numId w:val="50"/>
        </w:numPr>
        <w:jc w:val="both"/>
        <w:rPr>
          <w:b/>
          <w:szCs w:val="24"/>
        </w:rPr>
      </w:pPr>
      <w:bookmarkStart w:id="409" w:name="_Toc262031945"/>
      <w:bookmarkStart w:id="410" w:name="_Toc292789301"/>
      <w:bookmarkStart w:id="411" w:name="_Toc292793598"/>
      <w:bookmarkStart w:id="412" w:name="_Toc386571836"/>
      <w:bookmarkStart w:id="413" w:name="_Toc386572261"/>
      <w:bookmarkStart w:id="414" w:name="_Toc419180277"/>
      <w:bookmarkStart w:id="415" w:name="_Toc423351795"/>
      <w:r w:rsidRPr="0094320D">
        <w:rPr>
          <w:b/>
          <w:szCs w:val="24"/>
        </w:rPr>
        <w:t>OPIS ISTOTNYCH PROBLEMÓW WE WDRAŻANIU WRAZ Z PODJĘTYMI ŚRODKAMI ZARADCZYMI</w:t>
      </w:r>
      <w:bookmarkEnd w:id="409"/>
      <w:bookmarkEnd w:id="410"/>
      <w:bookmarkEnd w:id="411"/>
      <w:bookmarkEnd w:id="412"/>
      <w:bookmarkEnd w:id="413"/>
      <w:bookmarkEnd w:id="414"/>
      <w:bookmarkEnd w:id="415"/>
    </w:p>
    <w:p w14:paraId="6FC5F22B" w14:textId="429F51FA" w:rsidR="00C02F7B" w:rsidRDefault="00C02F7B" w:rsidP="00F416F3">
      <w:pPr>
        <w:spacing w:after="0"/>
        <w:jc w:val="both"/>
        <w:rPr>
          <w:i/>
          <w:iCs/>
          <w:szCs w:val="24"/>
        </w:rPr>
      </w:pPr>
      <w:bookmarkStart w:id="416" w:name="_Toc386571837"/>
      <w:bookmarkStart w:id="417" w:name="_Toc292793627"/>
      <w:bookmarkStart w:id="418" w:name="_Toc292789327"/>
      <w:bookmarkStart w:id="419" w:name="_Toc359584935"/>
      <w:bookmarkStart w:id="420" w:name="_Toc262031370"/>
      <w:bookmarkEnd w:id="416"/>
      <w:r w:rsidRPr="00F93BD6">
        <w:rPr>
          <w:szCs w:val="24"/>
        </w:rPr>
        <w:t>Wdrażanie priorytetu napotkało na problemy głównie na</w:t>
      </w:r>
      <w:r>
        <w:rPr>
          <w:szCs w:val="24"/>
        </w:rPr>
        <w:t xml:space="preserve">tury zewnętrznej i dotyczyły </w:t>
      </w:r>
      <w:r w:rsidR="00F416F3" w:rsidRPr="00F416F3">
        <w:rPr>
          <w:szCs w:val="24"/>
        </w:rPr>
        <w:t>niespójności, jakie zidentyfikowała Komisja Europejska w zakresie dostosowania polskiego prawa do wy</w:t>
      </w:r>
      <w:r>
        <w:rPr>
          <w:szCs w:val="24"/>
        </w:rPr>
        <w:t>mogów dyrektyw UE, które dotyczyły</w:t>
      </w:r>
      <w:r w:rsidR="00F416F3" w:rsidRPr="00F416F3">
        <w:rPr>
          <w:szCs w:val="24"/>
        </w:rPr>
        <w:t xml:space="preserve"> kwestii oceny oddziaływania na środowisko. </w:t>
      </w:r>
      <w:r>
        <w:rPr>
          <w:szCs w:val="24"/>
        </w:rPr>
        <w:t xml:space="preserve">Ponadto opóźnienia związane były z brakiem </w:t>
      </w:r>
      <w:r w:rsidRPr="00F416F3">
        <w:rPr>
          <w:i/>
          <w:iCs/>
          <w:szCs w:val="24"/>
        </w:rPr>
        <w:t>Rozporządzenia Ministra Rozwoju Regionalnego w sprawie udzielenia pomocy na inwestycje w zakresie: energetyki, infrastruktury telekomunikacyjnej, infrastruktury sfery badawczo-rozwojowej, lecznictwa uzdrowiskowego w ramach regionalnych programów operacyjnych</w:t>
      </w:r>
      <w:r>
        <w:rPr>
          <w:i/>
          <w:iCs/>
          <w:szCs w:val="24"/>
        </w:rPr>
        <w:t>.</w:t>
      </w:r>
    </w:p>
    <w:p w14:paraId="401849C7" w14:textId="3DD86FE9" w:rsidR="00C02F7B" w:rsidRPr="00C02F7B" w:rsidRDefault="00C02F7B" w:rsidP="00F416F3">
      <w:pPr>
        <w:spacing w:after="0"/>
        <w:jc w:val="both"/>
        <w:rPr>
          <w:i/>
          <w:iCs/>
          <w:szCs w:val="24"/>
        </w:rPr>
      </w:pPr>
      <w:r w:rsidRPr="00C02F7B">
        <w:rPr>
          <w:iCs/>
          <w:szCs w:val="24"/>
        </w:rPr>
        <w:t>Ziden</w:t>
      </w:r>
      <w:r w:rsidR="007817AE">
        <w:rPr>
          <w:iCs/>
          <w:szCs w:val="24"/>
        </w:rPr>
        <w:t>tyfikowane problemy spowodowały przesunięcia konkursów</w:t>
      </w:r>
      <w:r w:rsidR="007817AE" w:rsidRPr="00C02F7B">
        <w:rPr>
          <w:iCs/>
          <w:szCs w:val="24"/>
        </w:rPr>
        <w:t xml:space="preserve"> </w:t>
      </w:r>
      <w:r w:rsidR="007817AE">
        <w:rPr>
          <w:iCs/>
          <w:szCs w:val="24"/>
        </w:rPr>
        <w:t xml:space="preserve">oraz </w:t>
      </w:r>
      <w:r w:rsidRPr="00C02F7B">
        <w:rPr>
          <w:iCs/>
          <w:szCs w:val="24"/>
        </w:rPr>
        <w:t xml:space="preserve">opóźnienia </w:t>
      </w:r>
      <w:r w:rsidR="007817AE">
        <w:rPr>
          <w:iCs/>
          <w:szCs w:val="24"/>
        </w:rPr>
        <w:t>w ocenie złożonych wniosków</w:t>
      </w:r>
      <w:r>
        <w:rPr>
          <w:iCs/>
          <w:szCs w:val="24"/>
        </w:rPr>
        <w:t>.</w:t>
      </w:r>
    </w:p>
    <w:p w14:paraId="2033A9BD" w14:textId="77777777" w:rsidR="0063404A" w:rsidRPr="00F416F3" w:rsidRDefault="0063404A" w:rsidP="00F416F3">
      <w:pPr>
        <w:spacing w:after="0"/>
        <w:jc w:val="both"/>
        <w:rPr>
          <w:szCs w:val="24"/>
        </w:rPr>
      </w:pPr>
    </w:p>
    <w:p w14:paraId="276F7CBD" w14:textId="6A092261" w:rsidR="00D64E87" w:rsidRPr="009B02EB" w:rsidRDefault="00BB42FA" w:rsidP="004914D8">
      <w:pPr>
        <w:pStyle w:val="Akapitzlist"/>
        <w:numPr>
          <w:ilvl w:val="1"/>
          <w:numId w:val="50"/>
        </w:numPr>
        <w:jc w:val="both"/>
        <w:rPr>
          <w:b/>
          <w:color w:val="538135" w:themeColor="accent6" w:themeShade="BF"/>
          <w:szCs w:val="24"/>
        </w:rPr>
      </w:pPr>
      <w:r w:rsidRPr="009B02EB">
        <w:rPr>
          <w:b/>
          <w:color w:val="538135" w:themeColor="accent6" w:themeShade="BF"/>
          <w:szCs w:val="24"/>
        </w:rPr>
        <w:t>PRIORYTET VI ZRÓŻNICOWANY ROZWÓJ MIAST</w:t>
      </w:r>
    </w:p>
    <w:p w14:paraId="6D0060A0" w14:textId="408FEAD8" w:rsidR="0063404A" w:rsidRDefault="0063404A" w:rsidP="0063404A">
      <w:pPr>
        <w:pStyle w:val="Akapitzlist"/>
        <w:ind w:left="360"/>
        <w:jc w:val="both"/>
        <w:rPr>
          <w:b/>
          <w:color w:val="0070C0"/>
          <w:szCs w:val="24"/>
        </w:rPr>
      </w:pPr>
      <w:r w:rsidRPr="0063404A">
        <w:rPr>
          <w:b/>
          <w:noProof/>
          <w:color w:val="0070C0"/>
          <w:szCs w:val="24"/>
        </w:rPr>
        <w:drawing>
          <wp:inline distT="0" distB="0" distL="0" distR="0" wp14:anchorId="6C3141A6" wp14:editId="791A6A1A">
            <wp:extent cx="5731374" cy="2194560"/>
            <wp:effectExtent l="0" t="0" r="3175" b="0"/>
            <wp:docPr id="32770" name="Obraz 8" descr="_DSC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0" name="Obraz 8" descr="_DSC1041.jpg"/>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6517" cy="2204187"/>
                    </a:xfrm>
                    <a:prstGeom prst="rect">
                      <a:avLst/>
                    </a:prstGeom>
                    <a:ln>
                      <a:noFill/>
                    </a:ln>
                    <a:effectLst>
                      <a:softEdge rad="112500"/>
                    </a:effectLst>
                    <a:extLst/>
                  </pic:spPr>
                </pic:pic>
              </a:graphicData>
            </a:graphic>
          </wp:inline>
        </w:drawing>
      </w:r>
    </w:p>
    <w:p w14:paraId="2C57CCE5" w14:textId="77777777" w:rsidR="0063404A" w:rsidRPr="00BB42FA" w:rsidRDefault="0063404A" w:rsidP="0063404A">
      <w:pPr>
        <w:pStyle w:val="Akapitzlist"/>
        <w:ind w:left="360"/>
        <w:jc w:val="both"/>
        <w:rPr>
          <w:b/>
          <w:color w:val="0070C0"/>
          <w:szCs w:val="24"/>
        </w:rPr>
      </w:pPr>
    </w:p>
    <w:p w14:paraId="59929325" w14:textId="77777777" w:rsidR="006A17F3" w:rsidRPr="0094320D" w:rsidRDefault="00A25773" w:rsidP="004914D8">
      <w:pPr>
        <w:pStyle w:val="Akapitzlist"/>
        <w:numPr>
          <w:ilvl w:val="2"/>
          <w:numId w:val="50"/>
        </w:numPr>
        <w:jc w:val="both"/>
        <w:rPr>
          <w:b/>
          <w:bCs/>
          <w:szCs w:val="24"/>
        </w:rPr>
      </w:pPr>
      <w:bookmarkStart w:id="421" w:name="_Toc386571838"/>
      <w:bookmarkStart w:id="422" w:name="_Toc386572263"/>
      <w:bookmarkStart w:id="423" w:name="_Toc419180279"/>
      <w:bookmarkStart w:id="424" w:name="_Toc423351797"/>
      <w:r w:rsidRPr="0094320D">
        <w:rPr>
          <w:b/>
          <w:bCs/>
          <w:szCs w:val="24"/>
        </w:rPr>
        <w:t>OSIĄGNIĘCIE CELÓW I ANALIZA POSTĘPÓW</w:t>
      </w:r>
      <w:bookmarkEnd w:id="421"/>
      <w:bookmarkEnd w:id="422"/>
      <w:bookmarkEnd w:id="423"/>
      <w:bookmarkEnd w:id="424"/>
    </w:p>
    <w:p w14:paraId="6723CB61" w14:textId="77777777" w:rsidR="006A17F3" w:rsidRPr="0094320D" w:rsidRDefault="00A25773" w:rsidP="00F52A28">
      <w:pPr>
        <w:jc w:val="both"/>
        <w:rPr>
          <w:b/>
          <w:szCs w:val="24"/>
        </w:rPr>
      </w:pPr>
      <w:r w:rsidRPr="0094320D">
        <w:rPr>
          <w:b/>
          <w:szCs w:val="24"/>
        </w:rPr>
        <w:t>INFORMACJE OGÓLNE</w:t>
      </w:r>
    </w:p>
    <w:p w14:paraId="633E3961" w14:textId="24846B28" w:rsidR="006A17F3" w:rsidRPr="0094320D" w:rsidRDefault="006A17F3" w:rsidP="00F52A28">
      <w:pPr>
        <w:spacing w:after="0"/>
        <w:jc w:val="both"/>
        <w:rPr>
          <w:szCs w:val="24"/>
        </w:rPr>
      </w:pPr>
      <w:r w:rsidRPr="0094320D">
        <w:rPr>
          <w:szCs w:val="24"/>
        </w:rPr>
        <w:t xml:space="preserve">Celem głównym przedmiotowego priorytetu </w:t>
      </w:r>
      <w:r w:rsidR="00BB42FA">
        <w:rPr>
          <w:szCs w:val="24"/>
        </w:rPr>
        <w:t>był</w:t>
      </w:r>
      <w:r w:rsidRPr="0094320D">
        <w:rPr>
          <w:szCs w:val="24"/>
        </w:rPr>
        <w:t xml:space="preserve"> wzrost konkurencyjności przestrzeni miejskiej województwa. W ramach priorytetu wspierane </w:t>
      </w:r>
      <w:r w:rsidR="00BB42FA">
        <w:rPr>
          <w:szCs w:val="24"/>
        </w:rPr>
        <w:t xml:space="preserve">były </w:t>
      </w:r>
      <w:r w:rsidRPr="0094320D">
        <w:rPr>
          <w:szCs w:val="24"/>
        </w:rPr>
        <w:t>działania w zakresie wzmacniania regionalnych ośrodków wzrostu i rewitalizacji terenów zdegradowanych.</w:t>
      </w:r>
    </w:p>
    <w:p w14:paraId="652C22B7" w14:textId="1EB2FC1B" w:rsidR="006A17F3" w:rsidRPr="0094320D" w:rsidRDefault="00BB42FA" w:rsidP="00F52A28">
      <w:pPr>
        <w:spacing w:after="0"/>
        <w:jc w:val="both"/>
        <w:rPr>
          <w:szCs w:val="24"/>
        </w:rPr>
      </w:pPr>
      <w:r>
        <w:rPr>
          <w:szCs w:val="24"/>
        </w:rPr>
        <w:lastRenderedPageBreak/>
        <w:t>Realizacji priorytetu służyły</w:t>
      </w:r>
      <w:r w:rsidR="006A17F3" w:rsidRPr="0094320D">
        <w:rPr>
          <w:szCs w:val="24"/>
        </w:rPr>
        <w:t xml:space="preserve"> dwa działania:</w:t>
      </w:r>
    </w:p>
    <w:p w14:paraId="693CB692" w14:textId="77777777" w:rsidR="006A17F3" w:rsidRPr="0094320D" w:rsidRDefault="006A17F3" w:rsidP="00F52A28">
      <w:pPr>
        <w:numPr>
          <w:ilvl w:val="0"/>
          <w:numId w:val="33"/>
        </w:numPr>
        <w:spacing w:after="0"/>
        <w:contextualSpacing/>
        <w:jc w:val="both"/>
        <w:rPr>
          <w:i/>
          <w:szCs w:val="24"/>
        </w:rPr>
      </w:pPr>
      <w:r w:rsidRPr="0094320D">
        <w:rPr>
          <w:i/>
          <w:szCs w:val="24"/>
        </w:rPr>
        <w:t>6.1 Wzmacnianie regionalnych ośrodków wzrostu,</w:t>
      </w:r>
    </w:p>
    <w:p w14:paraId="5934F50D" w14:textId="77777777" w:rsidR="006A17F3" w:rsidRPr="0094320D" w:rsidRDefault="006A17F3" w:rsidP="00F52A28">
      <w:pPr>
        <w:numPr>
          <w:ilvl w:val="0"/>
          <w:numId w:val="33"/>
        </w:numPr>
        <w:spacing w:after="0"/>
        <w:contextualSpacing/>
        <w:jc w:val="both"/>
        <w:rPr>
          <w:i/>
          <w:szCs w:val="24"/>
        </w:rPr>
      </w:pPr>
      <w:r w:rsidRPr="0094320D">
        <w:rPr>
          <w:i/>
          <w:szCs w:val="24"/>
        </w:rPr>
        <w:t>6.2 Rewitalizacja obszarów zdegradowanych.</w:t>
      </w:r>
    </w:p>
    <w:p w14:paraId="5FA9D0C8" w14:textId="77777777" w:rsidR="006A17F3" w:rsidRPr="0094320D" w:rsidRDefault="006A17F3" w:rsidP="00F52A28">
      <w:pPr>
        <w:spacing w:after="0"/>
        <w:ind w:left="720"/>
        <w:contextualSpacing/>
        <w:jc w:val="both"/>
        <w:rPr>
          <w:i/>
          <w:szCs w:val="24"/>
        </w:rPr>
      </w:pPr>
    </w:p>
    <w:p w14:paraId="10BB796D" w14:textId="77777777" w:rsidR="006A17F3" w:rsidRPr="0094320D" w:rsidRDefault="006A17F3" w:rsidP="00F52A28">
      <w:pPr>
        <w:spacing w:after="120"/>
        <w:jc w:val="both"/>
        <w:rPr>
          <w:szCs w:val="24"/>
        </w:rPr>
      </w:pPr>
      <w:r w:rsidRPr="0094320D">
        <w:rPr>
          <w:szCs w:val="24"/>
        </w:rPr>
        <w:t xml:space="preserve">Na realizację priorytetu VI alokowano 312 802 445 EUR pochodzących z EFRR, co stanowi 17,90% wartości </w:t>
      </w:r>
      <w:r w:rsidRPr="0094320D">
        <w:rPr>
          <w:i/>
          <w:szCs w:val="24"/>
        </w:rPr>
        <w:t>Programu</w:t>
      </w:r>
      <w:r w:rsidRPr="0094320D">
        <w:rPr>
          <w:szCs w:val="24"/>
        </w:rPr>
        <w:t>.</w:t>
      </w:r>
    </w:p>
    <w:p w14:paraId="032E0C3D" w14:textId="77777777" w:rsidR="006A17F3" w:rsidRPr="0094320D" w:rsidRDefault="006A17F3" w:rsidP="00F52A28">
      <w:pPr>
        <w:spacing w:after="120"/>
        <w:jc w:val="both"/>
        <w:rPr>
          <w:szCs w:val="24"/>
        </w:rPr>
      </w:pPr>
      <w:r w:rsidRPr="0094320D">
        <w:rPr>
          <w:szCs w:val="24"/>
        </w:rPr>
        <w:t>Opis wkładu osi priorytetowej w promowanie równości szans kobiet i mężczyzn znajduje się w pkt. 2.2.1 Sprawozdania.</w:t>
      </w:r>
    </w:p>
    <w:p w14:paraId="18983822" w14:textId="0A9B3A16" w:rsidR="006A17F3" w:rsidRPr="0094320D" w:rsidRDefault="007B6B45" w:rsidP="00F52A28">
      <w:pPr>
        <w:spacing w:after="120"/>
        <w:jc w:val="both"/>
        <w:rPr>
          <w:szCs w:val="24"/>
        </w:rPr>
      </w:pPr>
      <w:r w:rsidRPr="0094320D">
        <w:rPr>
          <w:szCs w:val="24"/>
        </w:rPr>
        <w:t>W ramach priorytetu nie przewidziano finansowania krzyżowego</w:t>
      </w:r>
      <w:r w:rsidR="006A17F3" w:rsidRPr="0094320D">
        <w:rPr>
          <w:szCs w:val="24"/>
        </w:rPr>
        <w:t>.</w:t>
      </w:r>
    </w:p>
    <w:p w14:paraId="2D2A7A71" w14:textId="6429F928" w:rsidR="006A17F3" w:rsidRDefault="0063404A" w:rsidP="00F52A28">
      <w:pPr>
        <w:widowControl w:val="0"/>
        <w:autoSpaceDE w:val="0"/>
        <w:autoSpaceDN w:val="0"/>
        <w:adjustRightInd w:val="0"/>
        <w:spacing w:after="120"/>
        <w:ind w:right="-23"/>
        <w:jc w:val="both"/>
        <w:rPr>
          <w:b/>
          <w:szCs w:val="24"/>
        </w:rPr>
      </w:pPr>
      <w:r w:rsidRPr="0094320D">
        <w:rPr>
          <w:b/>
          <w:szCs w:val="24"/>
        </w:rPr>
        <w:t>Analiza postępu finansowego</w:t>
      </w:r>
    </w:p>
    <w:p w14:paraId="6374E4C4" w14:textId="77777777" w:rsidR="00090020" w:rsidRPr="00090020" w:rsidRDefault="00090020" w:rsidP="00090020">
      <w:pPr>
        <w:widowControl w:val="0"/>
        <w:autoSpaceDE w:val="0"/>
        <w:autoSpaceDN w:val="0"/>
        <w:adjustRightInd w:val="0"/>
        <w:spacing w:after="120"/>
        <w:ind w:right="-23"/>
        <w:jc w:val="both"/>
      </w:pPr>
      <w:r w:rsidRPr="00090020">
        <w:t xml:space="preserve">W ramach przedmiotowego projektu wdrażana była Inicjatywa JESSICA. Szczegółowe informacje na ten temat zostały zamieszczone w punkcie nr 2.6.5 niniejszego </w:t>
      </w:r>
      <w:r w:rsidRPr="00090020">
        <w:rPr>
          <w:i/>
        </w:rPr>
        <w:t xml:space="preserve">Sprawozdania </w:t>
      </w:r>
      <w:r w:rsidRPr="00090020">
        <w:t>oraz załączniku nr XIV.</w:t>
      </w:r>
    </w:p>
    <w:p w14:paraId="3E9F9D87" w14:textId="0BE6B57C" w:rsidR="00090020" w:rsidRPr="00090020" w:rsidRDefault="00090020" w:rsidP="00090020">
      <w:pPr>
        <w:spacing w:after="120"/>
        <w:jc w:val="both"/>
        <w:rPr>
          <w:szCs w:val="24"/>
        </w:rPr>
      </w:pPr>
      <w:r w:rsidRPr="00090020">
        <w:rPr>
          <w:szCs w:val="24"/>
        </w:rPr>
        <w:t xml:space="preserve">W ramach przedmiotowego priorytetu złożono </w:t>
      </w:r>
      <w:r w:rsidR="00DE411F">
        <w:rPr>
          <w:szCs w:val="24"/>
        </w:rPr>
        <w:t>215</w:t>
      </w:r>
      <w:r w:rsidR="00671CF0">
        <w:rPr>
          <w:szCs w:val="24"/>
        </w:rPr>
        <w:t xml:space="preserve"> wnioski</w:t>
      </w:r>
      <w:r w:rsidRPr="00090020">
        <w:rPr>
          <w:szCs w:val="24"/>
        </w:rPr>
        <w:t xml:space="preserve"> o dofi</w:t>
      </w:r>
      <w:r w:rsidR="00671CF0">
        <w:rPr>
          <w:szCs w:val="24"/>
        </w:rPr>
        <w:t>nansowanie poprawne</w:t>
      </w:r>
      <w:r w:rsidRPr="00090020">
        <w:rPr>
          <w:szCs w:val="24"/>
        </w:rPr>
        <w:t xml:space="preserve"> formalnie, na kwotę wnioskowanego dofinansowania 377,56 mln EUR, co stanowi </w:t>
      </w:r>
      <w:r>
        <w:rPr>
          <w:szCs w:val="24"/>
        </w:rPr>
        <w:t>120,70</w:t>
      </w:r>
      <w:r w:rsidRPr="00090020">
        <w:rPr>
          <w:szCs w:val="24"/>
        </w:rPr>
        <w:t xml:space="preserve"> % alokacji priorytetu. Do dofinansowania wybrano 152 projekty o łącznej wartości dofinansowania 306,00 mln EUR. </w:t>
      </w:r>
    </w:p>
    <w:p w14:paraId="04EA72D4" w14:textId="0F43E79D" w:rsidR="00090020" w:rsidRPr="00090020" w:rsidRDefault="00090020" w:rsidP="00090020">
      <w:pPr>
        <w:jc w:val="both"/>
        <w:rPr>
          <w:szCs w:val="24"/>
        </w:rPr>
      </w:pPr>
      <w:r w:rsidRPr="00090020">
        <w:rPr>
          <w:szCs w:val="24"/>
        </w:rPr>
        <w:t xml:space="preserve">Podpisano 146 umów o dofinansowanie. Łączna wartość dofinansowania umów wynosi 295,60 </w:t>
      </w:r>
      <w:r>
        <w:rPr>
          <w:szCs w:val="24"/>
        </w:rPr>
        <w:t>mln EUR, co stanowi</w:t>
      </w:r>
      <w:r w:rsidRPr="00090020">
        <w:rPr>
          <w:szCs w:val="24"/>
        </w:rPr>
        <w:t xml:space="preserve"> 94,50% alokacji na priorytet.</w:t>
      </w:r>
    </w:p>
    <w:p w14:paraId="1499CA58" w14:textId="6EC47074" w:rsidR="00090020" w:rsidRDefault="00090020" w:rsidP="00090020">
      <w:pPr>
        <w:spacing w:after="120"/>
        <w:jc w:val="both"/>
        <w:rPr>
          <w:szCs w:val="24"/>
        </w:rPr>
      </w:pPr>
      <w:r w:rsidRPr="00090020">
        <w:rPr>
          <w:szCs w:val="24"/>
        </w:rPr>
        <w:t xml:space="preserve">Na koniec 2016 roku certyfikowano wydatki na kwotę </w:t>
      </w:r>
      <w:r w:rsidR="00047FF1">
        <w:rPr>
          <w:szCs w:val="24"/>
        </w:rPr>
        <w:t>306,94</w:t>
      </w:r>
      <w:r w:rsidRPr="00090020">
        <w:rPr>
          <w:szCs w:val="24"/>
        </w:rPr>
        <w:t xml:space="preserve"> mln EUR</w:t>
      </w:r>
      <w:r>
        <w:rPr>
          <w:szCs w:val="24"/>
        </w:rPr>
        <w:t>,</w:t>
      </w:r>
      <w:r w:rsidRPr="00090020">
        <w:rPr>
          <w:szCs w:val="24"/>
        </w:rPr>
        <w:t xml:space="preserve"> co stanowi </w:t>
      </w:r>
      <w:r>
        <w:rPr>
          <w:szCs w:val="24"/>
        </w:rPr>
        <w:t>98,</w:t>
      </w:r>
      <w:r w:rsidR="00F74234">
        <w:rPr>
          <w:szCs w:val="24"/>
        </w:rPr>
        <w:t>13</w:t>
      </w:r>
      <w:r w:rsidRPr="00090020">
        <w:rPr>
          <w:szCs w:val="24"/>
        </w:rPr>
        <w:t xml:space="preserve">% dostępnej alokacji. </w:t>
      </w:r>
    </w:p>
    <w:p w14:paraId="5B68EDBA" w14:textId="3F617455" w:rsidR="00090020" w:rsidRDefault="00DE411F" w:rsidP="00DE411F">
      <w:pPr>
        <w:spacing w:after="0"/>
        <w:jc w:val="both"/>
        <w:rPr>
          <w:szCs w:val="24"/>
        </w:rPr>
      </w:pPr>
      <w:r>
        <w:rPr>
          <w:szCs w:val="24"/>
        </w:rPr>
        <w:t>Na poniższym wykresie przedstawiono ogólną informację dot. postępu realizacji priorytetu VI na koniec 2016 roku oraz poziom wykorzystania alokacji.</w:t>
      </w:r>
    </w:p>
    <w:p w14:paraId="18B8A3F1" w14:textId="77777777" w:rsidR="00DE411F" w:rsidRPr="00DE411F" w:rsidRDefault="00DE411F" w:rsidP="00DE411F">
      <w:pPr>
        <w:spacing w:after="0"/>
        <w:jc w:val="both"/>
        <w:rPr>
          <w:szCs w:val="24"/>
        </w:rPr>
      </w:pPr>
    </w:p>
    <w:p w14:paraId="6B8A4C15" w14:textId="3B26071A" w:rsidR="0063404A" w:rsidRPr="0094320D" w:rsidRDefault="00A25192" w:rsidP="00F52A28">
      <w:pPr>
        <w:widowControl w:val="0"/>
        <w:autoSpaceDE w:val="0"/>
        <w:autoSpaceDN w:val="0"/>
        <w:adjustRightInd w:val="0"/>
        <w:spacing w:after="120"/>
        <w:ind w:right="-23"/>
        <w:jc w:val="both"/>
        <w:rPr>
          <w:b/>
          <w:szCs w:val="24"/>
        </w:rPr>
      </w:pPr>
      <w:r>
        <w:rPr>
          <w:noProof/>
        </w:rPr>
        <w:drawing>
          <wp:inline distT="0" distB="0" distL="0" distR="0" wp14:anchorId="3CEB31A2" wp14:editId="330B9CC6">
            <wp:extent cx="6027089" cy="3156585"/>
            <wp:effectExtent l="0" t="0" r="12065" b="5715"/>
            <wp:docPr id="35849" name="Wykres 35849"/>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3647E69D" w14:textId="0649C3D2" w:rsidR="00DE411F" w:rsidRPr="008036EC" w:rsidRDefault="004D7598" w:rsidP="004D7598">
      <w:pPr>
        <w:pStyle w:val="Legenda"/>
        <w:rPr>
          <w:color w:val="auto"/>
          <w:sz w:val="20"/>
          <w:szCs w:val="20"/>
        </w:rPr>
      </w:pPr>
      <w:bookmarkStart w:id="425" w:name="_Toc476832964"/>
      <w:r w:rsidRPr="00A44293">
        <w:rPr>
          <w:color w:val="auto"/>
        </w:rPr>
        <w:lastRenderedPageBreak/>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46</w:t>
      </w:r>
      <w:r w:rsidR="00A44293" w:rsidRPr="00A44293">
        <w:rPr>
          <w:noProof/>
          <w:color w:val="auto"/>
        </w:rPr>
        <w:fldChar w:fldCharType="end"/>
      </w:r>
      <w:r>
        <w:t xml:space="preserve"> </w:t>
      </w:r>
      <w:r w:rsidR="00E740B2">
        <w:rPr>
          <w:b w:val="0"/>
          <w:i/>
          <w:color w:val="auto"/>
          <w:sz w:val="20"/>
          <w:szCs w:val="20"/>
        </w:rPr>
        <w:t>Postęp finansowy</w:t>
      </w:r>
      <w:r w:rsidR="008036EC" w:rsidRPr="008036EC">
        <w:rPr>
          <w:b w:val="0"/>
          <w:i/>
          <w:color w:val="auto"/>
          <w:sz w:val="20"/>
          <w:szCs w:val="20"/>
        </w:rPr>
        <w:t xml:space="preserve"> priorytetu</w:t>
      </w:r>
      <w:r w:rsidR="00DE411F" w:rsidRPr="008036EC">
        <w:rPr>
          <w:color w:val="auto"/>
          <w:sz w:val="20"/>
          <w:szCs w:val="20"/>
        </w:rPr>
        <w:t xml:space="preserve"> </w:t>
      </w:r>
      <w:r w:rsidR="00E740B2" w:rsidRPr="00E740B2">
        <w:rPr>
          <w:b w:val="0"/>
          <w:color w:val="auto"/>
          <w:sz w:val="20"/>
          <w:szCs w:val="20"/>
        </w:rPr>
        <w:t>VI</w:t>
      </w:r>
      <w:bookmarkEnd w:id="425"/>
    </w:p>
    <w:p w14:paraId="0132F52F" w14:textId="4FB2D866" w:rsidR="0091239F" w:rsidRDefault="00DE411F" w:rsidP="00B8015D">
      <w:r w:rsidRPr="00B0267C">
        <w:t xml:space="preserve">Poniżej przedstawiono </w:t>
      </w:r>
      <w:r>
        <w:t xml:space="preserve">realizacje priorytetu w podziale </w:t>
      </w:r>
      <w:r w:rsidRPr="00B0267C">
        <w:t>na działania.</w:t>
      </w:r>
    </w:p>
    <w:p w14:paraId="00491285" w14:textId="0534D319" w:rsidR="00160587" w:rsidRPr="00160587" w:rsidRDefault="004D7598" w:rsidP="004D7598">
      <w:pPr>
        <w:pStyle w:val="Legenda"/>
        <w:rPr>
          <w:color w:val="auto"/>
          <w:sz w:val="20"/>
          <w:szCs w:val="20"/>
        </w:rPr>
      </w:pPr>
      <w:bookmarkStart w:id="426" w:name="_Toc476131811"/>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28</w:t>
      </w:r>
      <w:r w:rsidR="00A44293" w:rsidRPr="00A44293">
        <w:rPr>
          <w:noProof/>
          <w:color w:val="auto"/>
        </w:rPr>
        <w:fldChar w:fldCharType="end"/>
      </w:r>
      <w:r>
        <w:t xml:space="preserve"> </w:t>
      </w:r>
      <w:r w:rsidR="00160587" w:rsidRPr="00160587">
        <w:rPr>
          <w:b w:val="0"/>
          <w:i/>
          <w:color w:val="auto"/>
          <w:sz w:val="20"/>
          <w:szCs w:val="20"/>
        </w:rPr>
        <w:t xml:space="preserve">Postęp </w:t>
      </w:r>
      <w:r w:rsidR="009E3592">
        <w:rPr>
          <w:b w:val="0"/>
          <w:i/>
          <w:color w:val="auto"/>
          <w:sz w:val="20"/>
          <w:szCs w:val="20"/>
        </w:rPr>
        <w:t xml:space="preserve">finansowy w ramach priorytetu VI </w:t>
      </w:r>
      <w:r w:rsidR="00160587" w:rsidRPr="00160587">
        <w:rPr>
          <w:b w:val="0"/>
          <w:i/>
          <w:color w:val="auto"/>
          <w:sz w:val="20"/>
          <w:szCs w:val="20"/>
        </w:rPr>
        <w:t>w podziale na działania</w:t>
      </w:r>
      <w:bookmarkEnd w:id="426"/>
    </w:p>
    <w:tbl>
      <w:tblPr>
        <w:tblStyle w:val="Tabelalisty3akcent61"/>
        <w:tblW w:w="9489" w:type="dxa"/>
        <w:jc w:val="center"/>
        <w:tblLayout w:type="fixed"/>
        <w:tblLook w:val="04A0" w:firstRow="1" w:lastRow="0" w:firstColumn="1" w:lastColumn="0" w:noHBand="0" w:noVBand="1"/>
      </w:tblPr>
      <w:tblGrid>
        <w:gridCol w:w="983"/>
        <w:gridCol w:w="992"/>
        <w:gridCol w:w="1134"/>
        <w:gridCol w:w="992"/>
        <w:gridCol w:w="992"/>
        <w:gridCol w:w="851"/>
        <w:gridCol w:w="917"/>
        <w:gridCol w:w="784"/>
        <w:gridCol w:w="1046"/>
        <w:gridCol w:w="798"/>
      </w:tblGrid>
      <w:tr w:rsidR="00160587" w:rsidRPr="008036EC" w14:paraId="05C0B75A" w14:textId="77777777" w:rsidTr="009B02EB">
        <w:trPr>
          <w:cnfStyle w:val="100000000000" w:firstRow="1" w:lastRow="0" w:firstColumn="0" w:lastColumn="0" w:oddVBand="0" w:evenVBand="0" w:oddHBand="0" w:evenHBand="0" w:firstRowFirstColumn="0" w:firstRowLastColumn="0" w:lastRowFirstColumn="0" w:lastRowLastColumn="0"/>
          <w:trHeight w:val="1061"/>
          <w:jc w:val="center"/>
        </w:trPr>
        <w:tc>
          <w:tcPr>
            <w:cnfStyle w:val="001000000100" w:firstRow="0" w:lastRow="0" w:firstColumn="1" w:lastColumn="0" w:oddVBand="0" w:evenVBand="0" w:oddHBand="0" w:evenHBand="0" w:firstRowFirstColumn="1" w:firstRowLastColumn="0" w:lastRowFirstColumn="0" w:lastRowLastColumn="0"/>
            <w:tcW w:w="983" w:type="dxa"/>
            <w:vMerge w:val="restart"/>
            <w:noWrap/>
            <w:textDirection w:val="btLr"/>
            <w:vAlign w:val="center"/>
            <w:hideMark/>
          </w:tcPr>
          <w:p w14:paraId="5B7A923E" w14:textId="19E4C191" w:rsidR="008036EC" w:rsidRPr="009B02EB" w:rsidRDefault="001D040C" w:rsidP="009B02EB">
            <w:pPr>
              <w:spacing w:after="0" w:line="240" w:lineRule="auto"/>
              <w:ind w:left="113" w:right="113"/>
              <w:jc w:val="center"/>
              <w:rPr>
                <w:bCs w:val="0"/>
                <w:color w:val="000000"/>
                <w:sz w:val="20"/>
                <w:szCs w:val="20"/>
              </w:rPr>
            </w:pPr>
            <w:r w:rsidRPr="009B02EB">
              <w:rPr>
                <w:bCs w:val="0"/>
                <w:color w:val="000000"/>
                <w:sz w:val="20"/>
                <w:szCs w:val="20"/>
              </w:rPr>
              <w:t>DZIAŁANIE</w:t>
            </w:r>
          </w:p>
        </w:tc>
        <w:tc>
          <w:tcPr>
            <w:tcW w:w="992" w:type="dxa"/>
            <w:vMerge w:val="restart"/>
            <w:textDirection w:val="btLr"/>
            <w:vAlign w:val="center"/>
            <w:hideMark/>
          </w:tcPr>
          <w:p w14:paraId="08494538" w14:textId="4A5CF931" w:rsidR="008036EC" w:rsidRPr="009B02EB" w:rsidRDefault="001D040C" w:rsidP="009B02EB">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ALOKACJA MLN EUR</w:t>
            </w:r>
          </w:p>
        </w:tc>
        <w:tc>
          <w:tcPr>
            <w:tcW w:w="2126" w:type="dxa"/>
            <w:gridSpan w:val="2"/>
            <w:vAlign w:val="center"/>
            <w:hideMark/>
          </w:tcPr>
          <w:p w14:paraId="7DF13002" w14:textId="7E4EB0DE" w:rsidR="008036EC"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WNIOSKI WYBRANE DO DOFINANSOWANIA</w:t>
            </w:r>
          </w:p>
        </w:tc>
        <w:tc>
          <w:tcPr>
            <w:tcW w:w="1843" w:type="dxa"/>
            <w:gridSpan w:val="2"/>
            <w:vAlign w:val="center"/>
            <w:hideMark/>
          </w:tcPr>
          <w:p w14:paraId="28CBC58C" w14:textId="6B4E1237" w:rsidR="008036EC"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KONTRAKTACJA</w:t>
            </w:r>
          </w:p>
        </w:tc>
        <w:tc>
          <w:tcPr>
            <w:tcW w:w="1701" w:type="dxa"/>
            <w:gridSpan w:val="2"/>
            <w:noWrap/>
            <w:vAlign w:val="center"/>
            <w:hideMark/>
          </w:tcPr>
          <w:p w14:paraId="2C665969" w14:textId="6881BCD2" w:rsidR="008036EC"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PŁATNOŚCI</w:t>
            </w:r>
          </w:p>
        </w:tc>
        <w:tc>
          <w:tcPr>
            <w:tcW w:w="1844" w:type="dxa"/>
            <w:gridSpan w:val="2"/>
            <w:noWrap/>
            <w:vAlign w:val="center"/>
            <w:hideMark/>
          </w:tcPr>
          <w:p w14:paraId="6D80EAE8" w14:textId="294ABACA" w:rsidR="008036EC"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CERTYFIKACJA</w:t>
            </w:r>
          </w:p>
        </w:tc>
      </w:tr>
      <w:tr w:rsidR="00160587" w:rsidRPr="008036EC" w14:paraId="648DF664" w14:textId="77777777" w:rsidTr="009B02EB">
        <w:trPr>
          <w:cnfStyle w:val="000000100000" w:firstRow="0" w:lastRow="0" w:firstColumn="0" w:lastColumn="0" w:oddVBand="0" w:evenVBand="0" w:oddHBand="1" w:evenHBand="0" w:firstRowFirstColumn="0" w:firstRowLastColumn="0" w:lastRowFirstColumn="0" w:lastRowLastColumn="0"/>
          <w:trHeight w:val="694"/>
          <w:jc w:val="center"/>
        </w:trPr>
        <w:tc>
          <w:tcPr>
            <w:cnfStyle w:val="001000000000" w:firstRow="0" w:lastRow="0" w:firstColumn="1" w:lastColumn="0" w:oddVBand="0" w:evenVBand="0" w:oddHBand="0" w:evenHBand="0" w:firstRowFirstColumn="0" w:firstRowLastColumn="0" w:lastRowFirstColumn="0" w:lastRowLastColumn="0"/>
            <w:tcW w:w="983" w:type="dxa"/>
            <w:vMerge/>
            <w:vAlign w:val="center"/>
            <w:hideMark/>
          </w:tcPr>
          <w:p w14:paraId="4D46AEEB" w14:textId="77777777" w:rsidR="008036EC" w:rsidRPr="008036EC" w:rsidRDefault="008036EC" w:rsidP="009B02EB">
            <w:pPr>
              <w:spacing w:after="0" w:line="240" w:lineRule="auto"/>
              <w:jc w:val="center"/>
              <w:rPr>
                <w:b w:val="0"/>
                <w:bCs w:val="0"/>
                <w:color w:val="000000"/>
                <w:sz w:val="20"/>
                <w:szCs w:val="20"/>
              </w:rPr>
            </w:pPr>
          </w:p>
        </w:tc>
        <w:tc>
          <w:tcPr>
            <w:tcW w:w="992" w:type="dxa"/>
            <w:vMerge/>
            <w:vAlign w:val="center"/>
            <w:hideMark/>
          </w:tcPr>
          <w:p w14:paraId="2BB14231"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1134" w:type="dxa"/>
            <w:vAlign w:val="center"/>
            <w:hideMark/>
          </w:tcPr>
          <w:p w14:paraId="4A451CF4"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mln EUR</w:t>
            </w:r>
          </w:p>
        </w:tc>
        <w:tc>
          <w:tcPr>
            <w:tcW w:w="992" w:type="dxa"/>
            <w:vAlign w:val="center"/>
            <w:hideMark/>
          </w:tcPr>
          <w:p w14:paraId="58749D99"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w:t>
            </w:r>
          </w:p>
        </w:tc>
        <w:tc>
          <w:tcPr>
            <w:tcW w:w="992" w:type="dxa"/>
            <w:vAlign w:val="center"/>
            <w:hideMark/>
          </w:tcPr>
          <w:p w14:paraId="0CCED213"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mln EUR</w:t>
            </w:r>
          </w:p>
        </w:tc>
        <w:tc>
          <w:tcPr>
            <w:tcW w:w="851" w:type="dxa"/>
            <w:vAlign w:val="center"/>
            <w:hideMark/>
          </w:tcPr>
          <w:p w14:paraId="755DCE0F"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w:t>
            </w:r>
          </w:p>
        </w:tc>
        <w:tc>
          <w:tcPr>
            <w:tcW w:w="917" w:type="dxa"/>
            <w:vAlign w:val="center"/>
            <w:hideMark/>
          </w:tcPr>
          <w:p w14:paraId="2AB70744"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mln EUR</w:t>
            </w:r>
          </w:p>
        </w:tc>
        <w:tc>
          <w:tcPr>
            <w:tcW w:w="784" w:type="dxa"/>
            <w:vAlign w:val="center"/>
            <w:hideMark/>
          </w:tcPr>
          <w:p w14:paraId="4A9E923F"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w:t>
            </w:r>
          </w:p>
        </w:tc>
        <w:tc>
          <w:tcPr>
            <w:tcW w:w="1046" w:type="dxa"/>
            <w:vAlign w:val="center"/>
            <w:hideMark/>
          </w:tcPr>
          <w:p w14:paraId="405D4CDC"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mln EUR</w:t>
            </w:r>
          </w:p>
        </w:tc>
        <w:tc>
          <w:tcPr>
            <w:tcW w:w="798" w:type="dxa"/>
            <w:vAlign w:val="center"/>
            <w:hideMark/>
          </w:tcPr>
          <w:p w14:paraId="565A62D2"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8036EC">
              <w:rPr>
                <w:b/>
                <w:bCs/>
                <w:color w:val="000000"/>
                <w:sz w:val="20"/>
                <w:szCs w:val="20"/>
              </w:rPr>
              <w:t>%</w:t>
            </w:r>
          </w:p>
        </w:tc>
      </w:tr>
      <w:tr w:rsidR="00160587" w:rsidRPr="008036EC" w14:paraId="39471B96" w14:textId="77777777" w:rsidTr="009B02EB">
        <w:trPr>
          <w:trHeight w:val="300"/>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35324DF2" w14:textId="77777777" w:rsidR="008036EC" w:rsidRPr="008036EC" w:rsidRDefault="008036EC" w:rsidP="009B02EB">
            <w:pPr>
              <w:spacing w:after="0" w:line="240" w:lineRule="auto"/>
              <w:jc w:val="center"/>
              <w:rPr>
                <w:color w:val="000000"/>
                <w:sz w:val="20"/>
                <w:szCs w:val="20"/>
              </w:rPr>
            </w:pPr>
            <w:r w:rsidRPr="008036EC">
              <w:rPr>
                <w:color w:val="000000"/>
                <w:sz w:val="20"/>
                <w:szCs w:val="20"/>
              </w:rPr>
              <w:t>6.1</w:t>
            </w:r>
          </w:p>
        </w:tc>
        <w:tc>
          <w:tcPr>
            <w:tcW w:w="992" w:type="dxa"/>
            <w:noWrap/>
            <w:vAlign w:val="center"/>
            <w:hideMark/>
          </w:tcPr>
          <w:p w14:paraId="65E4FACE" w14:textId="011AFB32" w:rsidR="008036EC" w:rsidRPr="008036EC" w:rsidRDefault="008036EC"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8036EC">
              <w:rPr>
                <w:sz w:val="20"/>
                <w:szCs w:val="20"/>
              </w:rPr>
              <w:t>127,5</w:t>
            </w:r>
            <w:r w:rsidR="00F64529">
              <w:rPr>
                <w:sz w:val="20"/>
                <w:szCs w:val="20"/>
              </w:rPr>
              <w:t>7</w:t>
            </w:r>
          </w:p>
        </w:tc>
        <w:tc>
          <w:tcPr>
            <w:tcW w:w="1134" w:type="dxa"/>
            <w:noWrap/>
            <w:vAlign w:val="center"/>
            <w:hideMark/>
          </w:tcPr>
          <w:p w14:paraId="1C768C07" w14:textId="77777777" w:rsidR="008036EC" w:rsidRPr="008036EC" w:rsidRDefault="008036EC"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036EC">
              <w:rPr>
                <w:color w:val="000000"/>
                <w:sz w:val="20"/>
                <w:szCs w:val="20"/>
              </w:rPr>
              <w:t>157,96</w:t>
            </w:r>
          </w:p>
        </w:tc>
        <w:tc>
          <w:tcPr>
            <w:tcW w:w="992" w:type="dxa"/>
            <w:noWrap/>
            <w:vAlign w:val="center"/>
            <w:hideMark/>
          </w:tcPr>
          <w:p w14:paraId="0AE69E32" w14:textId="0350AEA5" w:rsidR="008036EC" w:rsidRPr="008036EC" w:rsidRDefault="00160587"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123,83</w:t>
            </w:r>
          </w:p>
        </w:tc>
        <w:tc>
          <w:tcPr>
            <w:tcW w:w="992" w:type="dxa"/>
            <w:noWrap/>
            <w:vAlign w:val="center"/>
            <w:hideMark/>
          </w:tcPr>
          <w:p w14:paraId="4C4F99BD" w14:textId="77777777" w:rsidR="008036EC" w:rsidRPr="008036EC" w:rsidRDefault="008036EC"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036EC">
              <w:rPr>
                <w:color w:val="000000"/>
                <w:sz w:val="20"/>
                <w:szCs w:val="20"/>
              </w:rPr>
              <w:t>120,73</w:t>
            </w:r>
          </w:p>
        </w:tc>
        <w:tc>
          <w:tcPr>
            <w:tcW w:w="851" w:type="dxa"/>
            <w:noWrap/>
            <w:vAlign w:val="center"/>
            <w:hideMark/>
          </w:tcPr>
          <w:p w14:paraId="24C9BCA1" w14:textId="0B6EC9F4" w:rsidR="008036EC" w:rsidRPr="008036EC" w:rsidRDefault="00160587"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94,65</w:t>
            </w:r>
          </w:p>
        </w:tc>
        <w:tc>
          <w:tcPr>
            <w:tcW w:w="917" w:type="dxa"/>
            <w:noWrap/>
            <w:vAlign w:val="center"/>
            <w:hideMark/>
          </w:tcPr>
          <w:p w14:paraId="6A564593" w14:textId="77777777" w:rsidR="008036EC" w:rsidRPr="008036EC" w:rsidRDefault="008036EC"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8036EC">
              <w:rPr>
                <w:color w:val="000000"/>
                <w:sz w:val="20"/>
                <w:szCs w:val="20"/>
              </w:rPr>
              <w:t>118,41</w:t>
            </w:r>
          </w:p>
        </w:tc>
        <w:tc>
          <w:tcPr>
            <w:tcW w:w="784" w:type="dxa"/>
            <w:noWrap/>
            <w:vAlign w:val="center"/>
            <w:hideMark/>
          </w:tcPr>
          <w:p w14:paraId="0AB8177C" w14:textId="010EE2DE" w:rsidR="008036EC" w:rsidRPr="008036EC" w:rsidRDefault="00160587"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92,83</w:t>
            </w:r>
          </w:p>
        </w:tc>
        <w:tc>
          <w:tcPr>
            <w:tcW w:w="1046" w:type="dxa"/>
            <w:noWrap/>
            <w:vAlign w:val="center"/>
            <w:hideMark/>
          </w:tcPr>
          <w:p w14:paraId="5369A5EB" w14:textId="032353C2" w:rsidR="008036EC" w:rsidRPr="008036EC" w:rsidRDefault="00C963D4"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124,55 </w:t>
            </w:r>
          </w:p>
        </w:tc>
        <w:tc>
          <w:tcPr>
            <w:tcW w:w="798" w:type="dxa"/>
            <w:noWrap/>
            <w:vAlign w:val="center"/>
            <w:hideMark/>
          </w:tcPr>
          <w:p w14:paraId="170F1937" w14:textId="220167F2" w:rsidR="008036EC" w:rsidRPr="008036EC" w:rsidRDefault="00C963D4"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97,6</w:t>
            </w:r>
            <w:r w:rsidR="00F64529">
              <w:rPr>
                <w:color w:val="000000"/>
                <w:sz w:val="20"/>
                <w:szCs w:val="20"/>
              </w:rPr>
              <w:t>3</w:t>
            </w:r>
            <w:r>
              <w:rPr>
                <w:color w:val="000000"/>
                <w:sz w:val="20"/>
                <w:szCs w:val="20"/>
              </w:rPr>
              <w:t xml:space="preserve"> </w:t>
            </w:r>
          </w:p>
        </w:tc>
      </w:tr>
      <w:tr w:rsidR="00160587" w:rsidRPr="008036EC" w14:paraId="1B9B1A88" w14:textId="77777777" w:rsidTr="009B02E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77FA23B4" w14:textId="77777777" w:rsidR="008036EC" w:rsidRPr="008036EC" w:rsidRDefault="008036EC" w:rsidP="009B02EB">
            <w:pPr>
              <w:spacing w:after="0" w:line="240" w:lineRule="auto"/>
              <w:jc w:val="center"/>
              <w:rPr>
                <w:color w:val="000000"/>
                <w:sz w:val="20"/>
                <w:szCs w:val="20"/>
              </w:rPr>
            </w:pPr>
            <w:r w:rsidRPr="008036EC">
              <w:rPr>
                <w:color w:val="000000"/>
                <w:sz w:val="20"/>
                <w:szCs w:val="20"/>
              </w:rPr>
              <w:t>6.2</w:t>
            </w:r>
          </w:p>
        </w:tc>
        <w:tc>
          <w:tcPr>
            <w:tcW w:w="992" w:type="dxa"/>
            <w:noWrap/>
            <w:vAlign w:val="center"/>
            <w:hideMark/>
          </w:tcPr>
          <w:p w14:paraId="5238A4E7"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036EC">
              <w:rPr>
                <w:sz w:val="20"/>
                <w:szCs w:val="20"/>
              </w:rPr>
              <w:t>185,23</w:t>
            </w:r>
          </w:p>
        </w:tc>
        <w:tc>
          <w:tcPr>
            <w:tcW w:w="1134" w:type="dxa"/>
            <w:noWrap/>
            <w:vAlign w:val="center"/>
            <w:hideMark/>
          </w:tcPr>
          <w:p w14:paraId="621B1D23"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8036EC">
              <w:rPr>
                <w:color w:val="000000"/>
                <w:sz w:val="20"/>
                <w:szCs w:val="20"/>
              </w:rPr>
              <w:t>148,03</w:t>
            </w:r>
          </w:p>
        </w:tc>
        <w:tc>
          <w:tcPr>
            <w:tcW w:w="992" w:type="dxa"/>
            <w:noWrap/>
            <w:vAlign w:val="center"/>
            <w:hideMark/>
          </w:tcPr>
          <w:p w14:paraId="4539C525" w14:textId="0286F37D" w:rsidR="008036EC" w:rsidRPr="008036E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79,92</w:t>
            </w:r>
          </w:p>
        </w:tc>
        <w:tc>
          <w:tcPr>
            <w:tcW w:w="992" w:type="dxa"/>
            <w:noWrap/>
            <w:vAlign w:val="center"/>
            <w:hideMark/>
          </w:tcPr>
          <w:p w14:paraId="544CF8D4"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8036EC">
              <w:rPr>
                <w:color w:val="000000"/>
                <w:sz w:val="20"/>
                <w:szCs w:val="20"/>
              </w:rPr>
              <w:t>174,86</w:t>
            </w:r>
          </w:p>
        </w:tc>
        <w:tc>
          <w:tcPr>
            <w:tcW w:w="851" w:type="dxa"/>
            <w:noWrap/>
            <w:vAlign w:val="center"/>
            <w:hideMark/>
          </w:tcPr>
          <w:p w14:paraId="27F2B56F" w14:textId="05508E04" w:rsidR="008036EC" w:rsidRPr="008036E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94,40</w:t>
            </w:r>
          </w:p>
        </w:tc>
        <w:tc>
          <w:tcPr>
            <w:tcW w:w="917" w:type="dxa"/>
            <w:noWrap/>
            <w:vAlign w:val="center"/>
            <w:hideMark/>
          </w:tcPr>
          <w:p w14:paraId="252723B1" w14:textId="77777777" w:rsidR="008036EC" w:rsidRPr="008036EC" w:rsidRDefault="008036EC"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8036EC">
              <w:rPr>
                <w:color w:val="000000"/>
                <w:sz w:val="20"/>
                <w:szCs w:val="20"/>
              </w:rPr>
              <w:t>171,41</w:t>
            </w:r>
          </w:p>
        </w:tc>
        <w:tc>
          <w:tcPr>
            <w:tcW w:w="784" w:type="dxa"/>
            <w:noWrap/>
            <w:vAlign w:val="center"/>
            <w:hideMark/>
          </w:tcPr>
          <w:p w14:paraId="6990F1E6" w14:textId="3D072855" w:rsidR="008036EC" w:rsidRPr="008036E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92,54</w:t>
            </w:r>
          </w:p>
        </w:tc>
        <w:tc>
          <w:tcPr>
            <w:tcW w:w="1046" w:type="dxa"/>
            <w:noWrap/>
            <w:vAlign w:val="center"/>
            <w:hideMark/>
          </w:tcPr>
          <w:p w14:paraId="789CF206" w14:textId="2AFD811D" w:rsidR="008036EC" w:rsidRPr="008036EC" w:rsidRDefault="00C963D4"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182,39</w:t>
            </w:r>
          </w:p>
        </w:tc>
        <w:tc>
          <w:tcPr>
            <w:tcW w:w="798" w:type="dxa"/>
            <w:noWrap/>
            <w:vAlign w:val="center"/>
            <w:hideMark/>
          </w:tcPr>
          <w:p w14:paraId="37FDB87B" w14:textId="59297172" w:rsidR="008036EC" w:rsidRPr="008036E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98,47</w:t>
            </w:r>
          </w:p>
        </w:tc>
      </w:tr>
    </w:tbl>
    <w:p w14:paraId="14634095" w14:textId="77777777" w:rsidR="00DE411F" w:rsidRDefault="00DE411F" w:rsidP="00F52A28">
      <w:pPr>
        <w:spacing w:after="120"/>
        <w:contextualSpacing/>
        <w:jc w:val="both"/>
        <w:rPr>
          <w:b/>
          <w:szCs w:val="24"/>
          <w:lang w:eastAsia="ar-SA"/>
        </w:rPr>
      </w:pPr>
    </w:p>
    <w:p w14:paraId="2F3FB6F3" w14:textId="77777777" w:rsidR="006A17F3" w:rsidRPr="0094320D" w:rsidRDefault="006A17F3" w:rsidP="00F52A28">
      <w:pPr>
        <w:spacing w:after="120"/>
        <w:contextualSpacing/>
        <w:jc w:val="both"/>
        <w:rPr>
          <w:b/>
          <w:szCs w:val="24"/>
          <w:lang w:eastAsia="ar-SA"/>
        </w:rPr>
      </w:pPr>
      <w:r w:rsidRPr="0094320D">
        <w:rPr>
          <w:b/>
          <w:szCs w:val="24"/>
          <w:lang w:eastAsia="ar-SA"/>
        </w:rPr>
        <w:t>Projekty kluczowe</w:t>
      </w:r>
    </w:p>
    <w:p w14:paraId="3A5A498A" w14:textId="521193C5" w:rsidR="006A17F3" w:rsidRPr="0094320D" w:rsidRDefault="006A17F3" w:rsidP="00F52A28">
      <w:pPr>
        <w:spacing w:after="120"/>
        <w:contextualSpacing/>
        <w:jc w:val="both"/>
        <w:rPr>
          <w:szCs w:val="24"/>
        </w:rPr>
      </w:pPr>
      <w:r w:rsidRPr="0094320D">
        <w:rPr>
          <w:szCs w:val="24"/>
          <w:lang w:eastAsia="ar-SA"/>
        </w:rPr>
        <w:t xml:space="preserve">W ramach priorytetu realizowane </w:t>
      </w:r>
      <w:r w:rsidR="00BB42FA">
        <w:rPr>
          <w:szCs w:val="24"/>
          <w:lang w:eastAsia="ar-SA"/>
        </w:rPr>
        <w:t>były</w:t>
      </w:r>
      <w:r w:rsidRPr="0094320D">
        <w:rPr>
          <w:szCs w:val="24"/>
          <w:lang w:eastAsia="ar-SA"/>
        </w:rPr>
        <w:t xml:space="preserve"> 4 pr</w:t>
      </w:r>
      <w:r w:rsidR="007817AE">
        <w:rPr>
          <w:szCs w:val="24"/>
          <w:lang w:eastAsia="ar-SA"/>
        </w:rPr>
        <w:t>ojekty kluczowe znajdujące się w</w:t>
      </w:r>
      <w:r w:rsidRPr="0094320D">
        <w:rPr>
          <w:szCs w:val="24"/>
          <w:lang w:eastAsia="ar-SA"/>
        </w:rPr>
        <w:t xml:space="preserve"> IWIPK: </w:t>
      </w:r>
    </w:p>
    <w:p w14:paraId="34C414FD" w14:textId="77777777" w:rsidR="006A17F3" w:rsidRPr="0094320D" w:rsidRDefault="006A17F3" w:rsidP="0021401A">
      <w:pPr>
        <w:numPr>
          <w:ilvl w:val="0"/>
          <w:numId w:val="39"/>
        </w:numPr>
        <w:spacing w:after="120"/>
        <w:ind w:left="851"/>
        <w:contextualSpacing/>
        <w:jc w:val="both"/>
        <w:rPr>
          <w:i/>
          <w:szCs w:val="24"/>
        </w:rPr>
      </w:pPr>
      <w:r w:rsidRPr="0094320D">
        <w:rPr>
          <w:i/>
          <w:szCs w:val="24"/>
        </w:rPr>
        <w:t>Centrum Informacji Naukowej i Biblioteka Akademicka.</w:t>
      </w:r>
    </w:p>
    <w:p w14:paraId="6166104A" w14:textId="77777777" w:rsidR="006A17F3" w:rsidRPr="0094320D" w:rsidRDefault="006A17F3" w:rsidP="0021401A">
      <w:pPr>
        <w:numPr>
          <w:ilvl w:val="0"/>
          <w:numId w:val="39"/>
        </w:numPr>
        <w:spacing w:after="120"/>
        <w:ind w:left="851"/>
        <w:contextualSpacing/>
        <w:jc w:val="both"/>
        <w:rPr>
          <w:i/>
          <w:szCs w:val="24"/>
        </w:rPr>
      </w:pPr>
      <w:r w:rsidRPr="0094320D">
        <w:rPr>
          <w:i/>
          <w:szCs w:val="24"/>
        </w:rPr>
        <w:t>Wzmocnienie znaczenia Centrum Pielgrzymkowego poprzez modernizację Alei Najświętszej Maryi Panny w Częstochowie.</w:t>
      </w:r>
    </w:p>
    <w:p w14:paraId="238BD3AE" w14:textId="77777777" w:rsidR="006A17F3" w:rsidRPr="0094320D" w:rsidRDefault="006A17F3" w:rsidP="0021401A">
      <w:pPr>
        <w:numPr>
          <w:ilvl w:val="0"/>
          <w:numId w:val="39"/>
        </w:numPr>
        <w:spacing w:after="120"/>
        <w:ind w:left="851"/>
        <w:contextualSpacing/>
        <w:jc w:val="both"/>
        <w:rPr>
          <w:i/>
          <w:szCs w:val="24"/>
        </w:rPr>
      </w:pPr>
      <w:r w:rsidRPr="0094320D">
        <w:rPr>
          <w:i/>
          <w:szCs w:val="24"/>
        </w:rPr>
        <w:t>Budowa nowej siedziby Muzeum Śląskiego w Katowicach.</w:t>
      </w:r>
    </w:p>
    <w:p w14:paraId="46448A29" w14:textId="77777777" w:rsidR="006A17F3" w:rsidRPr="0094320D" w:rsidRDefault="006A17F3" w:rsidP="0021401A">
      <w:pPr>
        <w:numPr>
          <w:ilvl w:val="0"/>
          <w:numId w:val="39"/>
        </w:numPr>
        <w:spacing w:after="120"/>
        <w:ind w:left="851"/>
        <w:contextualSpacing/>
        <w:jc w:val="both"/>
        <w:rPr>
          <w:i/>
          <w:szCs w:val="24"/>
        </w:rPr>
      </w:pPr>
      <w:r w:rsidRPr="0094320D">
        <w:rPr>
          <w:i/>
          <w:szCs w:val="24"/>
        </w:rPr>
        <w:t>Międzynarodowe Centrum Kongresowe w Katowicach.</w:t>
      </w:r>
    </w:p>
    <w:p w14:paraId="4E751977" w14:textId="77777777" w:rsidR="006A17F3" w:rsidRPr="0094320D" w:rsidRDefault="006A17F3" w:rsidP="00F52A28">
      <w:pPr>
        <w:spacing w:after="120"/>
        <w:ind w:left="851"/>
        <w:contextualSpacing/>
        <w:jc w:val="both"/>
        <w:rPr>
          <w:i/>
          <w:szCs w:val="24"/>
        </w:rPr>
      </w:pPr>
    </w:p>
    <w:p w14:paraId="388BED17" w14:textId="7C65BC6A" w:rsidR="003524B0" w:rsidRDefault="006A17F3" w:rsidP="00F52A28">
      <w:pPr>
        <w:spacing w:after="120"/>
        <w:contextualSpacing/>
        <w:jc w:val="both"/>
        <w:rPr>
          <w:i/>
          <w:szCs w:val="24"/>
          <w:lang w:eastAsia="ar-SA"/>
        </w:rPr>
      </w:pPr>
      <w:r w:rsidRPr="0094320D">
        <w:rPr>
          <w:szCs w:val="24"/>
          <w:lang w:eastAsia="ar-SA"/>
        </w:rPr>
        <w:t xml:space="preserve">Szczegółowe informacje dot. projektów zostały przedstawione w załączniku nr XII do </w:t>
      </w:r>
      <w:r w:rsidR="00BB42FA">
        <w:rPr>
          <w:i/>
          <w:szCs w:val="24"/>
          <w:lang w:eastAsia="ar-SA"/>
        </w:rPr>
        <w:t>Sprawozdania.</w:t>
      </w:r>
    </w:p>
    <w:p w14:paraId="5DA0FECE" w14:textId="77777777" w:rsidR="00BB42FA" w:rsidRPr="00BB42FA" w:rsidRDefault="00BB42FA" w:rsidP="00F52A28">
      <w:pPr>
        <w:spacing w:after="120"/>
        <w:contextualSpacing/>
        <w:jc w:val="both"/>
        <w:rPr>
          <w:i/>
          <w:szCs w:val="24"/>
          <w:lang w:eastAsia="ar-SA"/>
        </w:rPr>
      </w:pPr>
    </w:p>
    <w:p w14:paraId="6B135B9A" w14:textId="77777777" w:rsidR="006A17F3" w:rsidRPr="0094320D" w:rsidRDefault="006A17F3" w:rsidP="00F52A28">
      <w:pPr>
        <w:spacing w:after="120"/>
        <w:contextualSpacing/>
        <w:jc w:val="both"/>
        <w:rPr>
          <w:b/>
          <w:szCs w:val="24"/>
          <w:lang w:eastAsia="ar-SA"/>
        </w:rPr>
      </w:pPr>
      <w:r w:rsidRPr="0094320D">
        <w:rPr>
          <w:b/>
          <w:szCs w:val="24"/>
          <w:lang w:eastAsia="ar-SA"/>
        </w:rPr>
        <w:t>Harmonogram konkursów</w:t>
      </w:r>
    </w:p>
    <w:p w14:paraId="10DDF948" w14:textId="5AC8CB9F" w:rsidR="006A17F3" w:rsidRPr="000A2FD2" w:rsidRDefault="007817AE" w:rsidP="00F52A28">
      <w:pPr>
        <w:spacing w:after="0"/>
        <w:jc w:val="both"/>
        <w:rPr>
          <w:i/>
          <w:szCs w:val="24"/>
          <w:lang w:eastAsia="ar-SA"/>
        </w:rPr>
      </w:pPr>
      <w:r>
        <w:rPr>
          <w:szCs w:val="24"/>
          <w:lang w:eastAsia="ar-SA"/>
        </w:rPr>
        <w:t>W</w:t>
      </w:r>
      <w:r w:rsidR="00BB42FA" w:rsidRPr="000A2FD2">
        <w:rPr>
          <w:szCs w:val="24"/>
          <w:lang w:eastAsia="ar-SA"/>
        </w:rPr>
        <w:t xml:space="preserve"> ramach priorytetu VI ogłoszono łącznie 5 konkursów, na które przeznaczono w sumie 116,29 mln EUR alokacji. </w:t>
      </w:r>
    </w:p>
    <w:p w14:paraId="1B24B2A6" w14:textId="77777777" w:rsidR="00B8015D" w:rsidRDefault="00B8015D" w:rsidP="004E6046">
      <w:pPr>
        <w:spacing w:before="120" w:after="240"/>
        <w:contextualSpacing/>
        <w:jc w:val="both"/>
        <w:rPr>
          <w:b/>
          <w:szCs w:val="24"/>
          <w:lang w:eastAsia="ar-SA"/>
        </w:rPr>
      </w:pPr>
    </w:p>
    <w:p w14:paraId="0B081DBD" w14:textId="77777777" w:rsidR="004E6046" w:rsidRDefault="004E6046" w:rsidP="004E6046">
      <w:pPr>
        <w:spacing w:before="120" w:after="240"/>
        <w:contextualSpacing/>
        <w:jc w:val="both"/>
        <w:rPr>
          <w:b/>
          <w:szCs w:val="24"/>
          <w:lang w:eastAsia="ar-SA"/>
        </w:rPr>
      </w:pPr>
      <w:r w:rsidRPr="0094320D">
        <w:rPr>
          <w:b/>
          <w:szCs w:val="24"/>
          <w:lang w:eastAsia="ar-SA"/>
        </w:rPr>
        <w:t>Rozkład projektów</w:t>
      </w:r>
    </w:p>
    <w:p w14:paraId="5169A072" w14:textId="5F8A23D5" w:rsidR="004E6046" w:rsidRDefault="004E6046" w:rsidP="004E6046">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w:t>
      </w:r>
      <w:r w:rsidRPr="00D90934">
        <w:rPr>
          <w:szCs w:val="24"/>
          <w:lang w:eastAsia="ar-SA"/>
        </w:rPr>
        <w:t>w przypadkach braku danych w KS</w:t>
      </w:r>
      <w:r>
        <w:rPr>
          <w:szCs w:val="24"/>
          <w:lang w:eastAsia="ar-SA"/>
        </w:rPr>
        <w:t>I dane pochodzą z LSI.</w:t>
      </w:r>
    </w:p>
    <w:p w14:paraId="4984CA63" w14:textId="77777777" w:rsidR="009B02EB" w:rsidRPr="004E6046" w:rsidRDefault="009B02EB" w:rsidP="004E6046">
      <w:pPr>
        <w:pStyle w:val="Akapitzlist"/>
        <w:spacing w:before="120" w:after="240"/>
        <w:ind w:left="0"/>
        <w:jc w:val="both"/>
        <w:rPr>
          <w:szCs w:val="24"/>
          <w:lang w:eastAsia="ar-SA"/>
        </w:rPr>
      </w:pPr>
    </w:p>
    <w:p w14:paraId="5C3D0583" w14:textId="77777777" w:rsidR="004E6046" w:rsidRPr="009B02EB" w:rsidRDefault="004E6046" w:rsidP="009B02EB">
      <w:pPr>
        <w:pStyle w:val="Akapitzlist"/>
        <w:numPr>
          <w:ilvl w:val="0"/>
          <w:numId w:val="107"/>
        </w:numPr>
        <w:spacing w:before="240" w:after="240"/>
        <w:jc w:val="both"/>
        <w:rPr>
          <w:b/>
          <w:szCs w:val="24"/>
          <w:lang w:eastAsia="ar-SA"/>
        </w:rPr>
      </w:pPr>
      <w:r w:rsidRPr="009B02EB">
        <w:rPr>
          <w:b/>
          <w:szCs w:val="24"/>
          <w:lang w:eastAsia="ar-SA"/>
        </w:rPr>
        <w:t>Projekty w podziale na sektory gospodarki</w:t>
      </w:r>
    </w:p>
    <w:p w14:paraId="340DA88E" w14:textId="06551328" w:rsidR="004E6046" w:rsidRPr="009B02EB" w:rsidRDefault="004E6046" w:rsidP="009B02EB">
      <w:pPr>
        <w:spacing w:before="240" w:after="240"/>
        <w:contextualSpacing/>
        <w:jc w:val="both"/>
        <w:rPr>
          <w:szCs w:val="24"/>
          <w:lang w:eastAsia="ar-SA"/>
        </w:rPr>
      </w:pPr>
      <w:r>
        <w:rPr>
          <w:szCs w:val="24"/>
          <w:lang w:eastAsia="ar-SA"/>
        </w:rPr>
        <w:t xml:space="preserve">W ramach przedmiotowego priorytetu, nie </w:t>
      </w:r>
      <w:r w:rsidR="007817AE">
        <w:rPr>
          <w:szCs w:val="24"/>
          <w:lang w:eastAsia="ar-SA"/>
        </w:rPr>
        <w:t>były</w:t>
      </w:r>
      <w:r>
        <w:rPr>
          <w:szCs w:val="24"/>
          <w:lang w:eastAsia="ar-SA"/>
        </w:rPr>
        <w:t xml:space="preserve"> realizowane projekty, które można podzielić na sektory gospodarki.</w:t>
      </w:r>
    </w:p>
    <w:p w14:paraId="48A23273" w14:textId="77777777" w:rsidR="00160587" w:rsidRPr="009B02EB" w:rsidRDefault="00160587" w:rsidP="009B02EB">
      <w:pPr>
        <w:pStyle w:val="Akapitzlist"/>
        <w:numPr>
          <w:ilvl w:val="0"/>
          <w:numId w:val="107"/>
        </w:numPr>
        <w:spacing w:after="120"/>
        <w:jc w:val="both"/>
        <w:rPr>
          <w:b/>
          <w:szCs w:val="24"/>
          <w:lang w:eastAsia="ar-SA"/>
        </w:rPr>
      </w:pPr>
      <w:r w:rsidRPr="009B02EB">
        <w:rPr>
          <w:b/>
          <w:szCs w:val="24"/>
          <w:lang w:eastAsia="ar-SA"/>
        </w:rPr>
        <w:t>Projekty w podziale na formy prawne beneficjentów</w:t>
      </w:r>
    </w:p>
    <w:p w14:paraId="117647DD" w14:textId="2262BDCB" w:rsidR="00160587" w:rsidRPr="007817AE" w:rsidRDefault="00160587" w:rsidP="00160587">
      <w:pPr>
        <w:autoSpaceDE w:val="0"/>
        <w:autoSpaceDN w:val="0"/>
        <w:adjustRightInd w:val="0"/>
        <w:spacing w:after="120"/>
        <w:jc w:val="both"/>
        <w:rPr>
          <w:rFonts w:eastAsia="Calibri"/>
          <w:szCs w:val="24"/>
        </w:rPr>
      </w:pPr>
      <w:r w:rsidRPr="00160587">
        <w:rPr>
          <w:rFonts w:eastAsia="Calibri"/>
          <w:szCs w:val="24"/>
        </w:rPr>
        <w:t xml:space="preserve">Analizując rozkład udzielonego wsparcia według typu beneficjentów, najszersze </w:t>
      </w:r>
      <w:r>
        <w:rPr>
          <w:rFonts w:eastAsia="Calibri"/>
          <w:szCs w:val="24"/>
        </w:rPr>
        <w:t>grono odbiorców stanowią JST (99</w:t>
      </w:r>
      <w:r w:rsidRPr="00160587">
        <w:rPr>
          <w:rFonts w:eastAsia="Calibri"/>
          <w:szCs w:val="24"/>
        </w:rPr>
        <w:t xml:space="preserve"> podpisanych umów na kwotę dofinansowania </w:t>
      </w:r>
      <w:r>
        <w:rPr>
          <w:rFonts w:eastAsia="Calibri"/>
          <w:szCs w:val="24"/>
        </w:rPr>
        <w:t>199,21</w:t>
      </w:r>
      <w:r w:rsidRPr="00160587">
        <w:rPr>
          <w:rFonts w:eastAsia="Calibri"/>
          <w:szCs w:val="24"/>
        </w:rPr>
        <w:t xml:space="preserve"> mln EUR). Na drugim miejscu w kategorii </w:t>
      </w:r>
      <w:r w:rsidR="007817AE">
        <w:rPr>
          <w:rFonts w:eastAsia="Calibri"/>
          <w:szCs w:val="24"/>
        </w:rPr>
        <w:t>„</w:t>
      </w:r>
      <w:r w:rsidRPr="00160587">
        <w:rPr>
          <w:rFonts w:eastAsia="Calibri"/>
          <w:szCs w:val="24"/>
        </w:rPr>
        <w:t>inne</w:t>
      </w:r>
      <w:r w:rsidR="007817AE">
        <w:rPr>
          <w:rFonts w:eastAsia="Calibri"/>
          <w:szCs w:val="24"/>
        </w:rPr>
        <w:t>”</w:t>
      </w:r>
      <w:r w:rsidRPr="00160587">
        <w:rPr>
          <w:rFonts w:eastAsia="Calibri"/>
          <w:szCs w:val="24"/>
        </w:rPr>
        <w:t xml:space="preserve"> znalazły się m. in. spółdzielnie, wspólnoty mieszkaniowe </w:t>
      </w:r>
      <w:r w:rsidRPr="00160587">
        <w:rPr>
          <w:rFonts w:eastAsia="Calibri"/>
          <w:szCs w:val="24"/>
        </w:rPr>
        <w:lastRenderedPageBreak/>
        <w:t>oraz publiczne zakłady opieki zdrowotnej. W ramach przedmiotowego priorytetu</w:t>
      </w:r>
      <w:r w:rsidR="007817AE">
        <w:rPr>
          <w:rFonts w:eastAsia="Calibri"/>
          <w:szCs w:val="24"/>
        </w:rPr>
        <w:t>,</w:t>
      </w:r>
      <w:r w:rsidRPr="00160587">
        <w:rPr>
          <w:rFonts w:eastAsia="Calibri"/>
          <w:szCs w:val="24"/>
        </w:rPr>
        <w:t xml:space="preserve"> przedsiębiorstwa</w:t>
      </w:r>
      <w:r w:rsidRPr="00160587">
        <w:rPr>
          <w:noProof/>
        </w:rPr>
        <w:t xml:space="preserve"> oznaczają jednostki organizacyjne JST.</w:t>
      </w:r>
    </w:p>
    <w:p w14:paraId="4682E410" w14:textId="56A9A1F9" w:rsidR="00160587" w:rsidRPr="00160587" w:rsidRDefault="00160587" w:rsidP="00160587">
      <w:pPr>
        <w:autoSpaceDE w:val="0"/>
        <w:autoSpaceDN w:val="0"/>
        <w:adjustRightInd w:val="0"/>
        <w:spacing w:after="120"/>
        <w:jc w:val="both"/>
        <w:rPr>
          <w:noProof/>
        </w:rPr>
      </w:pPr>
      <w:r>
        <w:rPr>
          <w:noProof/>
        </w:rPr>
        <w:drawing>
          <wp:inline distT="0" distB="0" distL="0" distR="0" wp14:anchorId="44B7A7BF" wp14:editId="08CC9B2F">
            <wp:extent cx="5759450" cy="3219450"/>
            <wp:effectExtent l="0" t="0" r="0" b="0"/>
            <wp:docPr id="35850" name="Wykres 35850"/>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F484291" w14:textId="2DDDAE0F" w:rsidR="004E1E39" w:rsidRPr="009E3592" w:rsidRDefault="009E3592" w:rsidP="009E3592">
      <w:pPr>
        <w:pStyle w:val="Legenda"/>
        <w:rPr>
          <w:b w:val="0"/>
          <w:i/>
          <w:color w:val="auto"/>
          <w:szCs w:val="24"/>
          <w:lang w:eastAsia="ar-SA"/>
        </w:rPr>
      </w:pPr>
      <w:bookmarkStart w:id="427" w:name="_Toc476832965"/>
      <w:r w:rsidRPr="009E3592">
        <w:rPr>
          <w:color w:val="auto"/>
        </w:rPr>
        <w:t xml:space="preserve">Rysunek </w:t>
      </w:r>
      <w:r w:rsidRPr="009E3592">
        <w:rPr>
          <w:color w:val="auto"/>
        </w:rPr>
        <w:fldChar w:fldCharType="begin"/>
      </w:r>
      <w:r w:rsidRPr="009E3592">
        <w:rPr>
          <w:color w:val="auto"/>
        </w:rPr>
        <w:instrText xml:space="preserve"> SEQ Rysunek \* ARABIC </w:instrText>
      </w:r>
      <w:r w:rsidRPr="009E3592">
        <w:rPr>
          <w:color w:val="auto"/>
        </w:rPr>
        <w:fldChar w:fldCharType="separate"/>
      </w:r>
      <w:r w:rsidR="0050297D">
        <w:rPr>
          <w:noProof/>
          <w:color w:val="auto"/>
        </w:rPr>
        <w:t>47</w:t>
      </w:r>
      <w:r w:rsidRPr="009E3592">
        <w:rPr>
          <w:color w:val="auto"/>
        </w:rPr>
        <w:fldChar w:fldCharType="end"/>
      </w:r>
      <w:r w:rsidRPr="009E3592">
        <w:rPr>
          <w:b w:val="0"/>
          <w:i/>
          <w:color w:val="auto"/>
        </w:rPr>
        <w:t xml:space="preserve"> Rozkład projektów w ramach priorytetu VI w podziale na beneficjentów</w:t>
      </w:r>
      <w:bookmarkEnd w:id="427"/>
      <w:r w:rsidRPr="009E3592">
        <w:rPr>
          <w:b w:val="0"/>
          <w:i/>
          <w:color w:val="auto"/>
        </w:rPr>
        <w:t xml:space="preserve"> </w:t>
      </w:r>
    </w:p>
    <w:p w14:paraId="01AF93D9" w14:textId="77777777" w:rsidR="00160587" w:rsidRPr="009B02EB" w:rsidRDefault="00160587" w:rsidP="009B02EB">
      <w:pPr>
        <w:pStyle w:val="Akapitzlist"/>
        <w:numPr>
          <w:ilvl w:val="0"/>
          <w:numId w:val="107"/>
        </w:numPr>
        <w:spacing w:after="120"/>
        <w:jc w:val="both"/>
        <w:rPr>
          <w:b/>
          <w:szCs w:val="24"/>
          <w:lang w:eastAsia="ar-SA"/>
        </w:rPr>
      </w:pPr>
      <w:r w:rsidRPr="009B02EB">
        <w:rPr>
          <w:b/>
          <w:szCs w:val="24"/>
          <w:lang w:eastAsia="ar-SA"/>
        </w:rPr>
        <w:t>Projekty w podziale na rozkład terytorialny</w:t>
      </w:r>
    </w:p>
    <w:p w14:paraId="47C7A5E7" w14:textId="51F946A2" w:rsidR="00160587" w:rsidRPr="00160587" w:rsidRDefault="00160587" w:rsidP="00160587">
      <w:pPr>
        <w:autoSpaceDE w:val="0"/>
        <w:autoSpaceDN w:val="0"/>
        <w:adjustRightInd w:val="0"/>
        <w:spacing w:after="0"/>
        <w:jc w:val="both"/>
        <w:rPr>
          <w:rFonts w:eastAsia="Calibri"/>
          <w:i/>
          <w:szCs w:val="24"/>
        </w:rPr>
      </w:pPr>
      <w:r w:rsidRPr="00160587">
        <w:rPr>
          <w:rFonts w:eastAsia="Calibri"/>
          <w:szCs w:val="24"/>
        </w:rPr>
        <w:t xml:space="preserve">Ponad </w:t>
      </w:r>
      <w:r>
        <w:rPr>
          <w:rFonts w:eastAsia="Calibri"/>
          <w:bCs/>
          <w:szCs w:val="24"/>
        </w:rPr>
        <w:t>93</w:t>
      </w:r>
      <w:r w:rsidRPr="00160587">
        <w:rPr>
          <w:rFonts w:eastAsia="Calibri"/>
          <w:bCs/>
          <w:szCs w:val="24"/>
        </w:rPr>
        <w:t xml:space="preserve">% </w:t>
      </w:r>
      <w:r w:rsidRPr="00160587">
        <w:rPr>
          <w:rFonts w:eastAsia="Calibri"/>
          <w:szCs w:val="24"/>
        </w:rPr>
        <w:t xml:space="preserve">środków skierowanych zostało na realizacje inwestycji na obszarach miejskich, natomiast około </w:t>
      </w:r>
      <w:r w:rsidRPr="00160587">
        <w:rPr>
          <w:rFonts w:eastAsia="Calibri"/>
          <w:bCs/>
          <w:szCs w:val="24"/>
        </w:rPr>
        <w:t xml:space="preserve">6% </w:t>
      </w:r>
      <w:r w:rsidRPr="00160587">
        <w:rPr>
          <w:rFonts w:eastAsia="Calibri"/>
          <w:szCs w:val="24"/>
        </w:rPr>
        <w:t xml:space="preserve">na terenach wiejskich. Przewaga projektów na obszarach miejskich związana jest z charakterem priorytetu, którego celem </w:t>
      </w:r>
      <w:r w:rsidR="00BB25A2">
        <w:rPr>
          <w:rFonts w:eastAsia="Calibri"/>
          <w:szCs w:val="24"/>
        </w:rPr>
        <w:t>był</w:t>
      </w:r>
      <w:r w:rsidRPr="00160587">
        <w:rPr>
          <w:rFonts w:eastAsia="Calibri"/>
          <w:szCs w:val="24"/>
        </w:rPr>
        <w:t xml:space="preserve"> </w:t>
      </w:r>
      <w:r w:rsidRPr="00160587">
        <w:rPr>
          <w:rFonts w:eastAsia="Calibri"/>
          <w:i/>
          <w:szCs w:val="24"/>
        </w:rPr>
        <w:t>wzrost konkurencyjności przestrzeni miejskiej województwa.</w:t>
      </w:r>
    </w:p>
    <w:p w14:paraId="51345FFE" w14:textId="77777777" w:rsidR="00160587" w:rsidRPr="00160587" w:rsidRDefault="00160587" w:rsidP="00160587">
      <w:pPr>
        <w:autoSpaceDE w:val="0"/>
        <w:autoSpaceDN w:val="0"/>
        <w:adjustRightInd w:val="0"/>
        <w:spacing w:after="0"/>
        <w:jc w:val="both"/>
        <w:rPr>
          <w:rFonts w:eastAsia="Calibri"/>
          <w:i/>
          <w:szCs w:val="24"/>
        </w:rPr>
      </w:pPr>
    </w:p>
    <w:p w14:paraId="61537248" w14:textId="389435DA" w:rsidR="00160587" w:rsidRPr="00160587" w:rsidRDefault="000D34C2" w:rsidP="00160587">
      <w:pPr>
        <w:pStyle w:val="Legenda"/>
        <w:keepNext/>
        <w:jc w:val="both"/>
        <w:rPr>
          <w:b w:val="0"/>
          <w:color w:val="auto"/>
          <w:sz w:val="20"/>
          <w:szCs w:val="20"/>
        </w:rPr>
      </w:pPr>
      <w:bookmarkStart w:id="428" w:name="_Toc476131812"/>
      <w:r>
        <w:rPr>
          <w:color w:val="auto"/>
          <w:sz w:val="20"/>
          <w:szCs w:val="20"/>
        </w:rPr>
        <w:t>Tabela</w:t>
      </w:r>
      <w:r w:rsidR="00160587" w:rsidRPr="00160587">
        <w:rPr>
          <w:color w:val="auto"/>
          <w:sz w:val="20"/>
          <w:szCs w:val="20"/>
        </w:rPr>
        <w:t xml:space="preserve"> </w:t>
      </w:r>
      <w:r>
        <w:rPr>
          <w:color w:val="auto"/>
          <w:sz w:val="20"/>
          <w:szCs w:val="20"/>
        </w:rPr>
        <w:fldChar w:fldCharType="begin"/>
      </w:r>
      <w:r>
        <w:rPr>
          <w:color w:val="auto"/>
          <w:sz w:val="20"/>
          <w:szCs w:val="20"/>
        </w:rPr>
        <w:instrText xml:space="preserve"> SEQ Tabela \* ARABIC </w:instrText>
      </w:r>
      <w:r>
        <w:rPr>
          <w:color w:val="auto"/>
          <w:sz w:val="20"/>
          <w:szCs w:val="20"/>
        </w:rPr>
        <w:fldChar w:fldCharType="separate"/>
      </w:r>
      <w:r w:rsidR="0050297D">
        <w:rPr>
          <w:noProof/>
          <w:color w:val="auto"/>
          <w:sz w:val="20"/>
          <w:szCs w:val="20"/>
        </w:rPr>
        <w:t>29</w:t>
      </w:r>
      <w:r>
        <w:rPr>
          <w:color w:val="auto"/>
          <w:sz w:val="20"/>
          <w:szCs w:val="20"/>
        </w:rPr>
        <w:fldChar w:fldCharType="end"/>
      </w:r>
      <w:r w:rsidR="00160587" w:rsidRPr="00160587">
        <w:rPr>
          <w:b w:val="0"/>
          <w:bCs w:val="0"/>
          <w:color w:val="auto"/>
          <w:sz w:val="20"/>
          <w:szCs w:val="20"/>
        </w:rPr>
        <w:t xml:space="preserve"> </w:t>
      </w:r>
      <w:r w:rsidR="00160587" w:rsidRPr="00160587">
        <w:rPr>
          <w:b w:val="0"/>
          <w:bCs w:val="0"/>
          <w:i/>
          <w:color w:val="auto"/>
          <w:sz w:val="20"/>
          <w:szCs w:val="20"/>
        </w:rPr>
        <w:t>Rozkład projektów w ramach priorytetu VI w podziale na obszary</w:t>
      </w:r>
      <w:bookmarkEnd w:id="428"/>
      <w:r w:rsidR="00160587" w:rsidRPr="00160587">
        <w:rPr>
          <w:b w:val="0"/>
          <w:bCs w:val="0"/>
          <w:i/>
          <w:color w:val="auto"/>
          <w:sz w:val="20"/>
          <w:szCs w:val="20"/>
        </w:rPr>
        <w:t xml:space="preserve"> </w:t>
      </w:r>
    </w:p>
    <w:tbl>
      <w:tblPr>
        <w:tblStyle w:val="Tabelalisty3akcent61"/>
        <w:tblpPr w:leftFromText="141" w:rightFromText="141" w:vertAnchor="text" w:tblpXSpec="center" w:tblpY="1"/>
        <w:tblW w:w="5420" w:type="dxa"/>
        <w:tblLook w:val="04A0" w:firstRow="1" w:lastRow="0" w:firstColumn="1" w:lastColumn="0" w:noHBand="0" w:noVBand="1"/>
      </w:tblPr>
      <w:tblGrid>
        <w:gridCol w:w="1560"/>
        <w:gridCol w:w="1308"/>
        <w:gridCol w:w="2552"/>
      </w:tblGrid>
      <w:tr w:rsidR="00160587" w:rsidRPr="00160587" w14:paraId="59D11AD5" w14:textId="77777777" w:rsidTr="009B02EB">
        <w:trPr>
          <w:cnfStyle w:val="100000000000" w:firstRow="1" w:lastRow="0" w:firstColumn="0" w:lastColumn="0" w:oddVBand="0" w:evenVBand="0" w:oddHBand="0" w:evenHBand="0" w:firstRowFirstColumn="0" w:firstRowLastColumn="0" w:lastRowFirstColumn="0" w:lastRowLastColumn="0"/>
          <w:trHeight w:val="810"/>
        </w:trPr>
        <w:tc>
          <w:tcPr>
            <w:cnfStyle w:val="001000000100" w:firstRow="0" w:lastRow="0" w:firstColumn="1" w:lastColumn="0" w:oddVBand="0" w:evenVBand="0" w:oddHBand="0" w:evenHBand="0" w:firstRowFirstColumn="1" w:firstRowLastColumn="0" w:lastRowFirstColumn="0" w:lastRowLastColumn="0"/>
            <w:tcW w:w="1560" w:type="dxa"/>
            <w:vAlign w:val="center"/>
            <w:hideMark/>
          </w:tcPr>
          <w:p w14:paraId="59541A48" w14:textId="77777777" w:rsidR="00160587" w:rsidRPr="00160587" w:rsidRDefault="00160587" w:rsidP="009B02EB">
            <w:pPr>
              <w:spacing w:after="0" w:line="240" w:lineRule="auto"/>
              <w:jc w:val="center"/>
              <w:rPr>
                <w:color w:val="auto"/>
                <w:sz w:val="20"/>
              </w:rPr>
            </w:pPr>
            <w:r w:rsidRPr="00160587">
              <w:rPr>
                <w:color w:val="auto"/>
                <w:sz w:val="20"/>
              </w:rPr>
              <w:t>OBSZAR</w:t>
            </w:r>
          </w:p>
        </w:tc>
        <w:tc>
          <w:tcPr>
            <w:tcW w:w="1308" w:type="dxa"/>
            <w:vAlign w:val="center"/>
            <w:hideMark/>
          </w:tcPr>
          <w:p w14:paraId="0A812C1A" w14:textId="77777777" w:rsidR="00160587" w:rsidRPr="00160587" w:rsidRDefault="00160587"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160587">
              <w:rPr>
                <w:color w:val="auto"/>
                <w:sz w:val="20"/>
              </w:rPr>
              <w:t>LICZBA</w:t>
            </w:r>
          </w:p>
        </w:tc>
        <w:tc>
          <w:tcPr>
            <w:tcW w:w="2552" w:type="dxa"/>
            <w:vAlign w:val="center"/>
            <w:hideMark/>
          </w:tcPr>
          <w:p w14:paraId="1885A329" w14:textId="77777777" w:rsidR="00160587" w:rsidRPr="00160587" w:rsidRDefault="00160587"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160587">
              <w:rPr>
                <w:color w:val="auto"/>
                <w:sz w:val="20"/>
              </w:rPr>
              <w:t>DOFINANSOWANIE UE</w:t>
            </w:r>
          </w:p>
        </w:tc>
      </w:tr>
      <w:tr w:rsidR="00160587" w:rsidRPr="00160587" w14:paraId="0AB1CBCB" w14:textId="77777777" w:rsidTr="009B02EB">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45FF4D66" w14:textId="70407B65" w:rsidR="00160587" w:rsidRPr="001D040C" w:rsidRDefault="001D040C" w:rsidP="009B02EB">
            <w:pPr>
              <w:spacing w:after="0" w:line="240" w:lineRule="auto"/>
              <w:jc w:val="center"/>
              <w:rPr>
                <w:b w:val="0"/>
                <w:sz w:val="20"/>
              </w:rPr>
            </w:pPr>
            <w:r w:rsidRPr="001D040C">
              <w:rPr>
                <w:b w:val="0"/>
                <w:sz w:val="20"/>
              </w:rPr>
              <w:t>Miejski</w:t>
            </w:r>
          </w:p>
        </w:tc>
        <w:tc>
          <w:tcPr>
            <w:tcW w:w="1308" w:type="dxa"/>
            <w:vAlign w:val="center"/>
          </w:tcPr>
          <w:p w14:paraId="6E490ABC" w14:textId="45E07A06" w:rsidR="00160587" w:rsidRPr="001D040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120</w:t>
            </w:r>
          </w:p>
        </w:tc>
        <w:tc>
          <w:tcPr>
            <w:tcW w:w="2552" w:type="dxa"/>
            <w:vAlign w:val="center"/>
          </w:tcPr>
          <w:p w14:paraId="032DAF7C" w14:textId="35132787" w:rsidR="00160587" w:rsidRPr="001D040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276,01</w:t>
            </w:r>
          </w:p>
        </w:tc>
      </w:tr>
      <w:tr w:rsidR="00160587" w:rsidRPr="00160587" w14:paraId="6F51E0ED" w14:textId="77777777" w:rsidTr="009B02EB">
        <w:trPr>
          <w:trHeight w:val="505"/>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61E3D083" w14:textId="2125AF7F" w:rsidR="00160587" w:rsidRPr="001D040C" w:rsidRDefault="001D040C" w:rsidP="009B02EB">
            <w:pPr>
              <w:spacing w:after="0" w:line="240" w:lineRule="auto"/>
              <w:jc w:val="center"/>
              <w:rPr>
                <w:b w:val="0"/>
                <w:sz w:val="20"/>
              </w:rPr>
            </w:pPr>
            <w:r w:rsidRPr="001D040C">
              <w:rPr>
                <w:b w:val="0"/>
                <w:sz w:val="20"/>
              </w:rPr>
              <w:t>Wiejski</w:t>
            </w:r>
          </w:p>
        </w:tc>
        <w:tc>
          <w:tcPr>
            <w:tcW w:w="1308" w:type="dxa"/>
            <w:vAlign w:val="center"/>
          </w:tcPr>
          <w:p w14:paraId="7BC31109" w14:textId="77777777" w:rsidR="00160587" w:rsidRPr="001D040C" w:rsidRDefault="00160587"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1D040C">
              <w:rPr>
                <w:sz w:val="20"/>
              </w:rPr>
              <w:t>23</w:t>
            </w:r>
          </w:p>
        </w:tc>
        <w:tc>
          <w:tcPr>
            <w:tcW w:w="2552" w:type="dxa"/>
            <w:vAlign w:val="center"/>
          </w:tcPr>
          <w:p w14:paraId="057186ED" w14:textId="352D2E40" w:rsidR="00160587" w:rsidRPr="001D040C" w:rsidRDefault="00160587"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1D040C">
              <w:rPr>
                <w:sz w:val="20"/>
              </w:rPr>
              <w:t>18,21</w:t>
            </w:r>
          </w:p>
        </w:tc>
      </w:tr>
      <w:tr w:rsidR="00160587" w:rsidRPr="00160587" w14:paraId="1E7AB7D6" w14:textId="77777777" w:rsidTr="009B02EB">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332ED218" w14:textId="176A155D" w:rsidR="00160587" w:rsidRPr="001D040C" w:rsidRDefault="001D040C" w:rsidP="009B02EB">
            <w:pPr>
              <w:spacing w:after="0" w:line="240" w:lineRule="auto"/>
              <w:jc w:val="center"/>
              <w:rPr>
                <w:b w:val="0"/>
                <w:sz w:val="20"/>
              </w:rPr>
            </w:pPr>
            <w:r w:rsidRPr="001D040C">
              <w:rPr>
                <w:b w:val="0"/>
                <w:sz w:val="20"/>
              </w:rPr>
              <w:t>Górski</w:t>
            </w:r>
          </w:p>
        </w:tc>
        <w:tc>
          <w:tcPr>
            <w:tcW w:w="1308" w:type="dxa"/>
            <w:vAlign w:val="center"/>
          </w:tcPr>
          <w:p w14:paraId="263EAF13" w14:textId="77777777" w:rsidR="00160587" w:rsidRPr="001D040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3</w:t>
            </w:r>
          </w:p>
        </w:tc>
        <w:tc>
          <w:tcPr>
            <w:tcW w:w="2552" w:type="dxa"/>
            <w:vAlign w:val="center"/>
          </w:tcPr>
          <w:p w14:paraId="4DCF22E6" w14:textId="143D79C1" w:rsidR="00160587" w:rsidRPr="001D040C" w:rsidRDefault="00160587"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1,38</w:t>
            </w:r>
          </w:p>
        </w:tc>
      </w:tr>
    </w:tbl>
    <w:p w14:paraId="64EB3DE5" w14:textId="77777777" w:rsidR="00160587" w:rsidRPr="00160587" w:rsidRDefault="00160587" w:rsidP="00160587">
      <w:pPr>
        <w:tabs>
          <w:tab w:val="left" w:pos="1276"/>
        </w:tabs>
        <w:autoSpaceDE w:val="0"/>
        <w:autoSpaceDN w:val="0"/>
        <w:adjustRightInd w:val="0"/>
        <w:spacing w:after="120"/>
        <w:jc w:val="both"/>
        <w:rPr>
          <w:szCs w:val="24"/>
        </w:rPr>
      </w:pPr>
      <w:r w:rsidRPr="00160587">
        <w:rPr>
          <w:szCs w:val="24"/>
        </w:rPr>
        <w:br w:type="textWrapping" w:clear="all"/>
      </w:r>
    </w:p>
    <w:p w14:paraId="2FB25A07" w14:textId="70CA1CAD" w:rsidR="00160587" w:rsidRDefault="00160587" w:rsidP="00160587">
      <w:pPr>
        <w:tabs>
          <w:tab w:val="left" w:pos="1276"/>
        </w:tabs>
        <w:autoSpaceDE w:val="0"/>
        <w:autoSpaceDN w:val="0"/>
        <w:adjustRightInd w:val="0"/>
        <w:spacing w:after="120"/>
        <w:jc w:val="both"/>
        <w:rPr>
          <w:szCs w:val="24"/>
        </w:rPr>
      </w:pPr>
      <w:r w:rsidRPr="00160587">
        <w:rPr>
          <w:szCs w:val="24"/>
        </w:rPr>
        <w:t xml:space="preserve">Wsparcie w ramach priorytetu VI pozyskali głównie beneficjenci z centrum i </w:t>
      </w:r>
      <w:r w:rsidR="003B6607">
        <w:rPr>
          <w:szCs w:val="24"/>
        </w:rPr>
        <w:t xml:space="preserve">subregionu zachodniego </w:t>
      </w:r>
      <w:r w:rsidRPr="00160587">
        <w:rPr>
          <w:szCs w:val="24"/>
        </w:rPr>
        <w:t xml:space="preserve">województwa. W podziale na powiaty ziemskie najwięcej środków zostało przeznaczonych na </w:t>
      </w:r>
      <w:r>
        <w:rPr>
          <w:szCs w:val="24"/>
        </w:rPr>
        <w:t xml:space="preserve">powiat wodzisławski i </w:t>
      </w:r>
      <w:r w:rsidRPr="00160587">
        <w:rPr>
          <w:szCs w:val="24"/>
        </w:rPr>
        <w:t>powiat będziński, gdzie kwota dofinansowania UE wynosi</w:t>
      </w:r>
      <w:r w:rsidR="003B6607">
        <w:rPr>
          <w:szCs w:val="24"/>
        </w:rPr>
        <w:t xml:space="preserve"> odpowiednio 9,24 mln EUR i</w:t>
      </w:r>
      <w:r w:rsidRPr="00160587">
        <w:rPr>
          <w:szCs w:val="24"/>
        </w:rPr>
        <w:t xml:space="preserve"> </w:t>
      </w:r>
      <w:r>
        <w:rPr>
          <w:szCs w:val="24"/>
        </w:rPr>
        <w:t>8,93</w:t>
      </w:r>
      <w:r w:rsidRPr="00160587">
        <w:rPr>
          <w:szCs w:val="24"/>
        </w:rPr>
        <w:t xml:space="preserve"> mln EUR. W ramach powiatów grodzkich (miasta na prawach powiatu) największe dofinansowanie otrzymało Miasto Katowice tj. </w:t>
      </w:r>
      <w:r w:rsidR="003B6607">
        <w:rPr>
          <w:szCs w:val="24"/>
        </w:rPr>
        <w:t>104,45</w:t>
      </w:r>
      <w:r w:rsidRPr="00160587">
        <w:rPr>
          <w:szCs w:val="24"/>
        </w:rPr>
        <w:t xml:space="preserve"> mln EUR, Miasto Częstochowa tj. </w:t>
      </w:r>
      <w:r w:rsidR="003B6607">
        <w:rPr>
          <w:szCs w:val="24"/>
        </w:rPr>
        <w:t>17,73</w:t>
      </w:r>
      <w:r w:rsidRPr="00160587">
        <w:rPr>
          <w:szCs w:val="24"/>
        </w:rPr>
        <w:t xml:space="preserve"> mln EUR oraz Miasto Bielsko-Biała tj. </w:t>
      </w:r>
      <w:r w:rsidR="003B6607">
        <w:rPr>
          <w:szCs w:val="24"/>
        </w:rPr>
        <w:t>9,76</w:t>
      </w:r>
      <w:r w:rsidRPr="00160587">
        <w:rPr>
          <w:szCs w:val="24"/>
        </w:rPr>
        <w:t xml:space="preserve"> mln EUR.</w:t>
      </w:r>
    </w:p>
    <w:p w14:paraId="3D9BADBC" w14:textId="77777777" w:rsidR="00DD2AE5" w:rsidRDefault="00DD2AE5" w:rsidP="00DD2AE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lastRenderedPageBreak/>
        <w:t>Poniżej na mapie przedstawiono rozkład projektów realizowanych w ramach przedmiotowego priorytetu na powiaty.</w:t>
      </w:r>
    </w:p>
    <w:p w14:paraId="1E3A4CA9" w14:textId="77777777" w:rsidR="00DD2AE5" w:rsidRDefault="00DD2AE5" w:rsidP="00160587">
      <w:pPr>
        <w:tabs>
          <w:tab w:val="left" w:pos="1276"/>
        </w:tabs>
        <w:autoSpaceDE w:val="0"/>
        <w:autoSpaceDN w:val="0"/>
        <w:adjustRightInd w:val="0"/>
        <w:spacing w:after="120"/>
        <w:jc w:val="both"/>
        <w:rPr>
          <w:szCs w:val="24"/>
        </w:rPr>
      </w:pPr>
    </w:p>
    <w:p w14:paraId="54C631DF" w14:textId="70EE2F92" w:rsidR="00160587" w:rsidRDefault="00B100A3" w:rsidP="00160587">
      <w:pPr>
        <w:tabs>
          <w:tab w:val="left" w:pos="1276"/>
        </w:tabs>
        <w:autoSpaceDE w:val="0"/>
        <w:autoSpaceDN w:val="0"/>
        <w:adjustRightInd w:val="0"/>
        <w:spacing w:after="120"/>
        <w:jc w:val="both"/>
        <w:rPr>
          <w:szCs w:val="24"/>
        </w:rPr>
      </w:pPr>
      <w:r w:rsidRPr="00160587">
        <w:rPr>
          <w:noProof/>
          <w:szCs w:val="24"/>
        </w:rPr>
        <w:lastRenderedPageBreak/>
        <w:drawing>
          <wp:inline distT="0" distB="0" distL="0" distR="0" wp14:anchorId="7CA3E1BB" wp14:editId="594A4510">
            <wp:extent cx="5759450" cy="8139430"/>
            <wp:effectExtent l="0" t="0" r="0" b="0"/>
            <wp:docPr id="35851" name="Obraz 35851" descr="W:\RRF\!Zespół ds monitoringu\Perspektywa 2007-2013\Sprawozdanie końcowe\Piotr\mapki\P6\P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RRF\!Zespół ds monitoringu\Perspektywa 2007-2013\Sprawozdanie końcowe\Piotr\mapki\P6\P6.jpe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9450" cy="8139430"/>
                    </a:xfrm>
                    <a:prstGeom prst="rect">
                      <a:avLst/>
                    </a:prstGeom>
                    <a:noFill/>
                    <a:ln>
                      <a:noFill/>
                    </a:ln>
                  </pic:spPr>
                </pic:pic>
              </a:graphicData>
            </a:graphic>
          </wp:inline>
        </w:drawing>
      </w:r>
    </w:p>
    <w:p w14:paraId="52741273" w14:textId="591B840B" w:rsidR="00160587" w:rsidRDefault="00160587" w:rsidP="00160587">
      <w:pPr>
        <w:tabs>
          <w:tab w:val="left" w:pos="1276"/>
        </w:tabs>
        <w:autoSpaceDE w:val="0"/>
        <w:autoSpaceDN w:val="0"/>
        <w:adjustRightInd w:val="0"/>
        <w:spacing w:after="120"/>
        <w:jc w:val="both"/>
        <w:rPr>
          <w:szCs w:val="24"/>
        </w:rPr>
      </w:pPr>
    </w:p>
    <w:p w14:paraId="6A5537FB" w14:textId="62D74B60" w:rsidR="004E1E39" w:rsidRPr="001F484B" w:rsidRDefault="004D7598" w:rsidP="001F484B">
      <w:pPr>
        <w:pStyle w:val="Legenda"/>
        <w:rPr>
          <w:b w:val="0"/>
          <w:i/>
          <w:color w:val="auto"/>
          <w:sz w:val="20"/>
          <w:szCs w:val="20"/>
        </w:rPr>
      </w:pPr>
      <w:bookmarkStart w:id="429" w:name="_Toc476832966"/>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48</w:t>
      </w:r>
      <w:r w:rsidR="00A44293" w:rsidRPr="00A44293">
        <w:rPr>
          <w:noProof/>
          <w:color w:val="auto"/>
        </w:rPr>
        <w:fldChar w:fldCharType="end"/>
      </w:r>
      <w:r w:rsidRPr="00A44293">
        <w:rPr>
          <w:color w:val="auto"/>
        </w:rPr>
        <w:t xml:space="preserve"> </w:t>
      </w:r>
      <w:r w:rsidR="00B100A3" w:rsidRPr="00B100A3">
        <w:rPr>
          <w:b w:val="0"/>
          <w:i/>
          <w:color w:val="auto"/>
          <w:sz w:val="20"/>
          <w:szCs w:val="20"/>
        </w:rPr>
        <w:t xml:space="preserve">Rozkład projektów </w:t>
      </w:r>
      <w:r w:rsidR="009E3592">
        <w:rPr>
          <w:b w:val="0"/>
          <w:i/>
          <w:color w:val="auto"/>
          <w:sz w:val="20"/>
          <w:szCs w:val="20"/>
        </w:rPr>
        <w:t xml:space="preserve">w ramach priorytetu VI </w:t>
      </w:r>
      <w:r w:rsidR="00B100A3" w:rsidRPr="00B100A3">
        <w:rPr>
          <w:b w:val="0"/>
          <w:i/>
          <w:color w:val="auto"/>
          <w:sz w:val="20"/>
          <w:szCs w:val="20"/>
        </w:rPr>
        <w:t>w podziale na powiaty</w:t>
      </w:r>
      <w:bookmarkEnd w:id="429"/>
    </w:p>
    <w:p w14:paraId="68347E3B" w14:textId="77777777" w:rsidR="00160587" w:rsidRPr="009B02EB" w:rsidRDefault="00160587" w:rsidP="009B02EB">
      <w:pPr>
        <w:pStyle w:val="Akapitzlist"/>
        <w:numPr>
          <w:ilvl w:val="0"/>
          <w:numId w:val="107"/>
        </w:numPr>
        <w:spacing w:before="120" w:after="120"/>
        <w:jc w:val="both"/>
        <w:rPr>
          <w:b/>
          <w:szCs w:val="24"/>
          <w:lang w:eastAsia="ar-SA"/>
        </w:rPr>
      </w:pPr>
      <w:r w:rsidRPr="009B02EB">
        <w:rPr>
          <w:b/>
          <w:szCs w:val="24"/>
          <w:lang w:eastAsia="ar-SA"/>
        </w:rPr>
        <w:lastRenderedPageBreak/>
        <w:t>Projekty w podziale na obszary wsparcia</w:t>
      </w:r>
    </w:p>
    <w:p w14:paraId="40DB8669" w14:textId="77777777" w:rsidR="00160587" w:rsidRPr="00160587" w:rsidRDefault="00160587" w:rsidP="00160587">
      <w:pPr>
        <w:shd w:val="clear" w:color="auto" w:fill="FFFFFF"/>
        <w:tabs>
          <w:tab w:val="left" w:pos="1276"/>
        </w:tabs>
        <w:autoSpaceDE w:val="0"/>
        <w:autoSpaceDN w:val="0"/>
        <w:adjustRightInd w:val="0"/>
        <w:spacing w:after="120"/>
        <w:jc w:val="both"/>
        <w:rPr>
          <w:szCs w:val="24"/>
          <w:lang w:eastAsia="ar-SA"/>
        </w:rPr>
      </w:pPr>
      <w:r w:rsidRPr="00160587">
        <w:rPr>
          <w:szCs w:val="24"/>
          <w:lang w:eastAsia="ar-SA"/>
        </w:rPr>
        <w:t>W priorytecie VI większość projektów realizowanych jest w ramach obszaru wsparcia rewitalizacja. Działania podejmowane w ramach priorytetu są powiązane z działaniami realizowanymi w ramach Programu Operacyjnego Infrastruktura i Środowisko, Innowacyjna Gospodarka, Kapitał Ludzki oraz Programu Rozwoju Obszarów Wiejskich, Programu Współpracy Transgranicznej (komplementarność międzyprogramowa).</w:t>
      </w:r>
    </w:p>
    <w:p w14:paraId="06D0976E" w14:textId="77777777" w:rsidR="009645F7" w:rsidRPr="009645F7" w:rsidRDefault="009645F7" w:rsidP="009645F7">
      <w:pPr>
        <w:tabs>
          <w:tab w:val="left" w:pos="1276"/>
        </w:tabs>
        <w:autoSpaceDE w:val="0"/>
        <w:autoSpaceDN w:val="0"/>
        <w:adjustRightInd w:val="0"/>
        <w:spacing w:after="120"/>
        <w:jc w:val="both"/>
        <w:rPr>
          <w:b/>
          <w:szCs w:val="24"/>
        </w:rPr>
      </w:pPr>
      <w:r w:rsidRPr="009645F7">
        <w:rPr>
          <w:b/>
          <w:szCs w:val="24"/>
        </w:rPr>
        <w:t>Analiza postępu rzeczowego</w:t>
      </w:r>
    </w:p>
    <w:p w14:paraId="0B4DF84F" w14:textId="77777777" w:rsidR="009645F7" w:rsidRPr="00F30C77" w:rsidRDefault="009645F7" w:rsidP="009645F7">
      <w:pPr>
        <w:jc w:val="both"/>
        <w:rPr>
          <w:szCs w:val="24"/>
        </w:rPr>
      </w:pPr>
      <w:r w:rsidRPr="009955C3">
        <w:rPr>
          <w:szCs w:val="24"/>
        </w:rPr>
        <w:t>W załącznik</w:t>
      </w:r>
      <w:r>
        <w:rPr>
          <w:szCs w:val="24"/>
        </w:rPr>
        <w:t>u</w:t>
      </w:r>
      <w:r w:rsidRPr="009955C3">
        <w:rPr>
          <w:szCs w:val="24"/>
        </w:rPr>
        <w:t xml:space="preserve"> </w:t>
      </w:r>
      <w:r w:rsidRPr="009645F7">
        <w:rPr>
          <w:szCs w:val="24"/>
        </w:rPr>
        <w:t>IV</w:t>
      </w:r>
      <w:r w:rsidRPr="009955C3">
        <w:rPr>
          <w:szCs w:val="24"/>
        </w:rPr>
        <w:t xml:space="preserve"> do niniejszego </w:t>
      </w:r>
      <w:r w:rsidRPr="009955C3">
        <w:rPr>
          <w:i/>
          <w:szCs w:val="24"/>
        </w:rPr>
        <w:t>Sprawozdania</w:t>
      </w:r>
      <w:r w:rsidRPr="009955C3">
        <w:rPr>
          <w:szCs w:val="24"/>
        </w:rPr>
        <w:t xml:space="preserve"> zostały przedstawione programowe wskaźniki produktu i rezultatu </w:t>
      </w:r>
      <w:r>
        <w:rPr>
          <w:szCs w:val="24"/>
        </w:rPr>
        <w:t>dla priorytetu VI</w:t>
      </w:r>
      <w:r w:rsidRPr="009955C3">
        <w:rPr>
          <w:szCs w:val="24"/>
        </w:rPr>
        <w:t>, dla kolejnych lat w ujęciu kumulatywnym. Przedstawione informacje prezentowan</w:t>
      </w:r>
      <w:r>
        <w:rPr>
          <w:szCs w:val="24"/>
        </w:rPr>
        <w:t>e są według stanu na koniec 2016</w:t>
      </w:r>
      <w:r w:rsidRPr="009955C3">
        <w:rPr>
          <w:szCs w:val="24"/>
        </w:rPr>
        <w:t xml:space="preserve"> roku</w:t>
      </w:r>
      <w:r>
        <w:rPr>
          <w:szCs w:val="24"/>
        </w:rPr>
        <w:t xml:space="preserve"> i zostały</w:t>
      </w:r>
      <w:r w:rsidRPr="009955C3">
        <w:rPr>
          <w:szCs w:val="24"/>
        </w:rPr>
        <w:t xml:space="preserve"> oparte na danych dotyczących operacji zakończonych. Określone zostały war</w:t>
      </w:r>
      <w:r>
        <w:rPr>
          <w:szCs w:val="24"/>
        </w:rPr>
        <w:t>tości docelowe dla 2010, 2013 i </w:t>
      </w:r>
      <w:r w:rsidRPr="009955C3">
        <w:rPr>
          <w:szCs w:val="24"/>
        </w:rPr>
        <w:t>2015 ro</w:t>
      </w:r>
      <w:r>
        <w:rPr>
          <w:szCs w:val="24"/>
        </w:rPr>
        <w:t>ku</w:t>
      </w:r>
      <w:r w:rsidRPr="009955C3">
        <w:rPr>
          <w:szCs w:val="24"/>
        </w:rPr>
        <w:t xml:space="preserve">. Przedstawiono </w:t>
      </w:r>
      <w:r>
        <w:rPr>
          <w:szCs w:val="24"/>
        </w:rPr>
        <w:t>także wskaźniki przedmiotowego p</w:t>
      </w:r>
      <w:r w:rsidRPr="009955C3">
        <w:rPr>
          <w:szCs w:val="24"/>
        </w:rPr>
        <w:t>riorytetu w podziale na działania i</w:t>
      </w:r>
      <w:r>
        <w:rPr>
          <w:szCs w:val="24"/>
        </w:rPr>
        <w:t> </w:t>
      </w:r>
      <w:r w:rsidRPr="009955C3">
        <w:rPr>
          <w:szCs w:val="24"/>
        </w:rPr>
        <w:t>poddziałania</w:t>
      </w:r>
      <w:r>
        <w:rPr>
          <w:szCs w:val="24"/>
        </w:rPr>
        <w:t>.</w:t>
      </w:r>
    </w:p>
    <w:p w14:paraId="493B9BA8" w14:textId="195715A4" w:rsidR="009645F7" w:rsidRPr="001751BD" w:rsidRDefault="009645F7" w:rsidP="009645F7">
      <w:pPr>
        <w:jc w:val="both"/>
      </w:pPr>
      <w:r>
        <w:t xml:space="preserve">W większości przypadków wskaźniki produktu przekroczyły znacznie zaplanowaną wartość docelową. Wskaźnik </w:t>
      </w:r>
      <w:r w:rsidRPr="008D5483">
        <w:rPr>
          <w:i/>
        </w:rPr>
        <w:t>Liczba projektów dot. infrastruktury społeczeństwa informacyjnego</w:t>
      </w:r>
      <w:r>
        <w:t xml:space="preserve"> osiągnął 220% wartości docelowej, głównie poprzez duże zainteresowanie gmin realizacją projektów dot. tworzenia i rozbudowy systemów monitoringu wizyjnego w celu podniesienia bezpieczeństwa w przestrzeniach publicznych. Ponadto</w:t>
      </w:r>
      <w:r w:rsidR="00BB25A2">
        <w:t>,</w:t>
      </w:r>
      <w:r>
        <w:t xml:space="preserve"> w ramach priorytetu zaplanowana była realizacja dużych projektów </w:t>
      </w:r>
      <w:r w:rsidR="00BB25A2">
        <w:t>w rozumieniu przepisów UE</w:t>
      </w:r>
      <w:r>
        <w:t>, jednak w trakcie wdrażania RPO WSL jeden z projektów dużych nie został zrealizowany</w:t>
      </w:r>
      <w:r w:rsidR="00BB25A2">
        <w:t>,</w:t>
      </w:r>
      <w:r>
        <w:t xml:space="preserve"> a środki zostały przeznaczone na mniejsze projekty konkursowe. W związku z powyższym</w:t>
      </w:r>
      <w:r w:rsidR="00BB25A2">
        <w:t>,</w:t>
      </w:r>
      <w:r>
        <w:t xml:space="preserve"> wartość wskaźnika: </w:t>
      </w:r>
      <w:r w:rsidRPr="007D7BA9">
        <w:rPr>
          <w:i/>
        </w:rPr>
        <w:t>Liczba projektów zapewniających zrównoważony rozwój oraz poprawiających atrakcyjność miast</w:t>
      </w:r>
      <w:r>
        <w:rPr>
          <w:i/>
        </w:rPr>
        <w:t xml:space="preserve"> </w:t>
      </w:r>
      <w:r>
        <w:t>przekroczyła założoną</w:t>
      </w:r>
      <w:r w:rsidRPr="001751BD">
        <w:t xml:space="preserve"> wartość</w:t>
      </w:r>
      <w:r>
        <w:t xml:space="preserve"> docelową</w:t>
      </w:r>
      <w:r w:rsidRPr="001751BD">
        <w:t>.</w:t>
      </w:r>
    </w:p>
    <w:p w14:paraId="0ECF5546" w14:textId="5A4EF2FA" w:rsidR="009645F7" w:rsidRDefault="009645F7" w:rsidP="009645F7">
      <w:pPr>
        <w:jc w:val="both"/>
      </w:pPr>
      <w:r>
        <w:t xml:space="preserve">Wśród wskaźników rezultatu priorytetu VI większość wskaźników osiągnęła poziom założonej wartości docelowej. </w:t>
      </w:r>
      <w:r w:rsidR="00005EF5">
        <w:t>Dotyczy to również wskaźnika</w:t>
      </w:r>
      <w:r>
        <w:t xml:space="preserve"> </w:t>
      </w:r>
      <w:r w:rsidR="004668EA">
        <w:rPr>
          <w:i/>
        </w:rPr>
        <w:t>Liczba imprez organizowanych z </w:t>
      </w:r>
      <w:r w:rsidRPr="0009438C">
        <w:rPr>
          <w:i/>
        </w:rPr>
        <w:t>wykorzystaniem infrastruktury objętej wsparciem w ramach priorytetu</w:t>
      </w:r>
      <w:r>
        <w:t xml:space="preserve">, który </w:t>
      </w:r>
      <w:r w:rsidR="00005EF5">
        <w:t xml:space="preserve">jednakże </w:t>
      </w:r>
      <w:r>
        <w:t>znacząco przekroczył wyznaczoną w Programie wartość docelową. Główną przyczyną wyższej wartości była większa liczb organizowanych imprez we wspieranych z RPO WSL obiektach. Na wartość docelową wskaźnika składała się realizacja 120 dużych eventów tymczasem samo działanie 6.1, zapewniło realizację na poziomie 1110 szt., co stanowi blisko 1000% wartości docelowej wskaźnika. Z powodu nadrealizacji ww. wskaźnika nastąpiło także przekroczenie wartości docelowej wskaźnika rezultatu</w:t>
      </w:r>
      <w:r w:rsidR="00BB25A2">
        <w:t>.</w:t>
      </w:r>
      <w:r>
        <w:t xml:space="preserve"> </w:t>
      </w:r>
      <w:r w:rsidRPr="00BB25A2">
        <w:rPr>
          <w:i/>
        </w:rPr>
        <w:t>Liczba osób korzystających z infrastruktury objętej wsparciem</w:t>
      </w:r>
      <w:r>
        <w:t xml:space="preserve">, w ramach, którego zliczane były osoby uczestniczące w </w:t>
      </w:r>
      <w:r w:rsidR="00BB25A2">
        <w:t xml:space="preserve">imprezach </w:t>
      </w:r>
      <w:r>
        <w:t xml:space="preserve">zorganizowanych we wspartych obiektach. </w:t>
      </w:r>
    </w:p>
    <w:p w14:paraId="58374F31" w14:textId="77777777" w:rsidR="00DF7ADF" w:rsidRDefault="00DF7ADF" w:rsidP="00DF7ADF">
      <w:pPr>
        <w:jc w:val="both"/>
      </w:pPr>
      <w:r>
        <w:t>Poniżej na wykresie zaprezentowano podział wskaźników ze względu na procent realizacji wartości docelowej.</w:t>
      </w:r>
    </w:p>
    <w:p w14:paraId="293EDCE1" w14:textId="54944C13" w:rsidR="009645F7" w:rsidRDefault="009645F7" w:rsidP="009645F7">
      <w:pPr>
        <w:jc w:val="both"/>
      </w:pPr>
    </w:p>
    <w:p w14:paraId="03324CD8" w14:textId="6BAC63F3" w:rsidR="009645F7" w:rsidRDefault="009645F7" w:rsidP="009645F7">
      <w:pPr>
        <w:jc w:val="both"/>
        <w:rPr>
          <w:rFonts w:cs="Perpetua"/>
          <w:szCs w:val="24"/>
        </w:rPr>
      </w:pPr>
      <w:r>
        <w:rPr>
          <w:noProof/>
        </w:rPr>
        <w:lastRenderedPageBreak/>
        <w:drawing>
          <wp:inline distT="0" distB="0" distL="0" distR="0" wp14:anchorId="365D5085" wp14:editId="78178816">
            <wp:extent cx="5943600" cy="3076575"/>
            <wp:effectExtent l="0" t="0" r="0" b="0"/>
            <wp:docPr id="128" name="Wykres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3BBA9F56" w14:textId="7AB92C01" w:rsidR="009645F7" w:rsidRDefault="004D7598" w:rsidP="004D7598">
      <w:pPr>
        <w:pStyle w:val="Legenda"/>
        <w:rPr>
          <w:b w:val="0"/>
          <w:i/>
          <w:color w:val="auto"/>
          <w:sz w:val="20"/>
          <w:szCs w:val="20"/>
        </w:rPr>
      </w:pPr>
      <w:bookmarkStart w:id="430" w:name="_Toc476832967"/>
      <w:bookmarkStart w:id="431" w:name="_Toc386571472"/>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49</w:t>
      </w:r>
      <w:r w:rsidR="00A44293" w:rsidRPr="00A44293">
        <w:rPr>
          <w:noProof/>
          <w:color w:val="auto"/>
        </w:rPr>
        <w:fldChar w:fldCharType="end"/>
      </w:r>
      <w:r>
        <w:t xml:space="preserve"> </w:t>
      </w:r>
      <w:r w:rsidR="009645F7" w:rsidRPr="00EA0052">
        <w:rPr>
          <w:b w:val="0"/>
          <w:i/>
          <w:color w:val="auto"/>
          <w:sz w:val="20"/>
          <w:szCs w:val="20"/>
        </w:rPr>
        <w:t>Realizacja wskaźników</w:t>
      </w:r>
      <w:bookmarkEnd w:id="430"/>
      <w:r w:rsidR="009645F7" w:rsidRPr="00EA0052">
        <w:rPr>
          <w:b w:val="0"/>
          <w:i/>
          <w:color w:val="auto"/>
          <w:sz w:val="20"/>
          <w:szCs w:val="20"/>
        </w:rPr>
        <w:t xml:space="preserve"> </w:t>
      </w:r>
      <w:bookmarkEnd w:id="431"/>
    </w:p>
    <w:p w14:paraId="047C6C38" w14:textId="775F320F" w:rsidR="00A62517" w:rsidRPr="005B067F" w:rsidRDefault="00A62517" w:rsidP="00A62517">
      <w:pPr>
        <w:jc w:val="both"/>
        <w:rPr>
          <w:iCs/>
        </w:rPr>
      </w:pPr>
      <w:r>
        <w:t>Odnosząc się do wskazanej w analizie SWOT słabej</w:t>
      </w:r>
      <w:r w:rsidRPr="006D71C7">
        <w:t xml:space="preserve"> stron</w:t>
      </w:r>
      <w:r>
        <w:t xml:space="preserve">y </w:t>
      </w:r>
      <w:r w:rsidRPr="000B579E">
        <w:rPr>
          <w:i/>
        </w:rPr>
        <w:t>degradacja starych dzielnic przemysłowych i centrów miast</w:t>
      </w:r>
      <w:r w:rsidR="00BB25A2">
        <w:t xml:space="preserve">, </w:t>
      </w:r>
      <w:r>
        <w:t xml:space="preserve">możemy znaleźć dla niej odpowiedź w postaci </w:t>
      </w:r>
      <w:r w:rsidRPr="006D71C7">
        <w:t xml:space="preserve">wskaźnika </w:t>
      </w:r>
      <w:r w:rsidRPr="006D71C7">
        <w:rPr>
          <w:i/>
        </w:rPr>
        <w:t>Powierzchnia terenów zrewitalizowanych w wyniku realizacji projektów</w:t>
      </w:r>
      <w:r>
        <w:t>, którego</w:t>
      </w:r>
      <w:r w:rsidRPr="006D71C7">
        <w:t xml:space="preserve"> poziom realizacji sięga </w:t>
      </w:r>
      <w:r>
        <w:t>224,1</w:t>
      </w:r>
      <w:r w:rsidRPr="006D71C7">
        <w:t xml:space="preserve"> hektara.</w:t>
      </w:r>
    </w:p>
    <w:p w14:paraId="017F67D0" w14:textId="4F131E90" w:rsidR="009645F7" w:rsidRDefault="009645F7" w:rsidP="009645F7">
      <w:pPr>
        <w:jc w:val="both"/>
      </w:pPr>
      <w:r>
        <w:t xml:space="preserve">Korelację pomiędzy wskaźnikami w ramach </w:t>
      </w:r>
      <w:r w:rsidR="009E3592">
        <w:t>priorytetu VI</w:t>
      </w:r>
      <w:r>
        <w:t xml:space="preserve"> a Strategią UE 2020 (inicjatywami flagowymi) przedstawiono poniżej.</w:t>
      </w:r>
    </w:p>
    <w:p w14:paraId="2B885594" w14:textId="622E532F" w:rsidR="009E3592" w:rsidRPr="009E3592" w:rsidRDefault="004D7598" w:rsidP="004D7598">
      <w:pPr>
        <w:pStyle w:val="Legenda"/>
        <w:rPr>
          <w:color w:val="auto"/>
          <w:sz w:val="20"/>
          <w:szCs w:val="20"/>
        </w:rPr>
      </w:pPr>
      <w:bookmarkStart w:id="432" w:name="_Toc476131813"/>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30</w:t>
      </w:r>
      <w:r w:rsidR="00A44293" w:rsidRPr="00A44293">
        <w:rPr>
          <w:noProof/>
          <w:color w:val="auto"/>
        </w:rPr>
        <w:fldChar w:fldCharType="end"/>
      </w:r>
      <w:r>
        <w:t xml:space="preserve"> </w:t>
      </w:r>
      <w:r w:rsidR="009E3592" w:rsidRPr="009E3592">
        <w:rPr>
          <w:b w:val="0"/>
          <w:i/>
          <w:color w:val="auto"/>
          <w:sz w:val="20"/>
          <w:szCs w:val="20"/>
        </w:rPr>
        <w:t>Korelację pomiędzy wskaźnikami w ramach priorytetu VI a Strategią UE 2020</w:t>
      </w:r>
      <w:bookmarkEnd w:id="432"/>
    </w:p>
    <w:tbl>
      <w:tblPr>
        <w:tblStyle w:val="Tabelalisty3akcent6"/>
        <w:tblW w:w="0" w:type="auto"/>
        <w:tblLook w:val="04A0" w:firstRow="1" w:lastRow="0" w:firstColumn="1" w:lastColumn="0" w:noHBand="0" w:noVBand="1"/>
      </w:tblPr>
      <w:tblGrid>
        <w:gridCol w:w="3823"/>
        <w:gridCol w:w="5237"/>
      </w:tblGrid>
      <w:tr w:rsidR="00435117" w14:paraId="18E5AA40" w14:textId="77777777" w:rsidTr="009B02E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23" w:type="dxa"/>
            <w:vAlign w:val="center"/>
          </w:tcPr>
          <w:p w14:paraId="0FBE3835" w14:textId="7B49A96E" w:rsidR="009645F7" w:rsidRPr="001751BD" w:rsidRDefault="009B02EB" w:rsidP="009B02EB">
            <w:pPr>
              <w:jc w:val="center"/>
              <w:rPr>
                <w:color w:val="auto"/>
                <w:sz w:val="20"/>
                <w:szCs w:val="20"/>
              </w:rPr>
            </w:pPr>
            <w:r>
              <w:rPr>
                <w:color w:val="auto"/>
                <w:sz w:val="20"/>
                <w:szCs w:val="20"/>
              </w:rPr>
              <w:t>INICJATYWA FLAGOWA</w:t>
            </w:r>
          </w:p>
        </w:tc>
        <w:tc>
          <w:tcPr>
            <w:tcW w:w="5237" w:type="dxa"/>
            <w:vAlign w:val="center"/>
          </w:tcPr>
          <w:p w14:paraId="0F7F1217" w14:textId="1A617EDE" w:rsidR="009645F7" w:rsidRPr="001751BD" w:rsidRDefault="009B02EB" w:rsidP="009B02EB">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Pr>
                <w:color w:val="auto"/>
                <w:sz w:val="20"/>
                <w:szCs w:val="20"/>
              </w:rPr>
              <w:t>WSKAŹNIK</w:t>
            </w:r>
          </w:p>
        </w:tc>
      </w:tr>
      <w:tr w:rsidR="009645F7" w14:paraId="4CEA5189" w14:textId="77777777" w:rsidTr="009B02EB">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DC129B0" w14:textId="77777777" w:rsidR="009645F7" w:rsidRPr="009B02EB" w:rsidRDefault="009645F7" w:rsidP="009B02EB">
            <w:pPr>
              <w:rPr>
                <w:b w:val="0"/>
                <w:sz w:val="20"/>
                <w:szCs w:val="20"/>
              </w:rPr>
            </w:pPr>
            <w:r w:rsidRPr="009B02EB">
              <w:rPr>
                <w:rFonts w:eastAsia="+mn-ea"/>
                <w:b w:val="0"/>
                <w:sz w:val="20"/>
                <w:szCs w:val="20"/>
              </w:rPr>
              <w:t>Europejska Agenda Cyfrowa</w:t>
            </w:r>
          </w:p>
          <w:p w14:paraId="36690B42" w14:textId="77777777" w:rsidR="009645F7" w:rsidRPr="009B02EB" w:rsidRDefault="009645F7" w:rsidP="009B02EB">
            <w:pPr>
              <w:rPr>
                <w:b w:val="0"/>
                <w:sz w:val="20"/>
                <w:szCs w:val="20"/>
              </w:rPr>
            </w:pPr>
          </w:p>
        </w:tc>
        <w:tc>
          <w:tcPr>
            <w:tcW w:w="5237" w:type="dxa"/>
            <w:vAlign w:val="center"/>
          </w:tcPr>
          <w:p w14:paraId="76E1BBB0" w14:textId="77777777" w:rsidR="009645F7" w:rsidRPr="009B02EB" w:rsidRDefault="009645F7" w:rsidP="009B02EB">
            <w:pPr>
              <w:cnfStyle w:val="000000100000" w:firstRow="0" w:lastRow="0" w:firstColumn="0" w:lastColumn="0" w:oddVBand="0" w:evenVBand="0" w:oddHBand="1" w:evenHBand="0" w:firstRowFirstColumn="0" w:firstRowLastColumn="0" w:lastRowFirstColumn="0" w:lastRowLastColumn="0"/>
              <w:rPr>
                <w:sz w:val="20"/>
                <w:szCs w:val="20"/>
              </w:rPr>
            </w:pPr>
            <w:r w:rsidRPr="009B02EB">
              <w:rPr>
                <w:rFonts w:eastAsia="+mn-ea"/>
                <w:i/>
                <w:iCs/>
                <w:sz w:val="20"/>
                <w:szCs w:val="20"/>
              </w:rPr>
              <w:t>Liczba projektów dot. infrastruktury społeczeństwa informacyjnego</w:t>
            </w:r>
          </w:p>
        </w:tc>
      </w:tr>
      <w:tr w:rsidR="009645F7" w14:paraId="5F5DA319" w14:textId="77777777" w:rsidTr="009B02EB">
        <w:trPr>
          <w:trHeight w:val="606"/>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5446E5B0" w14:textId="77777777" w:rsidR="009645F7" w:rsidRPr="009B02EB" w:rsidRDefault="009645F7" w:rsidP="009B02EB">
            <w:pPr>
              <w:pStyle w:val="Akapitzlist"/>
              <w:ind w:left="0"/>
              <w:rPr>
                <w:b w:val="0"/>
                <w:sz w:val="20"/>
                <w:szCs w:val="20"/>
              </w:rPr>
            </w:pPr>
            <w:r w:rsidRPr="009B02EB">
              <w:rPr>
                <w:rFonts w:eastAsia="+mn-ea"/>
                <w:b w:val="0"/>
                <w:sz w:val="20"/>
                <w:szCs w:val="20"/>
              </w:rPr>
              <w:t>Europejski program walki z ubóstwem</w:t>
            </w:r>
          </w:p>
          <w:p w14:paraId="3EE66083" w14:textId="77777777" w:rsidR="009645F7" w:rsidRPr="009B02EB" w:rsidRDefault="009645F7" w:rsidP="009B02EB">
            <w:pPr>
              <w:rPr>
                <w:rFonts w:eastAsia="+mn-ea"/>
                <w:b w:val="0"/>
                <w:bCs w:val="0"/>
                <w:sz w:val="20"/>
                <w:szCs w:val="20"/>
              </w:rPr>
            </w:pPr>
          </w:p>
        </w:tc>
        <w:tc>
          <w:tcPr>
            <w:tcW w:w="5237" w:type="dxa"/>
            <w:vAlign w:val="center"/>
          </w:tcPr>
          <w:p w14:paraId="271157AF" w14:textId="77777777" w:rsidR="009645F7" w:rsidRPr="009B02EB" w:rsidRDefault="009645F7" w:rsidP="009B02EB">
            <w:pPr>
              <w:cnfStyle w:val="000000000000" w:firstRow="0" w:lastRow="0" w:firstColumn="0" w:lastColumn="0" w:oddVBand="0" w:evenVBand="0" w:oddHBand="0" w:evenHBand="0" w:firstRowFirstColumn="0" w:firstRowLastColumn="0" w:lastRowFirstColumn="0" w:lastRowLastColumn="0"/>
              <w:rPr>
                <w:sz w:val="20"/>
              </w:rPr>
            </w:pPr>
            <w:r w:rsidRPr="009B02EB">
              <w:rPr>
                <w:rFonts w:eastAsia="+mn-ea"/>
                <w:i/>
                <w:iCs/>
                <w:sz w:val="20"/>
                <w:szCs w:val="20"/>
              </w:rPr>
              <w:t>Liczba projektów zapewniających zrównoważony rozwój oraz poprawiających atrakcyjność miast</w:t>
            </w:r>
          </w:p>
        </w:tc>
      </w:tr>
    </w:tbl>
    <w:p w14:paraId="294CCAA4" w14:textId="77777777" w:rsidR="009B02EB" w:rsidRDefault="009645F7" w:rsidP="009B02EB">
      <w:pPr>
        <w:spacing w:after="0"/>
        <w:jc w:val="both"/>
      </w:pPr>
      <w:r w:rsidRPr="006D71C7">
        <w:t xml:space="preserve">W ramach priorytetu realizowane </w:t>
      </w:r>
      <w:r>
        <w:t>były</w:t>
      </w:r>
      <w:r w:rsidRPr="006D71C7">
        <w:t xml:space="preserve"> </w:t>
      </w:r>
      <w:r>
        <w:t xml:space="preserve">cztery </w:t>
      </w:r>
      <w:r w:rsidRPr="006D71C7">
        <w:t xml:space="preserve">wskaźniki Komisji Europejskiej tzw. </w:t>
      </w:r>
      <w:r>
        <w:t>(</w:t>
      </w:r>
      <w:r w:rsidR="00A62517">
        <w:rPr>
          <w:i/>
        </w:rPr>
        <w:t>c</w:t>
      </w:r>
      <w:r w:rsidRPr="006D71C7">
        <w:rPr>
          <w:i/>
        </w:rPr>
        <w:t>ore Indicators</w:t>
      </w:r>
      <w:r>
        <w:rPr>
          <w:i/>
        </w:rPr>
        <w:t>)</w:t>
      </w:r>
      <w:r>
        <w:t xml:space="preserve">: </w:t>
      </w:r>
    </w:p>
    <w:p w14:paraId="554287BD" w14:textId="77777777" w:rsidR="009B02EB" w:rsidRDefault="009645F7" w:rsidP="009B02EB">
      <w:pPr>
        <w:pStyle w:val="Akapitzlist"/>
        <w:numPr>
          <w:ilvl w:val="0"/>
          <w:numId w:val="107"/>
        </w:numPr>
        <w:spacing w:after="0"/>
        <w:jc w:val="both"/>
      </w:pPr>
      <w:r w:rsidRPr="009B02EB">
        <w:rPr>
          <w:i/>
        </w:rPr>
        <w:t>Liczba projektów z zakresu społeczeństwa informacyjnego</w:t>
      </w:r>
      <w:r>
        <w:t xml:space="preserve">, </w:t>
      </w:r>
    </w:p>
    <w:p w14:paraId="5F66FC72" w14:textId="77777777" w:rsidR="009B02EB" w:rsidRDefault="009645F7" w:rsidP="009B02EB">
      <w:pPr>
        <w:pStyle w:val="Akapitzlist"/>
        <w:numPr>
          <w:ilvl w:val="0"/>
          <w:numId w:val="107"/>
        </w:numPr>
        <w:spacing w:after="0"/>
        <w:jc w:val="both"/>
      </w:pPr>
      <w:r w:rsidRPr="009B02EB">
        <w:rPr>
          <w:i/>
        </w:rPr>
        <w:t>Liczba projektów zapewniających zrównoważony rozwój oraz poprawiających atrakcyjność miast</w:t>
      </w:r>
      <w:r>
        <w:t xml:space="preserve">, </w:t>
      </w:r>
    </w:p>
    <w:p w14:paraId="5E68CF78" w14:textId="77777777" w:rsidR="009B02EB" w:rsidRDefault="009645F7" w:rsidP="009B02EB">
      <w:pPr>
        <w:pStyle w:val="Akapitzlist"/>
        <w:numPr>
          <w:ilvl w:val="0"/>
          <w:numId w:val="107"/>
        </w:numPr>
        <w:spacing w:after="0"/>
        <w:jc w:val="both"/>
      </w:pPr>
      <w:r w:rsidRPr="009B02EB">
        <w:rPr>
          <w:i/>
        </w:rPr>
        <w:t>Liczba projektów promujących biznes, przedsiębiorczość i nowe technologie</w:t>
      </w:r>
      <w:r>
        <w:t xml:space="preserve">, </w:t>
      </w:r>
    </w:p>
    <w:p w14:paraId="07B44A9D" w14:textId="75EC0C53" w:rsidR="009645F7" w:rsidRPr="00EA0052" w:rsidRDefault="009645F7" w:rsidP="009B02EB">
      <w:pPr>
        <w:pStyle w:val="Akapitzlist"/>
        <w:numPr>
          <w:ilvl w:val="0"/>
          <w:numId w:val="107"/>
        </w:numPr>
        <w:spacing w:after="0"/>
        <w:jc w:val="both"/>
      </w:pPr>
      <w:r w:rsidRPr="009B02EB">
        <w:rPr>
          <w:i/>
        </w:rPr>
        <w:t>Liczba bezpośrednio utworzonych nowych miejsc pracy (EPC)</w:t>
      </w:r>
      <w:r w:rsidR="00D0138D" w:rsidRPr="009B02EB">
        <w:rPr>
          <w:i/>
        </w:rPr>
        <w:t xml:space="preserve"> </w:t>
      </w:r>
      <w:r w:rsidRPr="009B02EB">
        <w:rPr>
          <w:i/>
        </w:rPr>
        <w:t>w tym:</w:t>
      </w:r>
      <w:r>
        <w:t xml:space="preserve"> </w:t>
      </w:r>
      <w:r w:rsidRPr="009B02EB">
        <w:rPr>
          <w:i/>
        </w:rPr>
        <w:t>kobiety</w:t>
      </w:r>
      <w:r>
        <w:t xml:space="preserve">, </w:t>
      </w:r>
      <w:r w:rsidRPr="009B02EB">
        <w:rPr>
          <w:i/>
        </w:rPr>
        <w:t>mężczyźni.</w:t>
      </w:r>
    </w:p>
    <w:p w14:paraId="51D85D33" w14:textId="77777777" w:rsidR="009B02EB" w:rsidRDefault="009B02EB" w:rsidP="00F52A28">
      <w:pPr>
        <w:spacing w:after="120"/>
        <w:jc w:val="both"/>
        <w:rPr>
          <w:rFonts w:eastAsia="Calibri"/>
          <w:b/>
          <w:bCs/>
          <w:szCs w:val="24"/>
          <w:lang w:eastAsia="en-US"/>
        </w:rPr>
      </w:pPr>
    </w:p>
    <w:p w14:paraId="0542D44B" w14:textId="77777777" w:rsidR="00367271" w:rsidRDefault="00367271">
      <w:pPr>
        <w:spacing w:after="0" w:line="240" w:lineRule="auto"/>
        <w:rPr>
          <w:rFonts w:eastAsia="Calibri"/>
          <w:b/>
          <w:bCs/>
          <w:szCs w:val="24"/>
          <w:lang w:eastAsia="en-US"/>
        </w:rPr>
      </w:pPr>
      <w:r>
        <w:rPr>
          <w:rFonts w:eastAsia="Calibri"/>
          <w:b/>
          <w:bCs/>
          <w:szCs w:val="24"/>
          <w:lang w:eastAsia="en-US"/>
        </w:rPr>
        <w:br w:type="page"/>
      </w:r>
    </w:p>
    <w:p w14:paraId="432ECB1F" w14:textId="364EBA03" w:rsidR="006A17F3" w:rsidRPr="0063404A" w:rsidRDefault="0063404A" w:rsidP="00F52A28">
      <w:pPr>
        <w:spacing w:after="120"/>
        <w:jc w:val="both"/>
        <w:rPr>
          <w:rFonts w:eastAsia="Calibri"/>
          <w:b/>
          <w:bCs/>
          <w:szCs w:val="24"/>
          <w:lang w:eastAsia="en-US"/>
        </w:rPr>
      </w:pPr>
      <w:r w:rsidRPr="0063404A">
        <w:rPr>
          <w:rFonts w:eastAsia="Calibri"/>
          <w:b/>
          <w:bCs/>
          <w:szCs w:val="24"/>
          <w:lang w:eastAsia="en-US"/>
        </w:rPr>
        <w:lastRenderedPageBreak/>
        <w:t>Realizacja ewentualnych zaleceń i rekomendacji KE</w:t>
      </w:r>
    </w:p>
    <w:p w14:paraId="4F959CC6" w14:textId="77777777" w:rsidR="00DB4A38" w:rsidRDefault="00DB4A38" w:rsidP="00DB4A38">
      <w:pPr>
        <w:spacing w:before="120" w:after="120"/>
        <w:jc w:val="both"/>
        <w:rPr>
          <w:lang w:eastAsia="ar-SA"/>
        </w:rPr>
      </w:pPr>
      <w:bookmarkStart w:id="433" w:name="_Toc386571839"/>
      <w:bookmarkStart w:id="434" w:name="_Toc386572264"/>
      <w:bookmarkStart w:id="435" w:name="_Toc419180280"/>
      <w:bookmarkStart w:id="436" w:name="_Toc423351798"/>
      <w:r w:rsidRPr="00BA2CDA">
        <w:rPr>
          <w:lang w:eastAsia="ar-SA"/>
        </w:rPr>
        <w:t xml:space="preserve">IZ RPO WSL </w:t>
      </w:r>
      <w:r>
        <w:rPr>
          <w:lang w:eastAsia="ar-SA"/>
        </w:rPr>
        <w:t>otrzymywała zalecenia/rekomendacje ze strony KE w ramach przedmiotowego priorytetu w zakresie doprecyzowania lub uzupełnienia</w:t>
      </w:r>
      <w:r w:rsidRPr="003A7E82">
        <w:rPr>
          <w:lang w:eastAsia="ar-SA"/>
        </w:rPr>
        <w:t xml:space="preserve"> </w:t>
      </w:r>
      <w:r>
        <w:rPr>
          <w:lang w:eastAsia="ar-SA"/>
        </w:rPr>
        <w:t>w kolejnych sprawozdaniach</w:t>
      </w:r>
      <w:r w:rsidRPr="009C6E3A">
        <w:rPr>
          <w:lang w:eastAsia="ar-SA"/>
        </w:rPr>
        <w:t xml:space="preserve"> </w:t>
      </w:r>
      <w:r>
        <w:rPr>
          <w:lang w:eastAsia="ar-SA"/>
        </w:rPr>
        <w:t>przedstawianych informacji dot. wdrażania priorytetu.</w:t>
      </w:r>
    </w:p>
    <w:p w14:paraId="019B054B" w14:textId="77777777" w:rsidR="00FF4C72" w:rsidRDefault="00FF4C72" w:rsidP="00FF4C72">
      <w:pPr>
        <w:spacing w:before="120" w:after="120"/>
        <w:jc w:val="both"/>
        <w:rPr>
          <w:b/>
          <w:lang w:eastAsia="ar-SA"/>
        </w:rPr>
      </w:pPr>
      <w:r w:rsidRPr="00194369">
        <w:rPr>
          <w:b/>
          <w:lang w:eastAsia="ar-SA"/>
        </w:rPr>
        <w:t>Opis wkładu priorytetu w redukcję ubóstwa</w:t>
      </w:r>
    </w:p>
    <w:p w14:paraId="3326C804" w14:textId="2A45A797" w:rsidR="00FF4C72" w:rsidRDefault="00FF4C72" w:rsidP="00FF4C72">
      <w:pPr>
        <w:autoSpaceDE w:val="0"/>
        <w:autoSpaceDN w:val="0"/>
        <w:adjustRightInd w:val="0"/>
        <w:spacing w:before="120" w:after="120"/>
        <w:jc w:val="both"/>
        <w:rPr>
          <w:rFonts w:eastAsia="Calibri"/>
          <w:szCs w:val="24"/>
        </w:rPr>
      </w:pPr>
      <w:r>
        <w:rPr>
          <w:rFonts w:eastAsia="Calibri"/>
          <w:szCs w:val="24"/>
        </w:rPr>
        <w:t xml:space="preserve">W ramach priorytetu </w:t>
      </w:r>
      <w:r w:rsidR="00DC4A80" w:rsidRPr="001D3D24">
        <w:rPr>
          <w:rFonts w:eastAsia="Calibri"/>
          <w:szCs w:val="24"/>
        </w:rPr>
        <w:t>na</w:t>
      </w:r>
      <w:r>
        <w:rPr>
          <w:rFonts w:eastAsia="Calibri"/>
          <w:szCs w:val="24"/>
        </w:rPr>
        <w:t xml:space="preserve"> redukcję ubóstwa zostało przeznaczonych </w:t>
      </w:r>
      <w:r w:rsidR="008E4733">
        <w:rPr>
          <w:rFonts w:eastAsia="Calibri"/>
          <w:szCs w:val="24"/>
        </w:rPr>
        <w:t>293,28</w:t>
      </w:r>
      <w:r>
        <w:rPr>
          <w:rFonts w:eastAsia="Calibri"/>
          <w:szCs w:val="24"/>
        </w:rPr>
        <w:t xml:space="preserve"> mln EUR</w:t>
      </w:r>
      <w:r w:rsidR="00BB25A2" w:rsidRPr="00BB25A2">
        <w:rPr>
          <w:rFonts w:eastAsia="Calibri"/>
          <w:szCs w:val="24"/>
        </w:rPr>
        <w:t xml:space="preserve"> </w:t>
      </w:r>
      <w:r w:rsidR="00BB25A2">
        <w:rPr>
          <w:rFonts w:eastAsia="Calibri"/>
          <w:szCs w:val="24"/>
        </w:rPr>
        <w:t>(w ramach kategorii interwencji: 61, 78, 79)</w:t>
      </w:r>
      <w:r>
        <w:rPr>
          <w:rFonts w:eastAsia="Calibri"/>
          <w:szCs w:val="24"/>
        </w:rPr>
        <w:t>.</w:t>
      </w:r>
    </w:p>
    <w:p w14:paraId="15B28898" w14:textId="3484DF96" w:rsidR="000658FE" w:rsidRDefault="000658FE" w:rsidP="00FF4C72">
      <w:pPr>
        <w:autoSpaceDE w:val="0"/>
        <w:autoSpaceDN w:val="0"/>
        <w:adjustRightInd w:val="0"/>
        <w:spacing w:before="120" w:after="120"/>
        <w:jc w:val="both"/>
        <w:rPr>
          <w:rFonts w:eastAsia="Calibri"/>
          <w:szCs w:val="24"/>
        </w:rPr>
      </w:pPr>
      <w:r w:rsidRPr="00367271">
        <w:rPr>
          <w:szCs w:val="24"/>
        </w:rPr>
        <w:t xml:space="preserve">Celem przedmiotowego priorytetu </w:t>
      </w:r>
      <w:r w:rsidR="009E6A89">
        <w:rPr>
          <w:szCs w:val="24"/>
        </w:rPr>
        <w:t xml:space="preserve">był </w:t>
      </w:r>
      <w:r w:rsidRPr="00367271">
        <w:rPr>
          <w:szCs w:val="24"/>
        </w:rPr>
        <w:t>wzrost konkurencyjności ośrodków metropolitarnych oraz wykorzystanie obszarów zdegradowanych. W związku z powyższym</w:t>
      </w:r>
      <w:r w:rsidR="009E6A89">
        <w:rPr>
          <w:szCs w:val="24"/>
        </w:rPr>
        <w:t>,</w:t>
      </w:r>
      <w:r w:rsidRPr="00367271">
        <w:rPr>
          <w:szCs w:val="24"/>
        </w:rPr>
        <w:t xml:space="preserve"> przez realizację celu społecznego w ramach priorytetu VI rozumi</w:t>
      </w:r>
      <w:r w:rsidR="00F81ED7">
        <w:rPr>
          <w:szCs w:val="24"/>
        </w:rPr>
        <w:t xml:space="preserve">ane było </w:t>
      </w:r>
      <w:r w:rsidRPr="00367271">
        <w:rPr>
          <w:szCs w:val="24"/>
        </w:rPr>
        <w:t>podejmowanie działań polegających na rewitalizacji terenów i/lub obiektów, co prowadzić m</w:t>
      </w:r>
      <w:r w:rsidR="00F81ED7">
        <w:rPr>
          <w:szCs w:val="24"/>
        </w:rPr>
        <w:t>iało</w:t>
      </w:r>
      <w:r w:rsidRPr="00367271">
        <w:rPr>
          <w:szCs w:val="24"/>
        </w:rPr>
        <w:t xml:space="preserve"> do „rewitalizacji społecznej” - tj. stworzenia warunków dla zapobiegania i zwalczania patologii oraz marginalizacji społecznej np. stworzenie centrów poradnictwa zawodowego, psychologicznego dla osób uzależnionych, pozostających długotrwale bezrobotnych, doświadczających przemocy w rodzinie, a także stworzenie warunków dla efektywnego społecznie spędzania czasu wolnego przez młodzież itp.</w:t>
      </w:r>
      <w:r w:rsidRPr="00367271" w:rsidDel="00157021">
        <w:rPr>
          <w:szCs w:val="24"/>
        </w:rPr>
        <w:t xml:space="preserve"> </w:t>
      </w:r>
      <w:r w:rsidRPr="00367271">
        <w:rPr>
          <w:szCs w:val="24"/>
        </w:rPr>
        <w:t>W ramach inicjatywy JESSICA szczególną uwagę przykłada</w:t>
      </w:r>
      <w:r w:rsidR="00F81ED7">
        <w:rPr>
          <w:szCs w:val="24"/>
        </w:rPr>
        <w:t xml:space="preserve">no </w:t>
      </w:r>
      <w:r w:rsidRPr="00367271">
        <w:rPr>
          <w:szCs w:val="24"/>
        </w:rPr>
        <w:t xml:space="preserve">do tzw. aspektu społecznego realizowanych projektów, który </w:t>
      </w:r>
      <w:r w:rsidR="00F81ED7">
        <w:rPr>
          <w:szCs w:val="24"/>
        </w:rPr>
        <w:t>był</w:t>
      </w:r>
      <w:r w:rsidRPr="00367271">
        <w:rPr>
          <w:szCs w:val="24"/>
        </w:rPr>
        <w:t xml:space="preserve"> szacowany na podstawie przewagi pozytywnych oddziaływań zewnętrznych projektu miejskiego tzw. elementów społecznych na</w:t>
      </w:r>
      <w:r>
        <w:rPr>
          <w:szCs w:val="24"/>
        </w:rPr>
        <w:t xml:space="preserve">d częścią komercyjną inwestycji. </w:t>
      </w:r>
      <w:r w:rsidRPr="00367271">
        <w:rPr>
          <w:szCs w:val="24"/>
        </w:rPr>
        <w:t>Budowa ośrodka zdrowia, czy domu pomocy społecznej, nie prowadzi bezpośrednio do realizacji ww. celu „rewitalizacji społecznej” i nie przekłada się bezpośrednio na stworzenie warunków dla szybszego wzrostu gospodarczego i wzrostu zatrudnienia. Z założenia</w:t>
      </w:r>
      <w:r w:rsidR="00F81ED7">
        <w:rPr>
          <w:szCs w:val="24"/>
        </w:rPr>
        <w:t>,</w:t>
      </w:r>
      <w:r w:rsidRPr="00367271">
        <w:rPr>
          <w:szCs w:val="24"/>
        </w:rPr>
        <w:t xml:space="preserve"> większy wpływ na omawiane zagadnienia na poziomie regionalnym wywiera</w:t>
      </w:r>
      <w:r w:rsidR="009E6A89">
        <w:rPr>
          <w:szCs w:val="24"/>
        </w:rPr>
        <w:t>ł</w:t>
      </w:r>
      <w:r w:rsidRPr="00367271">
        <w:rPr>
          <w:szCs w:val="24"/>
        </w:rPr>
        <w:t xml:space="preserve"> realizowany w województwie </w:t>
      </w:r>
      <w:r w:rsidR="00F81ED7">
        <w:rPr>
          <w:szCs w:val="24"/>
        </w:rPr>
        <w:t>P</w:t>
      </w:r>
      <w:r w:rsidRPr="00367271">
        <w:rPr>
          <w:szCs w:val="24"/>
        </w:rPr>
        <w:t xml:space="preserve">rogram </w:t>
      </w:r>
      <w:r w:rsidR="00F81ED7">
        <w:rPr>
          <w:szCs w:val="24"/>
        </w:rPr>
        <w:t>O</w:t>
      </w:r>
      <w:r w:rsidRPr="00367271">
        <w:rPr>
          <w:szCs w:val="24"/>
        </w:rPr>
        <w:t xml:space="preserve">peracyjny </w:t>
      </w:r>
      <w:r w:rsidR="00F81ED7">
        <w:rPr>
          <w:szCs w:val="24"/>
        </w:rPr>
        <w:t>K</w:t>
      </w:r>
      <w:r w:rsidRPr="00367271">
        <w:rPr>
          <w:szCs w:val="24"/>
        </w:rPr>
        <w:t xml:space="preserve">apitał </w:t>
      </w:r>
      <w:r w:rsidR="00F81ED7">
        <w:rPr>
          <w:szCs w:val="24"/>
        </w:rPr>
        <w:t>L</w:t>
      </w:r>
      <w:r w:rsidRPr="00367271">
        <w:rPr>
          <w:szCs w:val="24"/>
        </w:rPr>
        <w:t>udzki.</w:t>
      </w:r>
    </w:p>
    <w:p w14:paraId="7CC0013F" w14:textId="5AD666F5" w:rsidR="006A17F3" w:rsidRPr="0063404A" w:rsidRDefault="0063404A" w:rsidP="00F52A28">
      <w:pPr>
        <w:spacing w:after="120"/>
        <w:jc w:val="both"/>
        <w:outlineLvl w:val="1"/>
        <w:rPr>
          <w:b/>
          <w:szCs w:val="24"/>
        </w:rPr>
      </w:pPr>
      <w:bookmarkStart w:id="437" w:name="_Toc473117336"/>
      <w:bookmarkStart w:id="438" w:name="_Toc477779776"/>
      <w:r w:rsidRPr="0063404A">
        <w:rPr>
          <w:b/>
          <w:szCs w:val="24"/>
        </w:rPr>
        <w:t>Podsumowanie</w:t>
      </w:r>
      <w:bookmarkEnd w:id="433"/>
      <w:bookmarkEnd w:id="434"/>
      <w:bookmarkEnd w:id="435"/>
      <w:bookmarkEnd w:id="436"/>
      <w:bookmarkEnd w:id="437"/>
      <w:bookmarkEnd w:id="438"/>
    </w:p>
    <w:p w14:paraId="3AB769EE" w14:textId="77777777" w:rsidR="00BB42FA" w:rsidRPr="00BB42FA" w:rsidRDefault="00BB42FA" w:rsidP="00F52A28">
      <w:pPr>
        <w:autoSpaceDE w:val="0"/>
        <w:autoSpaceDN w:val="0"/>
        <w:adjustRightInd w:val="0"/>
        <w:spacing w:after="0"/>
        <w:jc w:val="both"/>
        <w:rPr>
          <w:rFonts w:eastAsia="Calibri"/>
          <w:szCs w:val="18"/>
          <w:lang w:eastAsia="en-US"/>
        </w:rPr>
      </w:pPr>
      <w:bookmarkStart w:id="439" w:name="_Toc386571840"/>
      <w:bookmarkStart w:id="440" w:name="_Toc386572265"/>
      <w:bookmarkStart w:id="441" w:name="_Toc391466115"/>
      <w:bookmarkStart w:id="442" w:name="_Toc391466383"/>
      <w:bookmarkStart w:id="443" w:name="_Toc391466694"/>
      <w:bookmarkStart w:id="444" w:name="_Toc419180281"/>
      <w:bookmarkStart w:id="445" w:name="_Toc423351799"/>
      <w:r w:rsidRPr="00BB42FA">
        <w:rPr>
          <w:szCs w:val="24"/>
        </w:rPr>
        <w:t>W</w:t>
      </w:r>
      <w:r w:rsidRPr="00BB42FA">
        <w:rPr>
          <w:rFonts w:eastAsia="Calibri"/>
          <w:szCs w:val="18"/>
          <w:lang w:eastAsia="en-US"/>
        </w:rPr>
        <w:t xml:space="preserve"> ramach priorytetu VI wspierane były działania w zakresie wzmacniania regionalnych ośrodków wzrostu i rewitalizacji terenów zdegradowanych. Priorytetowo miały być także traktowane projekty mające wpływ na ożywienie gospodarcze, rozwój nowych form aktywności gospodarczej oraz tworzenie nowych miejsc pracy. </w:t>
      </w:r>
    </w:p>
    <w:p w14:paraId="08106992" w14:textId="41523111" w:rsidR="00BB42FA" w:rsidRPr="001C22BC" w:rsidRDefault="00BB42FA" w:rsidP="00F52A28">
      <w:pPr>
        <w:autoSpaceDE w:val="0"/>
        <w:autoSpaceDN w:val="0"/>
        <w:adjustRightInd w:val="0"/>
        <w:spacing w:after="0"/>
        <w:jc w:val="both"/>
        <w:rPr>
          <w:rFonts w:eastAsia="Calibri"/>
          <w:szCs w:val="18"/>
          <w:lang w:eastAsia="en-US"/>
        </w:rPr>
      </w:pPr>
      <w:r w:rsidRPr="00BB42FA">
        <w:rPr>
          <w:szCs w:val="24"/>
        </w:rPr>
        <w:t xml:space="preserve">W koncepcji priorytetu VI istotną rolę odgrywało założenie o znaczeniu obszarów metropolitalnych, jako centrów rozwoju. Koncepcja przedmiotowego priorytetu w pełni sprawdziła się, jeśli chodzi o wzmocnienie regionalnych ośrodków wzrostu i poprawę konkurencyjności przestrzeni miejskiej. Potwierdziło się założenie, co do roli obszarów metropolitalnych, jako centrów rozwoju, które przyciągają inwestycje zewnętrzne i osoby spoza województw lub innych terenów województwa. </w:t>
      </w:r>
    </w:p>
    <w:p w14:paraId="78AEC8DF" w14:textId="77777777" w:rsidR="00BB42FA" w:rsidRPr="00BB42FA" w:rsidRDefault="00BB42FA" w:rsidP="00F52A28">
      <w:pPr>
        <w:spacing w:after="0"/>
        <w:jc w:val="both"/>
        <w:rPr>
          <w:szCs w:val="24"/>
        </w:rPr>
      </w:pPr>
    </w:p>
    <w:p w14:paraId="61D9752C" w14:textId="6C53FBC4" w:rsidR="00BB42FA" w:rsidRPr="00BB42FA" w:rsidRDefault="00BB42FA" w:rsidP="00F52A28">
      <w:pPr>
        <w:jc w:val="both"/>
        <w:rPr>
          <w:szCs w:val="24"/>
        </w:rPr>
      </w:pPr>
      <w:r w:rsidRPr="00BB42FA">
        <w:rPr>
          <w:szCs w:val="24"/>
        </w:rPr>
        <w:t>Zgodnie z badaniem ewaluacyjnym ex – post RPO WSL realizacja priorytetu VI zaspokoiła w dużym stopniu potrzeby w zakresie dużych projektów rewitalizacyjnych o znaczeniu regionalnym, a nawet ponadregionalnym. Natomiast dalszego wsparcia wymagają przede wszystkim lokalne projekty rewitalizacyjne w mniejszych miastach i gminach. Ważne jest również, aby miały one całościowy charakter i skalę, która umożliwi pełną rewitalizacje zdegradowanych obszarów a nie tylko podejmowanie m</w:t>
      </w:r>
      <w:r w:rsidR="00B8015D">
        <w:rPr>
          <w:szCs w:val="24"/>
        </w:rPr>
        <w:t xml:space="preserve">ałych, wybiórczych inwestycji </w:t>
      </w:r>
      <w:r w:rsidR="00B8015D">
        <w:rPr>
          <w:szCs w:val="24"/>
        </w:rPr>
        <w:lastRenderedPageBreak/>
        <w:t>o </w:t>
      </w:r>
      <w:r w:rsidRPr="00BB42FA">
        <w:rPr>
          <w:szCs w:val="24"/>
        </w:rPr>
        <w:t>prestiżowym znaczeniu. Z badania wynika, że zrewitalizowane obszary lub obiekty służyły przede wszystkim celom społecznym, kulturalnym, rekreacyjnym i edukacyjnym, natomiast tylko 15,6% przypadków dotyczyło celów gospodarczych.</w:t>
      </w:r>
      <w:r w:rsidRPr="00BB42FA" w:rsidDel="00A625A8">
        <w:rPr>
          <w:szCs w:val="24"/>
        </w:rPr>
        <w:t xml:space="preserve"> </w:t>
      </w:r>
    </w:p>
    <w:p w14:paraId="6E71149D" w14:textId="134DA666" w:rsidR="00BB42FA" w:rsidRPr="00BB42FA" w:rsidRDefault="00BB42FA" w:rsidP="00F52A28">
      <w:pPr>
        <w:jc w:val="both"/>
        <w:rPr>
          <w:szCs w:val="24"/>
        </w:rPr>
      </w:pPr>
      <w:r w:rsidRPr="00BB42FA">
        <w:rPr>
          <w:szCs w:val="24"/>
        </w:rPr>
        <w:t>W ramach priorytetu VI subregiony w różnym</w:t>
      </w:r>
      <w:r w:rsidR="006E5600">
        <w:rPr>
          <w:szCs w:val="24"/>
        </w:rPr>
        <w:t xml:space="preserve"> stopniu korzystały ze wsparcia.</w:t>
      </w:r>
      <w:r w:rsidRPr="00BB42FA">
        <w:rPr>
          <w:szCs w:val="24"/>
        </w:rPr>
        <w:t xml:space="preserve"> </w:t>
      </w:r>
      <w:r w:rsidR="006E5600">
        <w:rPr>
          <w:szCs w:val="24"/>
        </w:rPr>
        <w:t>W</w:t>
      </w:r>
      <w:r w:rsidR="00B8015D">
        <w:rPr>
          <w:szCs w:val="24"/>
        </w:rPr>
        <w:t>ynika to </w:t>
      </w:r>
      <w:r w:rsidRPr="00BB42FA">
        <w:rPr>
          <w:szCs w:val="24"/>
        </w:rPr>
        <w:t>przede wszystkim ze zróżnicowania między subregionami w jakości wniosków projektowych przygotowywanych przez publicznych beneficjentów. Ponadto</w:t>
      </w:r>
      <w:r w:rsidR="006E5600">
        <w:rPr>
          <w:szCs w:val="24"/>
        </w:rPr>
        <w:t>,</w:t>
      </w:r>
      <w:r w:rsidRPr="00BB42FA">
        <w:rPr>
          <w:szCs w:val="24"/>
        </w:rPr>
        <w:t xml:space="preserve"> istotnym powodem nierównomiernego korzystania ze środków dostępnych w ramach programu były projekty kluczowe, które konsumowały dużą cześć środków i były w większości zlokalizowane w Subregionie Centralnym.</w:t>
      </w:r>
    </w:p>
    <w:p w14:paraId="0042884F" w14:textId="4DDBED30" w:rsidR="00BB42FA" w:rsidRPr="00BB42FA" w:rsidRDefault="00BB42FA" w:rsidP="00F52A28">
      <w:pPr>
        <w:spacing w:before="120" w:after="0"/>
        <w:jc w:val="both"/>
        <w:rPr>
          <w:szCs w:val="24"/>
        </w:rPr>
      </w:pPr>
      <w:r w:rsidRPr="00BB42FA">
        <w:rPr>
          <w:szCs w:val="24"/>
        </w:rPr>
        <w:t>Efekty wsparcia w ramach priorytetu VI uwarunkowane były silnie specyfiką regionu, który obejmuje dużo terenów zdegradowanych (poprzemysłowych, powojskowych, po PGR-owskich i miejskich) zarówno w miastach (a nawet w centrac</w:t>
      </w:r>
      <w:r w:rsidR="00B8015D">
        <w:rPr>
          <w:szCs w:val="24"/>
        </w:rPr>
        <w:t>h miast) jak i poza miastami. W </w:t>
      </w:r>
      <w:r w:rsidRPr="00BB42FA">
        <w:rPr>
          <w:szCs w:val="24"/>
        </w:rPr>
        <w:t>ramach priorytetu VI realizowane były projekty służące wzrostowi konkurencyjności przestrzeni miejskiej województwa, p</w:t>
      </w:r>
      <w:r w:rsidR="00B8015D">
        <w:rPr>
          <w:szCs w:val="24"/>
        </w:rPr>
        <w:t xml:space="preserve">oprzez wzrost konkurencyjności </w:t>
      </w:r>
      <w:r w:rsidRPr="00BB42FA">
        <w:rPr>
          <w:szCs w:val="24"/>
        </w:rPr>
        <w:t>ośrodków metropolitalnych oraz wielofunkcyjne wykorzystanie ob</w:t>
      </w:r>
      <w:r w:rsidR="00B8015D">
        <w:rPr>
          <w:szCs w:val="24"/>
        </w:rPr>
        <w:t>szarów zdegradowanych. Został z </w:t>
      </w:r>
      <w:r w:rsidRPr="00BB42FA">
        <w:rPr>
          <w:szCs w:val="24"/>
        </w:rPr>
        <w:t xml:space="preserve">powodzeniem  zrealizowany pakiet dużych projektów, które w znaczący sposób zmieniły wizerunek miast i aglomeracji w województwie śląskim oraz stworzyły nowe możliwości aktywności społecznej, szczególnie w zakresie kultury i edukacji. </w:t>
      </w:r>
    </w:p>
    <w:p w14:paraId="1373FD0C" w14:textId="3E5CA151" w:rsidR="00BB42FA" w:rsidRDefault="00BB42FA" w:rsidP="00F52A28">
      <w:pPr>
        <w:spacing w:before="120" w:after="0"/>
        <w:jc w:val="both"/>
        <w:rPr>
          <w:szCs w:val="24"/>
        </w:rPr>
      </w:pPr>
      <w:r w:rsidRPr="00BB42FA">
        <w:rPr>
          <w:szCs w:val="24"/>
        </w:rPr>
        <w:t xml:space="preserve">Dobrym przykładem </w:t>
      </w:r>
      <w:r w:rsidRPr="001D0290">
        <w:rPr>
          <w:szCs w:val="24"/>
        </w:rPr>
        <w:t>wydatkowania środków w ramach rozwoju miast była inicjatywa JESSICA</w:t>
      </w:r>
      <w:r w:rsidR="006E5600">
        <w:rPr>
          <w:szCs w:val="24"/>
        </w:rPr>
        <w:t>,</w:t>
      </w:r>
      <w:r w:rsidRPr="001D0290">
        <w:rPr>
          <w:szCs w:val="24"/>
        </w:rPr>
        <w:t xml:space="preserve"> w ramach której realizowano wsparcie w formie instrumentów finansowych. Projekty te realizowane były później niż wsparcie dotacyjn</w:t>
      </w:r>
      <w:r w:rsidR="00B8015D">
        <w:rPr>
          <w:szCs w:val="24"/>
        </w:rPr>
        <w:t>e. W wyższym stopniu niż w </w:t>
      </w:r>
      <w:r w:rsidRPr="001D0290">
        <w:rPr>
          <w:szCs w:val="24"/>
        </w:rPr>
        <w:t xml:space="preserve">zakresie dotacji udało się osiągnąć realizację projektów rewitalizacyjnych komplementarnie odnoszących się do zidentyfikowanych problemów obszarów zdegradowanych w sferze nie tylko infrastrukturalnej, lecz również społecznej i gospodarczej. </w:t>
      </w:r>
    </w:p>
    <w:p w14:paraId="55098C4F" w14:textId="77777777" w:rsidR="00664322" w:rsidRPr="001D0290" w:rsidRDefault="00664322" w:rsidP="00F52A28">
      <w:pPr>
        <w:spacing w:before="120" w:after="0"/>
        <w:jc w:val="both"/>
        <w:rPr>
          <w:szCs w:val="24"/>
        </w:rPr>
      </w:pPr>
    </w:p>
    <w:p w14:paraId="33B8C23A" w14:textId="77777777" w:rsidR="00020DC5" w:rsidRDefault="00A25773" w:rsidP="004914D8">
      <w:pPr>
        <w:pStyle w:val="Akapitzlist"/>
        <w:numPr>
          <w:ilvl w:val="2"/>
          <w:numId w:val="50"/>
        </w:numPr>
        <w:ind w:left="284" w:hanging="284"/>
        <w:jc w:val="both"/>
        <w:rPr>
          <w:b/>
          <w:szCs w:val="24"/>
        </w:rPr>
      </w:pPr>
      <w:r w:rsidRPr="0094320D">
        <w:rPr>
          <w:b/>
          <w:szCs w:val="24"/>
        </w:rPr>
        <w:t>OPIS ISTOTNYCH PROBLEMÓW WE WDRAŻANIU WRAZ Z PODJĘTYMI ŚRODKAMI ZARADCZYMI</w:t>
      </w:r>
      <w:bookmarkEnd w:id="439"/>
      <w:bookmarkEnd w:id="440"/>
      <w:bookmarkEnd w:id="441"/>
      <w:bookmarkEnd w:id="442"/>
      <w:bookmarkEnd w:id="443"/>
      <w:bookmarkEnd w:id="444"/>
      <w:bookmarkEnd w:id="445"/>
    </w:p>
    <w:p w14:paraId="5D0648CA" w14:textId="3FD1DE52" w:rsidR="001F484B" w:rsidRDefault="00664322" w:rsidP="00664322">
      <w:pPr>
        <w:keepNext/>
        <w:keepLines/>
        <w:shd w:val="clear" w:color="auto" w:fill="FFFFFF"/>
        <w:tabs>
          <w:tab w:val="left" w:pos="1560"/>
        </w:tabs>
        <w:spacing w:before="240" w:after="120"/>
        <w:jc w:val="both"/>
        <w:outlineLvl w:val="0"/>
        <w:rPr>
          <w:szCs w:val="24"/>
        </w:rPr>
      </w:pPr>
      <w:bookmarkStart w:id="446" w:name="_Toc473117337"/>
      <w:bookmarkStart w:id="447" w:name="_Toc477779777"/>
      <w:r w:rsidRPr="00F93BD6">
        <w:rPr>
          <w:szCs w:val="24"/>
        </w:rPr>
        <w:t>Wdrażanie priorytetu napotkało na problemy głównie na</w:t>
      </w:r>
      <w:r>
        <w:rPr>
          <w:szCs w:val="24"/>
        </w:rPr>
        <w:t xml:space="preserve">tury zewnętrznej i dotyczyły </w:t>
      </w:r>
      <w:r w:rsidRPr="003D11D4">
        <w:rPr>
          <w:szCs w:val="24"/>
        </w:rPr>
        <w:t>brak</w:t>
      </w:r>
      <w:r>
        <w:rPr>
          <w:szCs w:val="24"/>
        </w:rPr>
        <w:t>u</w:t>
      </w:r>
      <w:r w:rsidRPr="003D11D4">
        <w:rPr>
          <w:szCs w:val="24"/>
        </w:rPr>
        <w:t xml:space="preserve"> </w:t>
      </w:r>
      <w:r w:rsidRPr="003D11D4">
        <w:rPr>
          <w:i/>
          <w:szCs w:val="24"/>
        </w:rPr>
        <w:t>Rozporządzeń MRR dot. pomocy publicznej w zakresie rewitalizacji w ramach regionalnych programów operacyjnych.</w:t>
      </w:r>
      <w:r w:rsidRPr="003D11D4">
        <w:rPr>
          <w:szCs w:val="24"/>
        </w:rPr>
        <w:t xml:space="preserve"> </w:t>
      </w:r>
      <w:r>
        <w:rPr>
          <w:szCs w:val="24"/>
        </w:rPr>
        <w:t>Konsekwencją dla beneficjentów było przesunięcie ogłoszenia konkursów przez IZ.</w:t>
      </w:r>
      <w:bookmarkEnd w:id="446"/>
      <w:bookmarkEnd w:id="447"/>
    </w:p>
    <w:p w14:paraId="714ABC83" w14:textId="77777777" w:rsidR="001F484B" w:rsidRDefault="001F484B">
      <w:pPr>
        <w:spacing w:after="0" w:line="240" w:lineRule="auto"/>
        <w:rPr>
          <w:szCs w:val="24"/>
        </w:rPr>
      </w:pPr>
      <w:r>
        <w:rPr>
          <w:szCs w:val="24"/>
        </w:rPr>
        <w:br w:type="page"/>
      </w:r>
    </w:p>
    <w:p w14:paraId="309DADF5" w14:textId="346EB941" w:rsidR="00664322" w:rsidRPr="009B02EB" w:rsidRDefault="00F8189B" w:rsidP="004914D8">
      <w:pPr>
        <w:pStyle w:val="Akapitzlist"/>
        <w:numPr>
          <w:ilvl w:val="1"/>
          <w:numId w:val="50"/>
        </w:numPr>
        <w:jc w:val="both"/>
        <w:rPr>
          <w:rFonts w:eastAsia="Calibri"/>
          <w:b/>
          <w:bCs/>
          <w:color w:val="538135" w:themeColor="accent6" w:themeShade="BF"/>
          <w:szCs w:val="24"/>
          <w:lang w:eastAsia="en-US"/>
        </w:rPr>
      </w:pPr>
      <w:bookmarkStart w:id="448" w:name="_Toc386571843"/>
      <w:bookmarkStart w:id="449" w:name="_Toc386572268"/>
      <w:bookmarkStart w:id="450" w:name="_Toc386571846"/>
      <w:bookmarkStart w:id="451" w:name="_Toc386572271"/>
      <w:bookmarkStart w:id="452" w:name="_Toc391466121"/>
      <w:bookmarkStart w:id="453" w:name="_Toc391466389"/>
      <w:bookmarkStart w:id="454" w:name="_Toc391466700"/>
      <w:bookmarkEnd w:id="417"/>
      <w:bookmarkEnd w:id="418"/>
      <w:bookmarkEnd w:id="419"/>
      <w:r w:rsidRPr="009B02EB">
        <w:rPr>
          <w:rFonts w:eastAsia="Calibri"/>
          <w:b/>
          <w:bCs/>
          <w:color w:val="538135" w:themeColor="accent6" w:themeShade="BF"/>
          <w:szCs w:val="24"/>
          <w:lang w:eastAsia="en-US"/>
        </w:rPr>
        <w:lastRenderedPageBreak/>
        <w:t>PRIORYTET VII TRANSPORT</w:t>
      </w:r>
    </w:p>
    <w:p w14:paraId="044AAFA5" w14:textId="3C2647F6" w:rsidR="00664322" w:rsidRPr="00664322" w:rsidRDefault="00664322" w:rsidP="00664322">
      <w:pPr>
        <w:pStyle w:val="Akapitzlist"/>
        <w:ind w:left="360"/>
        <w:jc w:val="both"/>
        <w:rPr>
          <w:rFonts w:eastAsia="Calibri"/>
          <w:b/>
          <w:bCs/>
          <w:color w:val="0070C0"/>
          <w:szCs w:val="24"/>
          <w:lang w:eastAsia="en-US"/>
        </w:rPr>
      </w:pPr>
      <w:r>
        <w:rPr>
          <w:noProof/>
        </w:rPr>
        <w:drawing>
          <wp:inline distT="0" distB="0" distL="0" distR="0" wp14:anchorId="23A38E0C" wp14:editId="1FE3FE52">
            <wp:extent cx="5462270" cy="2218414"/>
            <wp:effectExtent l="0" t="0" r="5080" b="0"/>
            <wp:docPr id="34819" name="Symbol zastępczy obrazu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Symbol zastępczy obrazu 4"/>
                    <pic:cNvPicPr>
                      <a:picLocks noChangeAspect="1"/>
                    </pic:cNvPicPr>
                  </pic:nvPicPr>
                  <pic:blipFill>
                    <a:blip r:embed="rId100">
                      <a:extLst>
                        <a:ext uri="{28A0092B-C50C-407E-A947-70E740481C1C}">
                          <a14:useLocalDpi xmlns:a14="http://schemas.microsoft.com/office/drawing/2010/main" val="0"/>
                        </a:ext>
                      </a:extLst>
                    </a:blip>
                    <a:srcRect t="12115" b="12115"/>
                    <a:stretch>
                      <a:fillRect/>
                    </a:stretch>
                  </pic:blipFill>
                  <pic:spPr bwMode="auto">
                    <a:xfrm>
                      <a:off x="0" y="0"/>
                      <a:ext cx="5473507" cy="2222978"/>
                    </a:xfrm>
                    <a:prstGeom prst="rect">
                      <a:avLst/>
                    </a:prstGeom>
                    <a:ln>
                      <a:noFill/>
                    </a:ln>
                    <a:effectLst>
                      <a:softEdge rad="112500"/>
                    </a:effectLst>
                    <a:extLst/>
                  </pic:spPr>
                </pic:pic>
              </a:graphicData>
            </a:graphic>
          </wp:inline>
        </w:drawing>
      </w:r>
    </w:p>
    <w:p w14:paraId="49A8F6C1" w14:textId="77777777" w:rsidR="005004F7" w:rsidRPr="0094320D" w:rsidRDefault="005004F7" w:rsidP="004914D8">
      <w:pPr>
        <w:pStyle w:val="Akapitzlist"/>
        <w:numPr>
          <w:ilvl w:val="2"/>
          <w:numId w:val="50"/>
        </w:numPr>
        <w:jc w:val="both"/>
        <w:rPr>
          <w:rFonts w:eastAsia="Calibri"/>
          <w:b/>
          <w:bCs/>
          <w:szCs w:val="24"/>
          <w:lang w:eastAsia="en-US"/>
        </w:rPr>
      </w:pPr>
      <w:bookmarkStart w:id="455" w:name="_Toc419180284"/>
      <w:bookmarkStart w:id="456" w:name="_Toc423351802"/>
      <w:r w:rsidRPr="0094320D">
        <w:rPr>
          <w:rFonts w:eastAsia="Calibri"/>
          <w:b/>
          <w:bCs/>
          <w:szCs w:val="24"/>
          <w:lang w:eastAsia="en-US"/>
        </w:rPr>
        <w:t>OSIĄGNIĘCIE CELÓW I ANALIZA POSTĘPÓW</w:t>
      </w:r>
      <w:bookmarkEnd w:id="448"/>
      <w:bookmarkEnd w:id="449"/>
      <w:bookmarkEnd w:id="455"/>
      <w:bookmarkEnd w:id="456"/>
    </w:p>
    <w:p w14:paraId="720F1484" w14:textId="3CF0D36F" w:rsidR="005004F7" w:rsidRPr="0094320D" w:rsidRDefault="00664322" w:rsidP="0094320D">
      <w:pPr>
        <w:spacing w:before="240"/>
        <w:jc w:val="both"/>
        <w:rPr>
          <w:rFonts w:eastAsia="Calibri"/>
          <w:b/>
          <w:i/>
          <w:szCs w:val="24"/>
          <w:lang w:eastAsia="en-US"/>
        </w:rPr>
      </w:pPr>
      <w:r w:rsidRPr="0094320D">
        <w:rPr>
          <w:rFonts w:eastAsia="Calibri"/>
          <w:b/>
          <w:i/>
          <w:szCs w:val="24"/>
          <w:lang w:eastAsia="en-US"/>
        </w:rPr>
        <w:t>Informacje ogólne</w:t>
      </w:r>
    </w:p>
    <w:p w14:paraId="4792F3F4" w14:textId="7008537D" w:rsidR="005004F7" w:rsidRPr="0094320D" w:rsidRDefault="005004F7" w:rsidP="0094320D">
      <w:pPr>
        <w:spacing w:before="240" w:after="0"/>
        <w:jc w:val="both"/>
        <w:rPr>
          <w:rFonts w:eastAsia="Calibri"/>
          <w:szCs w:val="24"/>
          <w:lang w:eastAsia="en-US"/>
        </w:rPr>
      </w:pPr>
      <w:r w:rsidRPr="0094320D">
        <w:rPr>
          <w:rFonts w:eastAsia="Calibri"/>
          <w:szCs w:val="24"/>
          <w:lang w:eastAsia="en-US"/>
        </w:rPr>
        <w:t xml:space="preserve">Celem głównym priorytetu </w:t>
      </w:r>
      <w:r w:rsidR="00F8189B">
        <w:rPr>
          <w:rFonts w:eastAsia="Calibri"/>
          <w:szCs w:val="24"/>
          <w:lang w:eastAsia="en-US"/>
        </w:rPr>
        <w:t xml:space="preserve">było </w:t>
      </w:r>
      <w:r w:rsidRPr="0094320D">
        <w:rPr>
          <w:rFonts w:eastAsia="Calibri"/>
          <w:i/>
          <w:iCs/>
          <w:szCs w:val="24"/>
          <w:lang w:eastAsia="en-US"/>
        </w:rPr>
        <w:t>ukształtowanie efektywnego i zintegrowanego systemu transportowego</w:t>
      </w:r>
      <w:r w:rsidRPr="0094320D">
        <w:rPr>
          <w:rFonts w:eastAsia="Calibri"/>
          <w:szCs w:val="24"/>
          <w:lang w:eastAsia="en-US"/>
        </w:rPr>
        <w:t xml:space="preserve">. W ramach priorytetu wspierane </w:t>
      </w:r>
      <w:r w:rsidR="00F8189B">
        <w:rPr>
          <w:rFonts w:eastAsia="Calibri"/>
          <w:szCs w:val="24"/>
          <w:lang w:eastAsia="en-US"/>
        </w:rPr>
        <w:t>były</w:t>
      </w:r>
      <w:r w:rsidRPr="0094320D">
        <w:rPr>
          <w:rFonts w:eastAsia="Calibri"/>
          <w:szCs w:val="24"/>
          <w:lang w:eastAsia="en-US"/>
        </w:rPr>
        <w:t xml:space="preserve"> działania w zakresie modernizacji i rozbudowy sieci drogowej oraz transportu publicznego. Szczególne znaczenie ma połączenie kluczowej sieci drogowej województwa z drogami znajdującymi się w sieci TEN-T, drogami międzynarodowymi i krajowymi.</w:t>
      </w:r>
    </w:p>
    <w:p w14:paraId="6BA5B5F9" w14:textId="32016C72" w:rsidR="005004F7" w:rsidRPr="0094320D" w:rsidRDefault="005004F7" w:rsidP="0094320D">
      <w:pPr>
        <w:spacing w:before="240" w:after="0"/>
        <w:jc w:val="both"/>
        <w:rPr>
          <w:rFonts w:eastAsia="Calibri"/>
          <w:szCs w:val="24"/>
          <w:lang w:eastAsia="en-US"/>
        </w:rPr>
      </w:pPr>
      <w:r w:rsidRPr="0094320D">
        <w:rPr>
          <w:rFonts w:eastAsia="Calibri"/>
          <w:szCs w:val="24"/>
          <w:lang w:eastAsia="en-US"/>
        </w:rPr>
        <w:t>Realizacji priorytetu s</w:t>
      </w:r>
      <w:r w:rsidR="00F8189B">
        <w:rPr>
          <w:rFonts w:eastAsia="Calibri"/>
          <w:szCs w:val="24"/>
          <w:lang w:eastAsia="en-US"/>
        </w:rPr>
        <w:t>łużyć miały</w:t>
      </w:r>
      <w:r w:rsidRPr="0094320D">
        <w:rPr>
          <w:rFonts w:eastAsia="Calibri"/>
          <w:szCs w:val="24"/>
          <w:lang w:eastAsia="en-US"/>
        </w:rPr>
        <w:t xml:space="preserve"> dwa działania:</w:t>
      </w:r>
    </w:p>
    <w:p w14:paraId="4F430598" w14:textId="77777777" w:rsidR="005004F7" w:rsidRPr="0094320D" w:rsidRDefault="005004F7" w:rsidP="0094320D">
      <w:pPr>
        <w:numPr>
          <w:ilvl w:val="0"/>
          <w:numId w:val="5"/>
        </w:numPr>
        <w:spacing w:after="0"/>
        <w:jc w:val="both"/>
        <w:rPr>
          <w:rFonts w:eastAsia="Calibri"/>
          <w:i/>
          <w:szCs w:val="24"/>
          <w:lang w:eastAsia="en-US"/>
        </w:rPr>
      </w:pPr>
      <w:r w:rsidRPr="0094320D">
        <w:rPr>
          <w:rFonts w:eastAsia="Calibri"/>
          <w:i/>
          <w:szCs w:val="24"/>
          <w:lang w:eastAsia="en-US"/>
        </w:rPr>
        <w:t>7.1 Modernizacja i rozbudowa sieci drogowej,</w:t>
      </w:r>
    </w:p>
    <w:p w14:paraId="593A8709" w14:textId="77777777" w:rsidR="005004F7" w:rsidRPr="0094320D" w:rsidRDefault="005004F7" w:rsidP="0094320D">
      <w:pPr>
        <w:numPr>
          <w:ilvl w:val="0"/>
          <w:numId w:val="5"/>
        </w:numPr>
        <w:spacing w:after="0"/>
        <w:jc w:val="both"/>
        <w:rPr>
          <w:rFonts w:eastAsia="Calibri"/>
          <w:i/>
          <w:szCs w:val="24"/>
          <w:lang w:eastAsia="en-US"/>
        </w:rPr>
      </w:pPr>
      <w:r w:rsidRPr="0094320D">
        <w:rPr>
          <w:rFonts w:eastAsia="Calibri"/>
          <w:i/>
          <w:szCs w:val="24"/>
          <w:lang w:eastAsia="en-US"/>
        </w:rPr>
        <w:t xml:space="preserve">7.2 Transport publiczny </w:t>
      </w:r>
    </w:p>
    <w:p w14:paraId="355B56E9" w14:textId="77777777" w:rsidR="005004F7" w:rsidRPr="0094320D" w:rsidRDefault="005004F7" w:rsidP="0094320D">
      <w:pPr>
        <w:spacing w:after="120"/>
        <w:jc w:val="both"/>
        <w:rPr>
          <w:rFonts w:eastAsia="Calibri"/>
          <w:szCs w:val="24"/>
          <w:lang w:eastAsia="en-US"/>
        </w:rPr>
      </w:pPr>
      <w:r w:rsidRPr="0094320D">
        <w:rPr>
          <w:rFonts w:eastAsia="Calibri"/>
          <w:szCs w:val="24"/>
          <w:lang w:eastAsia="en-US"/>
        </w:rPr>
        <w:t>Na realizację priorytetu VII alokowano 460 254 825</w:t>
      </w:r>
      <w:r w:rsidRPr="0094320D">
        <w:rPr>
          <w:rFonts w:eastAsia="Calibri"/>
          <w:b/>
          <w:szCs w:val="24"/>
          <w:lang w:eastAsia="en-US"/>
        </w:rPr>
        <w:t xml:space="preserve"> </w:t>
      </w:r>
      <w:r w:rsidRPr="0094320D">
        <w:rPr>
          <w:rFonts w:eastAsia="Calibri"/>
          <w:szCs w:val="24"/>
          <w:lang w:eastAsia="en-US"/>
        </w:rPr>
        <w:t xml:space="preserve">EUR pochodzących z EFRR, co stanowi 26,3% wartości </w:t>
      </w:r>
      <w:r w:rsidRPr="0094320D">
        <w:rPr>
          <w:rFonts w:eastAsia="Calibri"/>
          <w:i/>
          <w:szCs w:val="24"/>
          <w:lang w:eastAsia="en-US"/>
        </w:rPr>
        <w:t>Programu.</w:t>
      </w:r>
      <w:r w:rsidRPr="0094320D">
        <w:rPr>
          <w:rFonts w:eastAsia="Calibri"/>
          <w:szCs w:val="24"/>
          <w:lang w:eastAsia="en-US"/>
        </w:rPr>
        <w:t xml:space="preserve"> </w:t>
      </w:r>
    </w:p>
    <w:p w14:paraId="0C21FF0A" w14:textId="085A6A56" w:rsidR="005004F7" w:rsidRPr="0094320D" w:rsidRDefault="007B6B45" w:rsidP="0094320D">
      <w:pPr>
        <w:spacing w:after="120"/>
        <w:jc w:val="both"/>
        <w:rPr>
          <w:rFonts w:eastAsia="Calibri"/>
          <w:szCs w:val="24"/>
          <w:lang w:eastAsia="en-US"/>
        </w:rPr>
      </w:pPr>
      <w:r w:rsidRPr="0094320D">
        <w:rPr>
          <w:szCs w:val="24"/>
        </w:rPr>
        <w:t>W ramach priorytetu nie przewidziano finansowania krzyżowego</w:t>
      </w:r>
      <w:r w:rsidR="005004F7" w:rsidRPr="0094320D">
        <w:rPr>
          <w:rFonts w:eastAsia="Calibri"/>
          <w:szCs w:val="24"/>
          <w:lang w:eastAsia="en-US"/>
        </w:rPr>
        <w:t>.</w:t>
      </w:r>
    </w:p>
    <w:p w14:paraId="7FD4F33D" w14:textId="02A582BC" w:rsidR="005004F7" w:rsidRPr="0094320D" w:rsidRDefault="00664322" w:rsidP="0094320D">
      <w:pPr>
        <w:widowControl w:val="0"/>
        <w:autoSpaceDE w:val="0"/>
        <w:autoSpaceDN w:val="0"/>
        <w:adjustRightInd w:val="0"/>
        <w:spacing w:after="120"/>
        <w:ind w:right="-23"/>
        <w:jc w:val="both"/>
        <w:rPr>
          <w:rFonts w:eastAsia="Calibri"/>
          <w:b/>
          <w:szCs w:val="24"/>
          <w:lang w:eastAsia="en-US"/>
        </w:rPr>
      </w:pPr>
      <w:r w:rsidRPr="0094320D">
        <w:rPr>
          <w:rFonts w:eastAsia="Calibri"/>
          <w:b/>
          <w:szCs w:val="24"/>
          <w:lang w:eastAsia="en-US"/>
        </w:rPr>
        <w:t>Analiza postępu finansowego</w:t>
      </w:r>
    </w:p>
    <w:p w14:paraId="59E7D22C" w14:textId="1C9C2F49" w:rsidR="00664322" w:rsidRPr="00664322" w:rsidRDefault="00664322" w:rsidP="00664322">
      <w:pPr>
        <w:spacing w:after="120"/>
        <w:jc w:val="both"/>
        <w:rPr>
          <w:rFonts w:eastAsia="Calibri"/>
          <w:szCs w:val="24"/>
          <w:lang w:eastAsia="en-US"/>
        </w:rPr>
      </w:pPr>
      <w:r w:rsidRPr="00664322">
        <w:rPr>
          <w:rFonts w:eastAsia="Calibri"/>
          <w:szCs w:val="24"/>
          <w:lang w:eastAsia="en-US"/>
        </w:rPr>
        <w:t>W ramach przedmiotowego priorytetu złożono 439 wniosków o dofinansowanie poprawnych formalnie, na kwot</w:t>
      </w:r>
      <w:r>
        <w:rPr>
          <w:rFonts w:eastAsia="Calibri"/>
          <w:szCs w:val="24"/>
          <w:lang w:eastAsia="en-US"/>
        </w:rPr>
        <w:t xml:space="preserve">ę wnioskowanego dofinansowania </w:t>
      </w:r>
      <w:r w:rsidRPr="00664322">
        <w:rPr>
          <w:rFonts w:eastAsia="Calibri"/>
          <w:szCs w:val="24"/>
          <w:lang w:eastAsia="en-US"/>
        </w:rPr>
        <w:t xml:space="preserve">687,81 mln EUR, co stanowi 149,44% alokacji priorytetu. Do dofinansowania wybrano 301 projektów o łącznej wartości dofinansowania 579,92 mln EUR. </w:t>
      </w:r>
    </w:p>
    <w:p w14:paraId="3F9A591E" w14:textId="61854445" w:rsidR="00664322" w:rsidRPr="00664322" w:rsidRDefault="00664322" w:rsidP="00664322">
      <w:pPr>
        <w:spacing w:after="120"/>
        <w:contextualSpacing/>
        <w:jc w:val="both"/>
        <w:rPr>
          <w:rFonts w:eastAsia="Calibri"/>
          <w:szCs w:val="24"/>
          <w:lang w:eastAsia="en-US"/>
        </w:rPr>
      </w:pPr>
      <w:r w:rsidRPr="00664322">
        <w:rPr>
          <w:rFonts w:eastAsia="Calibri"/>
          <w:szCs w:val="24"/>
          <w:lang w:eastAsia="en-US"/>
        </w:rPr>
        <w:t>Podpisano 298  umów o dofinansowanie. Łączna wartość dofinansowania umów wynosi 464,36 mln EUR, co stanowi 100,89% alokacji na priorytet.</w:t>
      </w:r>
    </w:p>
    <w:p w14:paraId="4D73C874" w14:textId="0DED7CC0" w:rsidR="00664322" w:rsidRPr="00664322" w:rsidRDefault="00664322" w:rsidP="00664322">
      <w:pPr>
        <w:spacing w:after="120"/>
        <w:jc w:val="both"/>
        <w:rPr>
          <w:rFonts w:eastAsia="Calibri"/>
          <w:szCs w:val="24"/>
          <w:lang w:eastAsia="en-US"/>
        </w:rPr>
      </w:pPr>
      <w:r w:rsidRPr="00664322">
        <w:rPr>
          <w:rFonts w:eastAsia="Calibri"/>
          <w:szCs w:val="24"/>
          <w:lang w:eastAsia="en-US"/>
        </w:rPr>
        <w:t xml:space="preserve">Na koniec 2016 roku certyfikowano wydatki na kwotę </w:t>
      </w:r>
      <w:r w:rsidR="00047FF1">
        <w:rPr>
          <w:rFonts w:eastAsia="Calibri"/>
          <w:szCs w:val="24"/>
          <w:lang w:eastAsia="en-US"/>
        </w:rPr>
        <w:t>481,82</w:t>
      </w:r>
      <w:r w:rsidRPr="00664322">
        <w:rPr>
          <w:rFonts w:eastAsia="Calibri"/>
          <w:szCs w:val="24"/>
          <w:lang w:eastAsia="en-US"/>
        </w:rPr>
        <w:t xml:space="preserve"> mln </w:t>
      </w:r>
      <w:r w:rsidR="00D61B84" w:rsidRPr="00664322">
        <w:rPr>
          <w:rFonts w:eastAsia="Calibri"/>
          <w:szCs w:val="24"/>
          <w:lang w:eastAsia="en-US"/>
        </w:rPr>
        <w:t>EUR, co</w:t>
      </w:r>
      <w:r w:rsidRPr="00664322">
        <w:rPr>
          <w:rFonts w:eastAsia="Calibri"/>
          <w:szCs w:val="24"/>
          <w:lang w:eastAsia="en-US"/>
        </w:rPr>
        <w:t xml:space="preserve"> stanowi 104,69% dostępnej alokacji. </w:t>
      </w:r>
    </w:p>
    <w:p w14:paraId="77572182" w14:textId="272CF245" w:rsidR="00664322" w:rsidRDefault="00664322" w:rsidP="00664322">
      <w:pPr>
        <w:spacing w:after="0"/>
        <w:jc w:val="both"/>
        <w:rPr>
          <w:szCs w:val="24"/>
        </w:rPr>
      </w:pPr>
      <w:r>
        <w:rPr>
          <w:szCs w:val="24"/>
        </w:rPr>
        <w:t>Na poniższym wykresie przedstawiono ogólną informację dot. postępu realizacji priorytetu VII na koniec 2016 roku oraz poziom wykorzystania alokacji.</w:t>
      </w:r>
    </w:p>
    <w:p w14:paraId="64AD7A60" w14:textId="77777777" w:rsidR="00664322" w:rsidRPr="00DE411F" w:rsidRDefault="00664322" w:rsidP="00664322">
      <w:pPr>
        <w:spacing w:after="0"/>
        <w:jc w:val="both"/>
        <w:rPr>
          <w:szCs w:val="24"/>
        </w:rPr>
      </w:pPr>
    </w:p>
    <w:p w14:paraId="4D413B40" w14:textId="62EC0AA6" w:rsidR="00664322" w:rsidRDefault="00664322" w:rsidP="0094320D">
      <w:pPr>
        <w:spacing w:after="120"/>
        <w:contextualSpacing/>
        <w:jc w:val="both"/>
        <w:rPr>
          <w:rFonts w:eastAsia="Calibri"/>
          <w:b/>
          <w:szCs w:val="24"/>
          <w:lang w:eastAsia="ar-SA"/>
        </w:rPr>
      </w:pPr>
      <w:r>
        <w:rPr>
          <w:noProof/>
        </w:rPr>
        <w:lastRenderedPageBreak/>
        <w:drawing>
          <wp:inline distT="0" distB="0" distL="0" distR="0" wp14:anchorId="14617D31" wp14:editId="0CD4C10C">
            <wp:extent cx="6273580" cy="2743200"/>
            <wp:effectExtent l="0" t="0" r="0" b="0"/>
            <wp:docPr id="35852" name="Wykres 358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239416AB" w14:textId="698D7473" w:rsidR="00664322" w:rsidRDefault="004D7598" w:rsidP="004D7598">
      <w:pPr>
        <w:pStyle w:val="Legenda"/>
        <w:rPr>
          <w:b w:val="0"/>
          <w:i/>
          <w:color w:val="auto"/>
          <w:sz w:val="20"/>
          <w:szCs w:val="20"/>
        </w:rPr>
      </w:pPr>
      <w:bookmarkStart w:id="457" w:name="_Toc476832968"/>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50</w:t>
      </w:r>
      <w:r w:rsidR="00A44293" w:rsidRPr="00A44293">
        <w:rPr>
          <w:noProof/>
          <w:color w:val="auto"/>
        </w:rPr>
        <w:fldChar w:fldCharType="end"/>
      </w:r>
      <w:r w:rsidRPr="00A44293">
        <w:rPr>
          <w:color w:val="auto"/>
        </w:rPr>
        <w:t xml:space="preserve"> </w:t>
      </w:r>
      <w:r w:rsidR="00673DF3" w:rsidRPr="00673DF3">
        <w:rPr>
          <w:b w:val="0"/>
          <w:i/>
          <w:color w:val="auto"/>
          <w:sz w:val="20"/>
          <w:szCs w:val="20"/>
        </w:rPr>
        <w:t xml:space="preserve">Postęp </w:t>
      </w:r>
      <w:r w:rsidR="00E740B2">
        <w:rPr>
          <w:b w:val="0"/>
          <w:i/>
          <w:color w:val="auto"/>
          <w:sz w:val="20"/>
          <w:szCs w:val="20"/>
        </w:rPr>
        <w:t>finansowy</w:t>
      </w:r>
      <w:r w:rsidR="00673DF3" w:rsidRPr="00673DF3">
        <w:rPr>
          <w:b w:val="0"/>
          <w:i/>
          <w:color w:val="auto"/>
          <w:sz w:val="20"/>
          <w:szCs w:val="20"/>
        </w:rPr>
        <w:t xml:space="preserve"> priorytetu</w:t>
      </w:r>
      <w:r w:rsidR="00E740B2">
        <w:rPr>
          <w:b w:val="0"/>
          <w:i/>
          <w:color w:val="auto"/>
          <w:sz w:val="20"/>
          <w:szCs w:val="20"/>
        </w:rPr>
        <w:t xml:space="preserve"> VII</w:t>
      </w:r>
      <w:bookmarkEnd w:id="457"/>
    </w:p>
    <w:p w14:paraId="1918CF0A" w14:textId="1FA03037" w:rsidR="00BF50D7" w:rsidRDefault="00BF50D7" w:rsidP="00BF50D7">
      <w:r>
        <w:t>Poniżej przedstawiono postęp realizacji priorytetu w podziale na działania</w:t>
      </w:r>
      <w:r w:rsidR="003E508E">
        <w:t>.</w:t>
      </w:r>
    </w:p>
    <w:p w14:paraId="1E9EE66A" w14:textId="42B5CEBE" w:rsidR="005D38A0" w:rsidRPr="005D38A0" w:rsidRDefault="004D7598" w:rsidP="004D7598">
      <w:pPr>
        <w:pStyle w:val="Legenda"/>
        <w:rPr>
          <w:b w:val="0"/>
          <w:i/>
          <w:color w:val="auto"/>
        </w:rPr>
      </w:pPr>
      <w:bookmarkStart w:id="458" w:name="_Toc476131814"/>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31</w:t>
      </w:r>
      <w:r w:rsidR="00A44293" w:rsidRPr="00A44293">
        <w:rPr>
          <w:noProof/>
          <w:color w:val="auto"/>
        </w:rPr>
        <w:fldChar w:fldCharType="end"/>
      </w:r>
      <w:r>
        <w:t xml:space="preserve"> </w:t>
      </w:r>
      <w:r w:rsidR="005D38A0" w:rsidRPr="005D38A0">
        <w:rPr>
          <w:b w:val="0"/>
          <w:i/>
          <w:color w:val="auto"/>
        </w:rPr>
        <w:t>Postęp finansowy priorytetu VII w podziale na działania</w:t>
      </w:r>
      <w:bookmarkEnd w:id="458"/>
    </w:p>
    <w:tbl>
      <w:tblPr>
        <w:tblStyle w:val="Tabelalisty3akcent61"/>
        <w:tblW w:w="10206" w:type="dxa"/>
        <w:jc w:val="center"/>
        <w:tblLook w:val="04A0" w:firstRow="1" w:lastRow="0" w:firstColumn="1" w:lastColumn="0" w:noHBand="0" w:noVBand="1"/>
      </w:tblPr>
      <w:tblGrid>
        <w:gridCol w:w="983"/>
        <w:gridCol w:w="1134"/>
        <w:gridCol w:w="1210"/>
        <w:gridCol w:w="918"/>
        <w:gridCol w:w="992"/>
        <w:gridCol w:w="1134"/>
        <w:gridCol w:w="993"/>
        <w:gridCol w:w="992"/>
        <w:gridCol w:w="1134"/>
        <w:gridCol w:w="850"/>
      </w:tblGrid>
      <w:tr w:rsidR="00673DF3" w:rsidRPr="00673DF3" w14:paraId="7A0BCCF3" w14:textId="77777777" w:rsidTr="009B02EB">
        <w:trPr>
          <w:cnfStyle w:val="100000000000" w:firstRow="1" w:lastRow="0" w:firstColumn="0" w:lastColumn="0" w:oddVBand="0" w:evenVBand="0" w:oddHBand="0" w:evenHBand="0" w:firstRowFirstColumn="0" w:firstRowLastColumn="0" w:lastRowFirstColumn="0" w:lastRowLastColumn="0"/>
          <w:trHeight w:val="1245"/>
          <w:jc w:val="center"/>
        </w:trPr>
        <w:tc>
          <w:tcPr>
            <w:cnfStyle w:val="001000000100" w:firstRow="0" w:lastRow="0" w:firstColumn="1" w:lastColumn="0" w:oddVBand="0" w:evenVBand="0" w:oddHBand="0" w:evenHBand="0" w:firstRowFirstColumn="1" w:firstRowLastColumn="0" w:lastRowFirstColumn="0" w:lastRowLastColumn="0"/>
            <w:tcW w:w="983" w:type="dxa"/>
            <w:vMerge w:val="restart"/>
            <w:noWrap/>
            <w:textDirection w:val="btLr"/>
            <w:vAlign w:val="center"/>
            <w:hideMark/>
          </w:tcPr>
          <w:p w14:paraId="02C9A857" w14:textId="630A5CCD" w:rsidR="00673DF3" w:rsidRPr="009B02EB" w:rsidRDefault="001D040C" w:rsidP="009B02EB">
            <w:pPr>
              <w:spacing w:after="0" w:line="240" w:lineRule="auto"/>
              <w:ind w:left="113" w:right="113"/>
              <w:jc w:val="center"/>
              <w:rPr>
                <w:bCs w:val="0"/>
                <w:color w:val="000000"/>
                <w:sz w:val="20"/>
                <w:szCs w:val="20"/>
              </w:rPr>
            </w:pPr>
            <w:r w:rsidRPr="009B02EB">
              <w:rPr>
                <w:bCs w:val="0"/>
                <w:color w:val="000000"/>
                <w:sz w:val="20"/>
                <w:szCs w:val="20"/>
              </w:rPr>
              <w:t>DZIAŁANIE</w:t>
            </w:r>
          </w:p>
        </w:tc>
        <w:tc>
          <w:tcPr>
            <w:tcW w:w="1134" w:type="dxa"/>
            <w:vMerge w:val="restart"/>
            <w:textDirection w:val="btLr"/>
            <w:vAlign w:val="center"/>
            <w:hideMark/>
          </w:tcPr>
          <w:p w14:paraId="0D4BBEA4" w14:textId="6AAFB411" w:rsidR="00673DF3" w:rsidRPr="009B02EB" w:rsidRDefault="001D040C" w:rsidP="009B02EB">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ALOKACJA MLN EUR</w:t>
            </w:r>
          </w:p>
        </w:tc>
        <w:tc>
          <w:tcPr>
            <w:tcW w:w="1994" w:type="dxa"/>
            <w:gridSpan w:val="2"/>
            <w:vAlign w:val="center"/>
            <w:hideMark/>
          </w:tcPr>
          <w:p w14:paraId="2DDD536D" w14:textId="3850CBCA" w:rsidR="00673DF3"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WNIOSKI WYBRANE DO DOFINANSOWANIA</w:t>
            </w:r>
          </w:p>
        </w:tc>
        <w:tc>
          <w:tcPr>
            <w:tcW w:w="2126" w:type="dxa"/>
            <w:gridSpan w:val="2"/>
            <w:vAlign w:val="center"/>
            <w:hideMark/>
          </w:tcPr>
          <w:p w14:paraId="1ED64FC3" w14:textId="2F18CB60" w:rsidR="00673DF3"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KONTRAKTACJA</w:t>
            </w:r>
          </w:p>
        </w:tc>
        <w:tc>
          <w:tcPr>
            <w:tcW w:w="1985" w:type="dxa"/>
            <w:gridSpan w:val="2"/>
            <w:noWrap/>
            <w:vAlign w:val="center"/>
            <w:hideMark/>
          </w:tcPr>
          <w:p w14:paraId="1EBEA7E6" w14:textId="3C87CA70" w:rsidR="00673DF3"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PŁATNOŚCI</w:t>
            </w:r>
          </w:p>
        </w:tc>
        <w:tc>
          <w:tcPr>
            <w:tcW w:w="1984" w:type="dxa"/>
            <w:gridSpan w:val="2"/>
            <w:noWrap/>
            <w:vAlign w:val="center"/>
            <w:hideMark/>
          </w:tcPr>
          <w:p w14:paraId="133BD94B" w14:textId="5626B26E" w:rsidR="00673DF3" w:rsidRPr="009B02EB" w:rsidRDefault="001D040C" w:rsidP="009B02EB">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9B02EB">
              <w:rPr>
                <w:bCs w:val="0"/>
                <w:color w:val="000000"/>
                <w:sz w:val="20"/>
                <w:szCs w:val="20"/>
              </w:rPr>
              <w:t>CERTYFIKACJA</w:t>
            </w:r>
          </w:p>
        </w:tc>
      </w:tr>
      <w:tr w:rsidR="00673DF3" w:rsidRPr="00673DF3" w14:paraId="119E3712" w14:textId="77777777" w:rsidTr="009B02EB">
        <w:trPr>
          <w:cnfStyle w:val="000000100000" w:firstRow="0" w:lastRow="0" w:firstColumn="0" w:lastColumn="0" w:oddVBand="0" w:evenVBand="0" w:oddHBand="1" w:evenHBand="0" w:firstRowFirstColumn="0" w:firstRowLastColumn="0" w:lastRowFirstColumn="0" w:lastRowLastColumn="0"/>
          <w:trHeight w:val="555"/>
          <w:jc w:val="center"/>
        </w:trPr>
        <w:tc>
          <w:tcPr>
            <w:cnfStyle w:val="001000000000" w:firstRow="0" w:lastRow="0" w:firstColumn="1" w:lastColumn="0" w:oddVBand="0" w:evenVBand="0" w:oddHBand="0" w:evenHBand="0" w:firstRowFirstColumn="0" w:firstRowLastColumn="0" w:lastRowFirstColumn="0" w:lastRowLastColumn="0"/>
            <w:tcW w:w="983" w:type="dxa"/>
            <w:vMerge/>
            <w:vAlign w:val="center"/>
            <w:hideMark/>
          </w:tcPr>
          <w:p w14:paraId="31C27F66" w14:textId="77777777" w:rsidR="00673DF3" w:rsidRPr="00673DF3" w:rsidRDefault="00673DF3" w:rsidP="009B02EB">
            <w:pPr>
              <w:spacing w:after="0" w:line="240" w:lineRule="auto"/>
              <w:jc w:val="center"/>
              <w:rPr>
                <w:b w:val="0"/>
                <w:bCs w:val="0"/>
                <w:color w:val="000000"/>
                <w:sz w:val="20"/>
                <w:szCs w:val="20"/>
              </w:rPr>
            </w:pPr>
          </w:p>
        </w:tc>
        <w:tc>
          <w:tcPr>
            <w:tcW w:w="1134" w:type="dxa"/>
            <w:vMerge/>
            <w:vAlign w:val="center"/>
            <w:hideMark/>
          </w:tcPr>
          <w:p w14:paraId="0D9E4AB1"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1134" w:type="dxa"/>
            <w:vAlign w:val="center"/>
            <w:hideMark/>
          </w:tcPr>
          <w:p w14:paraId="0CA42B97"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mln EUR</w:t>
            </w:r>
          </w:p>
        </w:tc>
        <w:tc>
          <w:tcPr>
            <w:tcW w:w="860" w:type="dxa"/>
            <w:vAlign w:val="center"/>
            <w:hideMark/>
          </w:tcPr>
          <w:p w14:paraId="1128F7AE"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w:t>
            </w:r>
          </w:p>
        </w:tc>
        <w:tc>
          <w:tcPr>
            <w:tcW w:w="992" w:type="dxa"/>
            <w:vAlign w:val="center"/>
            <w:hideMark/>
          </w:tcPr>
          <w:p w14:paraId="6BB28E0C"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mln EUR</w:t>
            </w:r>
          </w:p>
        </w:tc>
        <w:tc>
          <w:tcPr>
            <w:tcW w:w="1134" w:type="dxa"/>
            <w:vAlign w:val="center"/>
            <w:hideMark/>
          </w:tcPr>
          <w:p w14:paraId="3C005945"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w:t>
            </w:r>
          </w:p>
        </w:tc>
        <w:tc>
          <w:tcPr>
            <w:tcW w:w="993" w:type="dxa"/>
            <w:vAlign w:val="center"/>
            <w:hideMark/>
          </w:tcPr>
          <w:p w14:paraId="746D9018"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mln EUR</w:t>
            </w:r>
          </w:p>
        </w:tc>
        <w:tc>
          <w:tcPr>
            <w:tcW w:w="992" w:type="dxa"/>
            <w:vAlign w:val="center"/>
            <w:hideMark/>
          </w:tcPr>
          <w:p w14:paraId="2A3DD55E"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w:t>
            </w:r>
          </w:p>
        </w:tc>
        <w:tc>
          <w:tcPr>
            <w:tcW w:w="1134" w:type="dxa"/>
            <w:vAlign w:val="center"/>
            <w:hideMark/>
          </w:tcPr>
          <w:p w14:paraId="212F3950"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mln EUR</w:t>
            </w:r>
          </w:p>
        </w:tc>
        <w:tc>
          <w:tcPr>
            <w:tcW w:w="850" w:type="dxa"/>
            <w:vAlign w:val="center"/>
            <w:hideMark/>
          </w:tcPr>
          <w:p w14:paraId="2BB67473"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673DF3">
              <w:rPr>
                <w:b/>
                <w:bCs/>
                <w:color w:val="000000"/>
                <w:sz w:val="20"/>
                <w:szCs w:val="20"/>
              </w:rPr>
              <w:t>%</w:t>
            </w:r>
          </w:p>
        </w:tc>
      </w:tr>
      <w:tr w:rsidR="00673DF3" w:rsidRPr="00673DF3" w14:paraId="301DEA67" w14:textId="77777777" w:rsidTr="009B02EB">
        <w:trPr>
          <w:trHeight w:val="300"/>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7DB37877" w14:textId="77777777" w:rsidR="00673DF3" w:rsidRPr="00673DF3" w:rsidRDefault="00673DF3" w:rsidP="009B02EB">
            <w:pPr>
              <w:spacing w:after="0" w:line="240" w:lineRule="auto"/>
              <w:jc w:val="center"/>
              <w:rPr>
                <w:color w:val="000000"/>
                <w:sz w:val="20"/>
                <w:szCs w:val="20"/>
              </w:rPr>
            </w:pPr>
            <w:r w:rsidRPr="00673DF3">
              <w:rPr>
                <w:color w:val="000000"/>
                <w:sz w:val="20"/>
                <w:szCs w:val="20"/>
              </w:rPr>
              <w:t>7.1</w:t>
            </w:r>
          </w:p>
        </w:tc>
        <w:tc>
          <w:tcPr>
            <w:tcW w:w="1134" w:type="dxa"/>
            <w:noWrap/>
            <w:vAlign w:val="center"/>
            <w:hideMark/>
          </w:tcPr>
          <w:p w14:paraId="69215FA5" w14:textId="6AD784C6" w:rsidR="00673DF3" w:rsidRPr="00673DF3" w:rsidRDefault="00C963D4"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351,13</w:t>
            </w:r>
          </w:p>
        </w:tc>
        <w:tc>
          <w:tcPr>
            <w:tcW w:w="1134" w:type="dxa"/>
            <w:noWrap/>
            <w:vAlign w:val="center"/>
            <w:hideMark/>
          </w:tcPr>
          <w:p w14:paraId="405F24DE" w14:textId="77777777" w:rsidR="00673DF3" w:rsidRPr="00673DF3" w:rsidRDefault="00673DF3"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73DF3">
              <w:rPr>
                <w:color w:val="000000"/>
                <w:sz w:val="20"/>
                <w:szCs w:val="20"/>
              </w:rPr>
              <w:t>459,27</w:t>
            </w:r>
          </w:p>
        </w:tc>
        <w:tc>
          <w:tcPr>
            <w:tcW w:w="860" w:type="dxa"/>
            <w:noWrap/>
            <w:vAlign w:val="center"/>
            <w:hideMark/>
          </w:tcPr>
          <w:p w14:paraId="1D163004" w14:textId="61A063EE" w:rsidR="00673DF3" w:rsidRPr="00673DF3" w:rsidRDefault="00673DF3"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73DF3">
              <w:rPr>
                <w:color w:val="000000"/>
                <w:sz w:val="20"/>
                <w:szCs w:val="20"/>
              </w:rPr>
              <w:t>130,92</w:t>
            </w:r>
          </w:p>
        </w:tc>
        <w:tc>
          <w:tcPr>
            <w:tcW w:w="992" w:type="dxa"/>
            <w:noWrap/>
            <w:vAlign w:val="center"/>
            <w:hideMark/>
          </w:tcPr>
          <w:p w14:paraId="773CDB59" w14:textId="77777777" w:rsidR="00673DF3" w:rsidRPr="00673DF3" w:rsidRDefault="00673DF3"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73DF3">
              <w:rPr>
                <w:color w:val="000000"/>
                <w:sz w:val="20"/>
                <w:szCs w:val="20"/>
              </w:rPr>
              <w:t>357,62</w:t>
            </w:r>
          </w:p>
        </w:tc>
        <w:tc>
          <w:tcPr>
            <w:tcW w:w="1134" w:type="dxa"/>
            <w:noWrap/>
            <w:vAlign w:val="center"/>
            <w:hideMark/>
          </w:tcPr>
          <w:p w14:paraId="74B7D3A0" w14:textId="0DE21E64" w:rsidR="00673DF3" w:rsidRPr="00673DF3" w:rsidRDefault="00673DF3"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101,94</w:t>
            </w:r>
          </w:p>
        </w:tc>
        <w:tc>
          <w:tcPr>
            <w:tcW w:w="993" w:type="dxa"/>
            <w:noWrap/>
            <w:vAlign w:val="center"/>
            <w:hideMark/>
          </w:tcPr>
          <w:p w14:paraId="4B3E895A" w14:textId="77777777" w:rsidR="00673DF3" w:rsidRPr="00673DF3" w:rsidRDefault="00673DF3"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73DF3">
              <w:rPr>
                <w:color w:val="000000"/>
                <w:sz w:val="20"/>
                <w:szCs w:val="20"/>
              </w:rPr>
              <w:t>354,67</w:t>
            </w:r>
          </w:p>
        </w:tc>
        <w:tc>
          <w:tcPr>
            <w:tcW w:w="992" w:type="dxa"/>
            <w:noWrap/>
            <w:vAlign w:val="center"/>
            <w:hideMark/>
          </w:tcPr>
          <w:p w14:paraId="39280EA6" w14:textId="2BCD9097" w:rsidR="00673DF3" w:rsidRPr="00673DF3" w:rsidRDefault="00673DF3"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101,10</w:t>
            </w:r>
          </w:p>
        </w:tc>
        <w:tc>
          <w:tcPr>
            <w:tcW w:w="1134" w:type="dxa"/>
            <w:noWrap/>
            <w:vAlign w:val="center"/>
            <w:hideMark/>
          </w:tcPr>
          <w:p w14:paraId="50C6BEAF" w14:textId="49077E12" w:rsidR="00673DF3" w:rsidRPr="00673DF3" w:rsidRDefault="00C963D4"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373,0</w:t>
            </w:r>
            <w:r w:rsidR="00F64529">
              <w:rPr>
                <w:sz w:val="20"/>
                <w:szCs w:val="20"/>
              </w:rPr>
              <w:t>8</w:t>
            </w:r>
            <w:r>
              <w:rPr>
                <w:sz w:val="20"/>
                <w:szCs w:val="20"/>
              </w:rPr>
              <w:t xml:space="preserve"> </w:t>
            </w:r>
          </w:p>
        </w:tc>
        <w:tc>
          <w:tcPr>
            <w:tcW w:w="850" w:type="dxa"/>
            <w:noWrap/>
            <w:vAlign w:val="center"/>
            <w:hideMark/>
          </w:tcPr>
          <w:p w14:paraId="738E2B3E" w14:textId="3F7C4484" w:rsidR="00673DF3" w:rsidRPr="00673DF3" w:rsidRDefault="00C963D4" w:rsidP="009B02EB">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 106,25</w:t>
            </w:r>
          </w:p>
        </w:tc>
      </w:tr>
      <w:tr w:rsidR="00673DF3" w:rsidRPr="00673DF3" w14:paraId="252D136A" w14:textId="77777777" w:rsidTr="009B02E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06B63515" w14:textId="77777777" w:rsidR="00673DF3" w:rsidRPr="00673DF3" w:rsidRDefault="00673DF3" w:rsidP="009B02EB">
            <w:pPr>
              <w:spacing w:after="0" w:line="240" w:lineRule="auto"/>
              <w:jc w:val="center"/>
              <w:rPr>
                <w:color w:val="000000"/>
                <w:sz w:val="20"/>
                <w:szCs w:val="20"/>
              </w:rPr>
            </w:pPr>
            <w:r w:rsidRPr="00673DF3">
              <w:rPr>
                <w:color w:val="000000"/>
                <w:sz w:val="20"/>
                <w:szCs w:val="20"/>
              </w:rPr>
              <w:t>7.2</w:t>
            </w:r>
          </w:p>
        </w:tc>
        <w:tc>
          <w:tcPr>
            <w:tcW w:w="1134" w:type="dxa"/>
            <w:noWrap/>
            <w:vAlign w:val="center"/>
            <w:hideMark/>
          </w:tcPr>
          <w:p w14:paraId="171F1AEF" w14:textId="1D5D5CD6" w:rsidR="00673DF3" w:rsidRPr="00673DF3" w:rsidRDefault="00C963D4"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109,12</w:t>
            </w:r>
          </w:p>
        </w:tc>
        <w:tc>
          <w:tcPr>
            <w:tcW w:w="1134" w:type="dxa"/>
            <w:noWrap/>
            <w:vAlign w:val="center"/>
            <w:hideMark/>
          </w:tcPr>
          <w:p w14:paraId="1F58EE0F"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73DF3">
              <w:rPr>
                <w:color w:val="000000"/>
                <w:sz w:val="20"/>
                <w:szCs w:val="20"/>
              </w:rPr>
              <w:t>120,64</w:t>
            </w:r>
          </w:p>
        </w:tc>
        <w:tc>
          <w:tcPr>
            <w:tcW w:w="860" w:type="dxa"/>
            <w:noWrap/>
            <w:vAlign w:val="center"/>
            <w:hideMark/>
          </w:tcPr>
          <w:p w14:paraId="31B187DF" w14:textId="4B3A5C4D"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110,23</w:t>
            </w:r>
          </w:p>
        </w:tc>
        <w:tc>
          <w:tcPr>
            <w:tcW w:w="992" w:type="dxa"/>
            <w:noWrap/>
            <w:vAlign w:val="center"/>
            <w:hideMark/>
          </w:tcPr>
          <w:p w14:paraId="02B6485D"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73DF3">
              <w:rPr>
                <w:color w:val="000000"/>
                <w:sz w:val="20"/>
                <w:szCs w:val="20"/>
              </w:rPr>
              <w:t>106,74</w:t>
            </w:r>
          </w:p>
        </w:tc>
        <w:tc>
          <w:tcPr>
            <w:tcW w:w="1134" w:type="dxa"/>
            <w:noWrap/>
            <w:vAlign w:val="center"/>
            <w:hideMark/>
          </w:tcPr>
          <w:p w14:paraId="2602BCCD" w14:textId="4BFD2DD0"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97,53</w:t>
            </w:r>
          </w:p>
        </w:tc>
        <w:tc>
          <w:tcPr>
            <w:tcW w:w="993" w:type="dxa"/>
            <w:noWrap/>
            <w:vAlign w:val="center"/>
            <w:hideMark/>
          </w:tcPr>
          <w:p w14:paraId="5211D3F9" w14:textId="77777777"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73DF3">
              <w:rPr>
                <w:color w:val="000000"/>
                <w:sz w:val="20"/>
                <w:szCs w:val="20"/>
              </w:rPr>
              <w:t>104,84</w:t>
            </w:r>
          </w:p>
        </w:tc>
        <w:tc>
          <w:tcPr>
            <w:tcW w:w="992" w:type="dxa"/>
            <w:noWrap/>
            <w:vAlign w:val="center"/>
            <w:hideMark/>
          </w:tcPr>
          <w:p w14:paraId="10FDDD96" w14:textId="4ED20EE5"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95,80</w:t>
            </w:r>
          </w:p>
        </w:tc>
        <w:tc>
          <w:tcPr>
            <w:tcW w:w="1134" w:type="dxa"/>
            <w:noWrap/>
            <w:vAlign w:val="center"/>
            <w:hideMark/>
          </w:tcPr>
          <w:p w14:paraId="762A8D12" w14:textId="21BF5243" w:rsidR="00673DF3" w:rsidRPr="00673DF3" w:rsidRDefault="00673DF3"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673DF3">
              <w:rPr>
                <w:sz w:val="20"/>
                <w:szCs w:val="20"/>
              </w:rPr>
              <w:t>108,7</w:t>
            </w:r>
            <w:r w:rsidR="00F64529">
              <w:rPr>
                <w:sz w:val="20"/>
                <w:szCs w:val="20"/>
              </w:rPr>
              <w:t>4</w:t>
            </w:r>
          </w:p>
        </w:tc>
        <w:tc>
          <w:tcPr>
            <w:tcW w:w="850" w:type="dxa"/>
            <w:noWrap/>
            <w:vAlign w:val="center"/>
            <w:hideMark/>
          </w:tcPr>
          <w:p w14:paraId="5972D39D" w14:textId="445CF3A0" w:rsidR="00673DF3" w:rsidRPr="00673DF3" w:rsidRDefault="00C963D4" w:rsidP="009B02E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 99,6</w:t>
            </w:r>
            <w:r w:rsidR="00F64529">
              <w:rPr>
                <w:color w:val="000000"/>
                <w:sz w:val="20"/>
                <w:szCs w:val="20"/>
              </w:rPr>
              <w:t>5</w:t>
            </w:r>
          </w:p>
        </w:tc>
      </w:tr>
    </w:tbl>
    <w:p w14:paraId="432751A3" w14:textId="77777777" w:rsidR="00673DF3" w:rsidRPr="00673DF3" w:rsidRDefault="00673DF3" w:rsidP="00673DF3">
      <w:pPr>
        <w:rPr>
          <w:rFonts w:eastAsia="Calibri"/>
        </w:rPr>
      </w:pPr>
    </w:p>
    <w:p w14:paraId="20FD6B3B" w14:textId="77777777" w:rsidR="005004F7" w:rsidRPr="0094320D" w:rsidRDefault="005004F7" w:rsidP="0094320D">
      <w:pPr>
        <w:spacing w:after="120"/>
        <w:contextualSpacing/>
        <w:jc w:val="both"/>
        <w:rPr>
          <w:rFonts w:eastAsia="Calibri"/>
          <w:b/>
          <w:szCs w:val="24"/>
          <w:lang w:eastAsia="ar-SA"/>
        </w:rPr>
      </w:pPr>
      <w:r w:rsidRPr="0094320D">
        <w:rPr>
          <w:rFonts w:eastAsia="Calibri"/>
          <w:b/>
          <w:szCs w:val="24"/>
          <w:lang w:eastAsia="ar-SA"/>
        </w:rPr>
        <w:t>Projekty kluczowe</w:t>
      </w:r>
    </w:p>
    <w:p w14:paraId="35078CD4" w14:textId="1B7A1185" w:rsidR="005004F7" w:rsidRPr="0094320D" w:rsidRDefault="005004F7" w:rsidP="0094320D">
      <w:pPr>
        <w:spacing w:after="120"/>
        <w:contextualSpacing/>
        <w:jc w:val="both"/>
        <w:rPr>
          <w:rFonts w:eastAsia="Calibri"/>
          <w:szCs w:val="24"/>
          <w:lang w:eastAsia="en-US"/>
        </w:rPr>
      </w:pPr>
      <w:r w:rsidRPr="0094320D">
        <w:rPr>
          <w:rFonts w:eastAsia="Calibri"/>
          <w:szCs w:val="24"/>
          <w:lang w:eastAsia="ar-SA"/>
        </w:rPr>
        <w:t>W r</w:t>
      </w:r>
      <w:r w:rsidR="00F8189B">
        <w:rPr>
          <w:rFonts w:eastAsia="Calibri"/>
          <w:szCs w:val="24"/>
          <w:lang w:eastAsia="ar-SA"/>
        </w:rPr>
        <w:t>amach priorytetu realizowanych było</w:t>
      </w:r>
      <w:r w:rsidRPr="0094320D">
        <w:rPr>
          <w:rFonts w:eastAsia="Calibri"/>
          <w:szCs w:val="24"/>
          <w:lang w:eastAsia="ar-SA"/>
        </w:rPr>
        <w:t xml:space="preserve"> 7 projektów kluczowych: </w:t>
      </w:r>
    </w:p>
    <w:p w14:paraId="7DB2650C"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Kontynuacja budowy Drogowej Trasy Średnicowej „Zachód” – odcinek Zabrze – Gliwice.</w:t>
      </w:r>
    </w:p>
    <w:p w14:paraId="3FDB7ADD"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Przebudowa odcinka drogi krajowej nr 52 (ul. Wyzwolenia/Niepodległości) w Bielsku-Białej.</w:t>
      </w:r>
    </w:p>
    <w:p w14:paraId="620553B7"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Usprawnienie ruchu tranzytowego w Subregionie Zachodnim - budowa obwodnic                     w Rybniku i Żorach wraz z modernizacją DW 935.</w:t>
      </w:r>
    </w:p>
    <w:p w14:paraId="01696EBF"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Budowa bytomskiego odcinka Obwodnicy Północnej Aglomeracji Górnośląskiej – etap III.</w:t>
      </w:r>
    </w:p>
    <w:p w14:paraId="44CA5201"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Budowa Drogi Głównej Południowej na odcinku od DW 933 - ul. Pszczyńskiej                             w Jastrzębiu Zdroju do węzła autostrady A 1 w Mszanie.</w:t>
      </w:r>
    </w:p>
    <w:p w14:paraId="20B8C82F"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Dostawa Elektrycznych Zespołów Trakcyjnych do wykonywania pasażerskich przewozów regionalnych.</w:t>
      </w:r>
    </w:p>
    <w:p w14:paraId="6BE46D84" w14:textId="77777777" w:rsidR="005004F7" w:rsidRPr="0094320D" w:rsidRDefault="005004F7" w:rsidP="0021401A">
      <w:pPr>
        <w:numPr>
          <w:ilvl w:val="0"/>
          <w:numId w:val="37"/>
        </w:numPr>
        <w:spacing w:after="120"/>
        <w:contextualSpacing/>
        <w:jc w:val="both"/>
        <w:rPr>
          <w:rFonts w:eastAsia="Calibri"/>
          <w:i/>
          <w:szCs w:val="24"/>
          <w:lang w:eastAsia="en-US"/>
        </w:rPr>
      </w:pPr>
      <w:r w:rsidRPr="0094320D">
        <w:rPr>
          <w:rFonts w:eastAsia="Calibri"/>
          <w:i/>
          <w:szCs w:val="24"/>
          <w:lang w:eastAsia="en-US"/>
        </w:rPr>
        <w:t>Szybka Kolej Regionalna Tychy – Dąbrowa Górnicza - etap I Tychy Miasto – Katowice.</w:t>
      </w:r>
    </w:p>
    <w:p w14:paraId="354A54DE" w14:textId="77777777" w:rsidR="005004F7" w:rsidRPr="0094320D" w:rsidRDefault="005004F7" w:rsidP="0094320D">
      <w:pPr>
        <w:spacing w:after="120"/>
        <w:contextualSpacing/>
        <w:jc w:val="both"/>
        <w:rPr>
          <w:rFonts w:eastAsia="Calibri"/>
          <w:i/>
          <w:szCs w:val="24"/>
          <w:lang w:eastAsia="en-US"/>
        </w:rPr>
      </w:pPr>
    </w:p>
    <w:p w14:paraId="7FA6A27C" w14:textId="1E0FC0B2" w:rsidR="005004F7" w:rsidRPr="0094320D" w:rsidRDefault="005004F7" w:rsidP="0094320D">
      <w:pPr>
        <w:spacing w:after="120"/>
        <w:contextualSpacing/>
        <w:jc w:val="both"/>
        <w:rPr>
          <w:rFonts w:eastAsia="Calibri"/>
          <w:szCs w:val="24"/>
          <w:lang w:eastAsia="en-US"/>
        </w:rPr>
      </w:pPr>
      <w:r w:rsidRPr="0094320D">
        <w:rPr>
          <w:rFonts w:eastAsia="Calibri"/>
          <w:szCs w:val="24"/>
          <w:lang w:eastAsia="en-US"/>
        </w:rPr>
        <w:t>Ponadto r</w:t>
      </w:r>
      <w:r w:rsidR="000A0A3A" w:rsidRPr="0094320D">
        <w:rPr>
          <w:rFonts w:eastAsia="Calibri"/>
          <w:szCs w:val="24"/>
          <w:lang w:eastAsia="en-US"/>
        </w:rPr>
        <w:t xml:space="preserve">ealizowanych </w:t>
      </w:r>
      <w:r w:rsidR="00F8189B">
        <w:rPr>
          <w:rFonts w:eastAsia="Calibri"/>
          <w:szCs w:val="24"/>
          <w:lang w:eastAsia="en-US"/>
        </w:rPr>
        <w:t>było</w:t>
      </w:r>
      <w:r w:rsidR="000A0A3A" w:rsidRPr="0094320D">
        <w:rPr>
          <w:rFonts w:eastAsia="Calibri"/>
          <w:szCs w:val="24"/>
          <w:lang w:eastAsia="en-US"/>
        </w:rPr>
        <w:t xml:space="preserve"> 14</w:t>
      </w:r>
      <w:r w:rsidRPr="0094320D">
        <w:rPr>
          <w:rFonts w:eastAsia="Calibri"/>
          <w:szCs w:val="24"/>
          <w:lang w:eastAsia="en-US"/>
        </w:rPr>
        <w:t xml:space="preserve"> projektów z zakresu usuwania skutków powodzi                              w województwie śląskim, które wpisane </w:t>
      </w:r>
      <w:r w:rsidR="00A27479">
        <w:rPr>
          <w:rFonts w:eastAsia="Calibri"/>
          <w:szCs w:val="24"/>
          <w:lang w:eastAsia="en-US"/>
        </w:rPr>
        <w:t xml:space="preserve">były </w:t>
      </w:r>
      <w:r w:rsidRPr="0094320D">
        <w:rPr>
          <w:rFonts w:eastAsia="Calibri"/>
          <w:szCs w:val="24"/>
          <w:lang w:eastAsia="en-US"/>
        </w:rPr>
        <w:t>do IWIPK:</w:t>
      </w:r>
    </w:p>
    <w:p w14:paraId="36B46715" w14:textId="77777777" w:rsidR="005004F7" w:rsidRPr="0094320D" w:rsidRDefault="005004F7" w:rsidP="0021401A">
      <w:pPr>
        <w:numPr>
          <w:ilvl w:val="0"/>
          <w:numId w:val="38"/>
        </w:numPr>
        <w:spacing w:after="120"/>
        <w:contextualSpacing/>
        <w:jc w:val="both"/>
        <w:rPr>
          <w:rFonts w:eastAsia="Calibri"/>
          <w:i/>
          <w:szCs w:val="24"/>
          <w:lang w:eastAsia="en-US"/>
        </w:rPr>
      </w:pPr>
      <w:r w:rsidRPr="0094320D">
        <w:rPr>
          <w:rFonts w:eastAsia="Calibri"/>
          <w:i/>
          <w:szCs w:val="24"/>
          <w:lang w:eastAsia="en-US"/>
        </w:rPr>
        <w:lastRenderedPageBreak/>
        <w:t>Modernizacja ul. Świerczynieckiej wraz z ul. Lokalną w Bieruniu,</w:t>
      </w:r>
    </w:p>
    <w:p w14:paraId="41E36A2B" w14:textId="77777777" w:rsidR="005004F7" w:rsidRPr="0094320D" w:rsidRDefault="005004F7" w:rsidP="0021401A">
      <w:pPr>
        <w:numPr>
          <w:ilvl w:val="0"/>
          <w:numId w:val="38"/>
        </w:numPr>
        <w:spacing w:after="120"/>
        <w:contextualSpacing/>
        <w:jc w:val="both"/>
        <w:rPr>
          <w:rFonts w:eastAsia="Calibri"/>
          <w:i/>
          <w:szCs w:val="24"/>
          <w:lang w:eastAsia="en-US"/>
        </w:rPr>
      </w:pPr>
      <w:r w:rsidRPr="0094320D">
        <w:rPr>
          <w:rFonts w:eastAsia="Calibri"/>
          <w:i/>
          <w:szCs w:val="24"/>
          <w:lang w:eastAsia="en-US"/>
        </w:rPr>
        <w:t>Odbudowa mostu  nad rzeką Gostynią w ciągu  ul. Krupniczej w Bieruniu,</w:t>
      </w:r>
    </w:p>
    <w:p w14:paraId="4C6CCFC8" w14:textId="77777777" w:rsidR="005004F7" w:rsidRPr="0094320D" w:rsidRDefault="005004F7" w:rsidP="0021401A">
      <w:pPr>
        <w:numPr>
          <w:ilvl w:val="0"/>
          <w:numId w:val="38"/>
        </w:numPr>
        <w:spacing w:after="120"/>
        <w:contextualSpacing/>
        <w:jc w:val="both"/>
        <w:rPr>
          <w:rFonts w:eastAsia="Calibri"/>
          <w:i/>
          <w:szCs w:val="24"/>
          <w:lang w:eastAsia="en-US"/>
        </w:rPr>
      </w:pPr>
      <w:r w:rsidRPr="0094320D">
        <w:rPr>
          <w:rFonts w:eastAsia="Calibri"/>
          <w:i/>
          <w:szCs w:val="24"/>
          <w:lang w:eastAsia="en-US"/>
        </w:rPr>
        <w:t>Odbudowa mostu  nad rzeką Gostynią  w ciągu ul. Świerczynieckiej w Bieruniu,</w:t>
      </w:r>
    </w:p>
    <w:p w14:paraId="056C1589" w14:textId="77777777" w:rsidR="005004F7" w:rsidRPr="0094320D" w:rsidRDefault="005004F7" w:rsidP="0021401A">
      <w:pPr>
        <w:numPr>
          <w:ilvl w:val="0"/>
          <w:numId w:val="38"/>
        </w:numPr>
        <w:spacing w:after="120"/>
        <w:contextualSpacing/>
        <w:jc w:val="both"/>
        <w:rPr>
          <w:rFonts w:eastAsia="Calibri"/>
          <w:i/>
          <w:szCs w:val="24"/>
          <w:lang w:eastAsia="en-US"/>
        </w:rPr>
      </w:pPr>
      <w:r w:rsidRPr="0094320D">
        <w:rPr>
          <w:rFonts w:eastAsia="Calibri"/>
          <w:i/>
          <w:szCs w:val="24"/>
          <w:lang w:eastAsia="en-US"/>
        </w:rPr>
        <w:t>Modernizacja ciągu dróg powiatowych ul. Patriotów, Bohaterów Westerplatte                             i Mielęckiego w Bieruniu.</w:t>
      </w:r>
    </w:p>
    <w:p w14:paraId="1E82CF23" w14:textId="77777777" w:rsidR="005004F7" w:rsidRPr="0094320D" w:rsidRDefault="005004F7" w:rsidP="0021401A">
      <w:pPr>
        <w:numPr>
          <w:ilvl w:val="0"/>
          <w:numId w:val="38"/>
        </w:numPr>
        <w:spacing w:after="120"/>
        <w:ind w:left="357" w:hanging="357"/>
        <w:contextualSpacing/>
        <w:jc w:val="both"/>
        <w:rPr>
          <w:rFonts w:eastAsia="Calibri"/>
          <w:i/>
          <w:szCs w:val="24"/>
          <w:lang w:eastAsia="en-US"/>
        </w:rPr>
      </w:pPr>
      <w:r w:rsidRPr="0094320D">
        <w:rPr>
          <w:rFonts w:eastAsia="Calibri"/>
          <w:i/>
          <w:szCs w:val="24"/>
          <w:lang w:eastAsia="en-US"/>
        </w:rPr>
        <w:t>Przebudowa ul. Waryńskiego (4425S).</w:t>
      </w:r>
    </w:p>
    <w:p w14:paraId="1B512531" w14:textId="77777777" w:rsidR="005004F7" w:rsidRPr="0094320D" w:rsidRDefault="005004F7" w:rsidP="0021401A">
      <w:pPr>
        <w:numPr>
          <w:ilvl w:val="0"/>
          <w:numId w:val="38"/>
        </w:numPr>
        <w:spacing w:after="120"/>
        <w:ind w:left="357" w:hanging="357"/>
        <w:contextualSpacing/>
        <w:jc w:val="both"/>
        <w:rPr>
          <w:rFonts w:eastAsia="Calibri"/>
          <w:i/>
          <w:szCs w:val="24"/>
          <w:lang w:eastAsia="en-US"/>
        </w:rPr>
      </w:pPr>
      <w:r w:rsidRPr="0094320D">
        <w:rPr>
          <w:rFonts w:eastAsia="Calibri"/>
          <w:i/>
          <w:szCs w:val="24"/>
          <w:lang w:eastAsia="en-US"/>
        </w:rPr>
        <w:t>Przebudowa ul. Bielskiej i Bronowskiego w Ligocie (4426S).</w:t>
      </w:r>
    </w:p>
    <w:p w14:paraId="130C9A7A" w14:textId="77777777" w:rsidR="005004F7" w:rsidRPr="0094320D" w:rsidRDefault="005004F7" w:rsidP="0021401A">
      <w:pPr>
        <w:numPr>
          <w:ilvl w:val="0"/>
          <w:numId w:val="38"/>
        </w:numPr>
        <w:spacing w:after="120"/>
        <w:ind w:left="357" w:hanging="357"/>
        <w:contextualSpacing/>
        <w:jc w:val="both"/>
        <w:rPr>
          <w:rFonts w:eastAsia="Calibri"/>
          <w:i/>
          <w:szCs w:val="24"/>
          <w:lang w:eastAsia="en-US"/>
        </w:rPr>
      </w:pPr>
      <w:r w:rsidRPr="0094320D">
        <w:rPr>
          <w:rFonts w:eastAsia="Calibri"/>
          <w:i/>
          <w:szCs w:val="24"/>
          <w:lang w:eastAsia="en-US"/>
        </w:rPr>
        <w:t>Most nad rzeką Iłownica w ciągu ul. Waryńskiego (4425S).</w:t>
      </w:r>
    </w:p>
    <w:p w14:paraId="658EED58" w14:textId="77777777" w:rsidR="005004F7" w:rsidRPr="0094320D" w:rsidRDefault="005004F7" w:rsidP="0021401A">
      <w:pPr>
        <w:numPr>
          <w:ilvl w:val="0"/>
          <w:numId w:val="38"/>
        </w:numPr>
        <w:spacing w:after="120"/>
        <w:contextualSpacing/>
        <w:jc w:val="both"/>
        <w:rPr>
          <w:rFonts w:eastAsia="Calibri"/>
          <w:i/>
          <w:szCs w:val="24"/>
          <w:lang w:eastAsia="en-US"/>
        </w:rPr>
      </w:pPr>
      <w:r w:rsidRPr="0094320D">
        <w:rPr>
          <w:rFonts w:eastAsia="Calibri"/>
          <w:i/>
          <w:szCs w:val="24"/>
          <w:lang w:eastAsia="en-US"/>
        </w:rPr>
        <w:t>Przebudowa ul. Czechowickiej  i ul. Ligockiej (4428S).</w:t>
      </w:r>
    </w:p>
    <w:p w14:paraId="37343D8F" w14:textId="77777777" w:rsidR="005004F7" w:rsidRPr="0094320D" w:rsidRDefault="005004F7" w:rsidP="0021401A">
      <w:pPr>
        <w:numPr>
          <w:ilvl w:val="0"/>
          <w:numId w:val="38"/>
        </w:numPr>
        <w:spacing w:after="120"/>
        <w:contextualSpacing/>
        <w:jc w:val="both"/>
        <w:rPr>
          <w:rFonts w:eastAsia="Calibri"/>
          <w:i/>
          <w:szCs w:val="24"/>
          <w:lang w:eastAsia="en-US"/>
        </w:rPr>
      </w:pPr>
      <w:r w:rsidRPr="0094320D">
        <w:rPr>
          <w:rFonts w:eastAsia="Calibri"/>
          <w:i/>
          <w:szCs w:val="24"/>
          <w:lang w:eastAsia="en-US"/>
        </w:rPr>
        <w:t>Przebudowa drogi powiatowej 5905S, ul. Bojszowskiej w Bieruniu  z zastosowaniem "cichych asfaltów",</w:t>
      </w:r>
    </w:p>
    <w:p w14:paraId="6A2A62B3" w14:textId="77777777" w:rsidR="005004F7" w:rsidRPr="0094320D" w:rsidRDefault="005004F7" w:rsidP="0021401A">
      <w:pPr>
        <w:numPr>
          <w:ilvl w:val="0"/>
          <w:numId w:val="38"/>
        </w:numPr>
        <w:autoSpaceDE w:val="0"/>
        <w:autoSpaceDN w:val="0"/>
        <w:adjustRightInd w:val="0"/>
        <w:spacing w:after="120"/>
        <w:contextualSpacing/>
        <w:jc w:val="both"/>
        <w:rPr>
          <w:rFonts w:eastAsia="Calibri"/>
          <w:i/>
          <w:szCs w:val="24"/>
          <w:lang w:eastAsia="en-US"/>
        </w:rPr>
      </w:pPr>
      <w:r w:rsidRPr="0094320D">
        <w:rPr>
          <w:rFonts w:eastAsia="Calibri"/>
          <w:i/>
          <w:szCs w:val="24"/>
          <w:lang w:eastAsia="en-US"/>
        </w:rPr>
        <w:t>Przebudowa drogi powiatowej 5908S, ul. Lędzińskiej w Bieruniu z zastosowaniem "cichych asfaltów",</w:t>
      </w:r>
    </w:p>
    <w:p w14:paraId="77195F5D" w14:textId="77777777" w:rsidR="005004F7" w:rsidRPr="0094320D" w:rsidRDefault="005004F7" w:rsidP="0021401A">
      <w:pPr>
        <w:numPr>
          <w:ilvl w:val="0"/>
          <w:numId w:val="38"/>
        </w:numPr>
        <w:autoSpaceDE w:val="0"/>
        <w:autoSpaceDN w:val="0"/>
        <w:adjustRightInd w:val="0"/>
        <w:spacing w:after="120"/>
        <w:contextualSpacing/>
        <w:jc w:val="both"/>
        <w:rPr>
          <w:rFonts w:eastAsia="Calibri"/>
          <w:i/>
          <w:szCs w:val="24"/>
          <w:lang w:eastAsia="en-US"/>
        </w:rPr>
      </w:pPr>
      <w:r w:rsidRPr="0094320D">
        <w:rPr>
          <w:rFonts w:eastAsia="Calibri"/>
          <w:i/>
          <w:szCs w:val="24"/>
          <w:lang w:eastAsia="en-US"/>
        </w:rPr>
        <w:t>Przebudowa skrzyżowania drogi powiatowej (4426 S) ul. Bielskiej z ulicami Zabrzeską, Bronowską i Wapienicką w Ligocie,</w:t>
      </w:r>
    </w:p>
    <w:p w14:paraId="236C7A08" w14:textId="77777777" w:rsidR="005004F7" w:rsidRPr="0094320D" w:rsidRDefault="005004F7" w:rsidP="0021401A">
      <w:pPr>
        <w:numPr>
          <w:ilvl w:val="0"/>
          <w:numId w:val="38"/>
        </w:numPr>
        <w:autoSpaceDE w:val="0"/>
        <w:autoSpaceDN w:val="0"/>
        <w:adjustRightInd w:val="0"/>
        <w:spacing w:after="120"/>
        <w:contextualSpacing/>
        <w:jc w:val="both"/>
        <w:rPr>
          <w:rFonts w:eastAsia="Calibri"/>
          <w:i/>
          <w:szCs w:val="24"/>
          <w:lang w:eastAsia="en-US"/>
        </w:rPr>
      </w:pPr>
      <w:r w:rsidRPr="0094320D">
        <w:rPr>
          <w:rFonts w:eastAsia="Calibri"/>
          <w:i/>
          <w:szCs w:val="24"/>
          <w:lang w:eastAsia="en-US"/>
        </w:rPr>
        <w:t xml:space="preserve">Przebudowa drogi powiatowej 4137S, ul. Bijasowickiej w Bieruniu z zastosowaniem „cichych asfaltów” wraz z budową chodnika, </w:t>
      </w:r>
    </w:p>
    <w:p w14:paraId="13925981" w14:textId="77777777" w:rsidR="005004F7" w:rsidRPr="0094320D" w:rsidRDefault="005004F7" w:rsidP="0021401A">
      <w:pPr>
        <w:numPr>
          <w:ilvl w:val="0"/>
          <w:numId w:val="38"/>
        </w:numPr>
        <w:autoSpaceDE w:val="0"/>
        <w:autoSpaceDN w:val="0"/>
        <w:adjustRightInd w:val="0"/>
        <w:spacing w:after="120"/>
        <w:contextualSpacing/>
        <w:jc w:val="both"/>
        <w:rPr>
          <w:rFonts w:eastAsia="Calibri"/>
          <w:i/>
          <w:szCs w:val="24"/>
          <w:lang w:eastAsia="en-US"/>
        </w:rPr>
      </w:pPr>
      <w:r w:rsidRPr="0094320D">
        <w:rPr>
          <w:rFonts w:eastAsia="Calibri"/>
          <w:i/>
          <w:szCs w:val="24"/>
          <w:lang w:eastAsia="en-US"/>
        </w:rPr>
        <w:t xml:space="preserve">Przebudowa drogi powiatowej 4137S, ul. Jagiełły w Bieruniu w zakresie przebudowy chodnika, </w:t>
      </w:r>
    </w:p>
    <w:p w14:paraId="7080601C" w14:textId="77777777" w:rsidR="005004F7" w:rsidRPr="0094320D" w:rsidRDefault="005004F7" w:rsidP="0021401A">
      <w:pPr>
        <w:numPr>
          <w:ilvl w:val="0"/>
          <w:numId w:val="38"/>
        </w:numPr>
        <w:autoSpaceDE w:val="0"/>
        <w:autoSpaceDN w:val="0"/>
        <w:adjustRightInd w:val="0"/>
        <w:spacing w:after="120"/>
        <w:contextualSpacing/>
        <w:jc w:val="both"/>
        <w:rPr>
          <w:rFonts w:eastAsia="Calibri"/>
          <w:i/>
          <w:szCs w:val="24"/>
          <w:lang w:eastAsia="en-US"/>
        </w:rPr>
      </w:pPr>
      <w:r w:rsidRPr="0094320D">
        <w:rPr>
          <w:rFonts w:eastAsia="Calibri"/>
          <w:i/>
          <w:szCs w:val="24"/>
          <w:lang w:eastAsia="en-US"/>
        </w:rPr>
        <w:t>Przebudowa drogi powiatowej 4444S ul. Bestwińska w Czechowicach-Dziedzicach.</w:t>
      </w:r>
    </w:p>
    <w:p w14:paraId="07F3FF7F" w14:textId="77777777" w:rsidR="005004F7" w:rsidRPr="0094320D" w:rsidRDefault="005004F7" w:rsidP="0094320D">
      <w:pPr>
        <w:autoSpaceDE w:val="0"/>
        <w:autoSpaceDN w:val="0"/>
        <w:adjustRightInd w:val="0"/>
        <w:spacing w:after="120"/>
        <w:ind w:left="360"/>
        <w:contextualSpacing/>
        <w:jc w:val="both"/>
        <w:rPr>
          <w:rFonts w:eastAsia="Calibri"/>
          <w:i/>
          <w:szCs w:val="24"/>
          <w:lang w:eastAsia="en-US"/>
        </w:rPr>
      </w:pPr>
    </w:p>
    <w:p w14:paraId="369D5F36" w14:textId="15A93CD9" w:rsidR="005004F7" w:rsidRPr="0094320D" w:rsidRDefault="005004F7" w:rsidP="0094320D">
      <w:pPr>
        <w:spacing w:after="120"/>
        <w:contextualSpacing/>
        <w:jc w:val="both"/>
        <w:rPr>
          <w:rFonts w:eastAsia="Calibri"/>
          <w:i/>
          <w:szCs w:val="24"/>
          <w:lang w:eastAsia="ar-SA"/>
        </w:rPr>
      </w:pPr>
      <w:r w:rsidRPr="0094320D">
        <w:rPr>
          <w:rFonts w:eastAsia="Calibri"/>
          <w:szCs w:val="24"/>
          <w:lang w:eastAsia="ar-SA"/>
        </w:rPr>
        <w:t>Szczegółowe informacje dot. projektów zostały przed</w:t>
      </w:r>
      <w:r w:rsidR="00B8015D">
        <w:rPr>
          <w:rFonts w:eastAsia="Calibri"/>
          <w:szCs w:val="24"/>
          <w:lang w:eastAsia="ar-SA"/>
        </w:rPr>
        <w:t>stawione w załączniku nr XII do </w:t>
      </w:r>
      <w:r w:rsidRPr="0094320D">
        <w:rPr>
          <w:rFonts w:eastAsia="Calibri"/>
          <w:i/>
          <w:szCs w:val="24"/>
          <w:lang w:eastAsia="ar-SA"/>
        </w:rPr>
        <w:t>Sprawozdania.</w:t>
      </w:r>
    </w:p>
    <w:p w14:paraId="4E5A7DAC" w14:textId="77777777" w:rsidR="000A0A3A" w:rsidRPr="0094320D" w:rsidRDefault="000A0A3A" w:rsidP="0094320D">
      <w:pPr>
        <w:spacing w:after="120"/>
        <w:contextualSpacing/>
        <w:jc w:val="both"/>
        <w:rPr>
          <w:rFonts w:eastAsia="Calibri"/>
          <w:b/>
          <w:i/>
          <w:color w:val="00B050"/>
          <w:szCs w:val="24"/>
          <w:lang w:eastAsia="en-US"/>
        </w:rPr>
      </w:pPr>
    </w:p>
    <w:p w14:paraId="00940E46" w14:textId="77777777" w:rsidR="005004F7" w:rsidRPr="0094320D" w:rsidRDefault="005004F7" w:rsidP="0094320D">
      <w:pPr>
        <w:spacing w:after="120"/>
        <w:contextualSpacing/>
        <w:jc w:val="both"/>
        <w:rPr>
          <w:rFonts w:eastAsia="Calibri"/>
          <w:b/>
          <w:szCs w:val="24"/>
          <w:lang w:eastAsia="ar-SA"/>
        </w:rPr>
      </w:pPr>
      <w:r w:rsidRPr="0094320D">
        <w:rPr>
          <w:rFonts w:eastAsia="Calibri"/>
          <w:b/>
          <w:szCs w:val="24"/>
          <w:lang w:eastAsia="ar-SA"/>
        </w:rPr>
        <w:t>Harmonogram konkursów</w:t>
      </w:r>
    </w:p>
    <w:p w14:paraId="4AF43E4A" w14:textId="24615051" w:rsidR="005004F7" w:rsidRDefault="00F8189B" w:rsidP="0094320D">
      <w:pPr>
        <w:spacing w:after="0"/>
        <w:jc w:val="both"/>
        <w:rPr>
          <w:rFonts w:eastAsia="Calibri"/>
          <w:szCs w:val="24"/>
          <w:lang w:eastAsia="en-US"/>
        </w:rPr>
      </w:pPr>
      <w:r>
        <w:rPr>
          <w:rFonts w:eastAsia="Calibri"/>
          <w:szCs w:val="24"/>
          <w:lang w:eastAsia="ar-SA"/>
        </w:rPr>
        <w:t>W</w:t>
      </w:r>
      <w:r w:rsidR="005004F7" w:rsidRPr="0094320D">
        <w:rPr>
          <w:rFonts w:eastAsia="Calibri"/>
          <w:szCs w:val="24"/>
          <w:lang w:eastAsia="ar-SA"/>
        </w:rPr>
        <w:t xml:space="preserve"> ramach priorytetu VII </w:t>
      </w:r>
      <w:r>
        <w:rPr>
          <w:rFonts w:eastAsia="Calibri"/>
          <w:szCs w:val="24"/>
          <w:lang w:eastAsia="ar-SA"/>
        </w:rPr>
        <w:t>zorganizowano 7</w:t>
      </w:r>
      <w:r w:rsidR="005004F7" w:rsidRPr="0094320D">
        <w:rPr>
          <w:rFonts w:eastAsia="Calibri"/>
          <w:szCs w:val="24"/>
          <w:lang w:eastAsia="ar-SA"/>
        </w:rPr>
        <w:t xml:space="preserve"> konkursów na łączną kwotę </w:t>
      </w:r>
      <w:r>
        <w:rPr>
          <w:rFonts w:eastAsia="Calibri"/>
          <w:szCs w:val="24"/>
          <w:lang w:eastAsia="ar-SA"/>
        </w:rPr>
        <w:t>172,01</w:t>
      </w:r>
      <w:r w:rsidR="005004F7" w:rsidRPr="0094320D">
        <w:rPr>
          <w:rFonts w:eastAsia="Calibri"/>
          <w:szCs w:val="24"/>
          <w:lang w:eastAsia="ar-SA"/>
        </w:rPr>
        <w:t xml:space="preserve"> mln EUR.</w:t>
      </w:r>
      <w:r w:rsidR="005004F7" w:rsidRPr="0094320D">
        <w:rPr>
          <w:rFonts w:eastAsia="Calibri"/>
          <w:szCs w:val="24"/>
          <w:lang w:eastAsia="en-US"/>
        </w:rPr>
        <w:t xml:space="preserve"> </w:t>
      </w:r>
    </w:p>
    <w:p w14:paraId="41CA1A30" w14:textId="77777777" w:rsidR="00DA639A" w:rsidRPr="0094320D" w:rsidRDefault="00DA639A" w:rsidP="0094320D">
      <w:pPr>
        <w:spacing w:after="0"/>
        <w:jc w:val="both"/>
        <w:rPr>
          <w:rFonts w:eastAsia="Calibri"/>
          <w:szCs w:val="24"/>
          <w:lang w:eastAsia="ar-SA"/>
        </w:rPr>
      </w:pPr>
    </w:p>
    <w:p w14:paraId="34CA4D24" w14:textId="77777777" w:rsidR="004E6046" w:rsidRDefault="004E6046" w:rsidP="00B8015D">
      <w:pPr>
        <w:spacing w:after="0"/>
        <w:contextualSpacing/>
        <w:jc w:val="both"/>
        <w:rPr>
          <w:b/>
          <w:szCs w:val="24"/>
          <w:lang w:eastAsia="ar-SA"/>
        </w:rPr>
      </w:pPr>
      <w:r w:rsidRPr="0094320D">
        <w:rPr>
          <w:b/>
          <w:szCs w:val="24"/>
          <w:lang w:eastAsia="ar-SA"/>
        </w:rPr>
        <w:t>Rozkład projektów</w:t>
      </w:r>
    </w:p>
    <w:p w14:paraId="4FFE3153" w14:textId="77777777" w:rsidR="004E6046" w:rsidRPr="004E6046" w:rsidRDefault="004E6046" w:rsidP="00B8015D">
      <w:pPr>
        <w:pStyle w:val="Akapitzlist"/>
        <w:spacing w:after="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na koniec 2016 </w:t>
      </w:r>
      <w:r w:rsidRPr="00D90934">
        <w:rPr>
          <w:szCs w:val="24"/>
          <w:lang w:eastAsia="ar-SA"/>
        </w:rPr>
        <w:t>r., w przypadkach braku danych w KS</w:t>
      </w:r>
      <w:r>
        <w:rPr>
          <w:szCs w:val="24"/>
          <w:lang w:eastAsia="ar-SA"/>
        </w:rPr>
        <w:t>I dane pochodzą z LSI.</w:t>
      </w:r>
    </w:p>
    <w:p w14:paraId="42584E5B" w14:textId="77777777" w:rsidR="001D040C" w:rsidRDefault="001D040C" w:rsidP="004E6046">
      <w:pPr>
        <w:spacing w:before="240" w:after="240"/>
        <w:contextualSpacing/>
        <w:jc w:val="both"/>
        <w:rPr>
          <w:b/>
          <w:szCs w:val="24"/>
          <w:lang w:eastAsia="ar-SA"/>
        </w:rPr>
      </w:pPr>
    </w:p>
    <w:p w14:paraId="65B70F6C" w14:textId="77777777" w:rsidR="004E6046" w:rsidRPr="001432FA" w:rsidRDefault="004E6046" w:rsidP="001432FA">
      <w:pPr>
        <w:pStyle w:val="Akapitzlist"/>
        <w:numPr>
          <w:ilvl w:val="0"/>
          <w:numId w:val="108"/>
        </w:numPr>
        <w:spacing w:before="240" w:after="240"/>
        <w:jc w:val="both"/>
        <w:rPr>
          <w:b/>
          <w:szCs w:val="24"/>
          <w:lang w:eastAsia="ar-SA"/>
        </w:rPr>
      </w:pPr>
      <w:r w:rsidRPr="001432FA">
        <w:rPr>
          <w:b/>
          <w:szCs w:val="24"/>
          <w:lang w:eastAsia="ar-SA"/>
        </w:rPr>
        <w:t>Projekty w podziale na sektory gospodarki</w:t>
      </w:r>
    </w:p>
    <w:p w14:paraId="3AD78D02" w14:textId="68249AD1" w:rsidR="004E6046" w:rsidRPr="0005532E" w:rsidRDefault="004E6046" w:rsidP="004E6046">
      <w:pPr>
        <w:spacing w:before="240" w:after="240"/>
        <w:contextualSpacing/>
        <w:jc w:val="both"/>
        <w:rPr>
          <w:szCs w:val="24"/>
          <w:lang w:eastAsia="ar-SA"/>
        </w:rPr>
      </w:pPr>
      <w:r>
        <w:rPr>
          <w:szCs w:val="24"/>
          <w:lang w:eastAsia="ar-SA"/>
        </w:rPr>
        <w:t>W ramach p</w:t>
      </w:r>
      <w:r w:rsidR="006E5600">
        <w:rPr>
          <w:szCs w:val="24"/>
          <w:lang w:eastAsia="ar-SA"/>
        </w:rPr>
        <w:t>rzedmiotowego priorytetu, nie</w:t>
      </w:r>
      <w:r>
        <w:rPr>
          <w:szCs w:val="24"/>
          <w:lang w:eastAsia="ar-SA"/>
        </w:rPr>
        <w:t xml:space="preserve"> realizowan</w:t>
      </w:r>
      <w:r w:rsidR="006E5600">
        <w:rPr>
          <w:szCs w:val="24"/>
          <w:lang w:eastAsia="ar-SA"/>
        </w:rPr>
        <w:t>o projektów</w:t>
      </w:r>
      <w:r w:rsidR="00B8015D">
        <w:rPr>
          <w:szCs w:val="24"/>
          <w:lang w:eastAsia="ar-SA"/>
        </w:rPr>
        <w:t>, które można podzielić na </w:t>
      </w:r>
      <w:r>
        <w:rPr>
          <w:szCs w:val="24"/>
          <w:lang w:eastAsia="ar-SA"/>
        </w:rPr>
        <w:t>sektory gospodarki.</w:t>
      </w:r>
    </w:p>
    <w:p w14:paraId="5EF6954B" w14:textId="77777777" w:rsidR="004E6046" w:rsidRPr="00DA639A" w:rsidRDefault="004E6046" w:rsidP="00DA639A">
      <w:pPr>
        <w:spacing w:after="0"/>
        <w:jc w:val="both"/>
        <w:rPr>
          <w:rFonts w:eastAsia="Calibri"/>
          <w:szCs w:val="24"/>
          <w:lang w:eastAsia="ar-SA"/>
        </w:rPr>
      </w:pPr>
    </w:p>
    <w:p w14:paraId="15CABF7D" w14:textId="77777777" w:rsidR="00DA639A" w:rsidRPr="001432FA" w:rsidRDefault="00DA639A" w:rsidP="001432FA">
      <w:pPr>
        <w:pStyle w:val="Akapitzlist"/>
        <w:numPr>
          <w:ilvl w:val="0"/>
          <w:numId w:val="108"/>
        </w:numPr>
        <w:spacing w:after="120"/>
        <w:jc w:val="both"/>
        <w:rPr>
          <w:rFonts w:eastAsia="Calibri"/>
          <w:b/>
          <w:szCs w:val="24"/>
          <w:lang w:eastAsia="ar-SA"/>
        </w:rPr>
      </w:pPr>
      <w:r w:rsidRPr="001432FA">
        <w:rPr>
          <w:rFonts w:eastAsia="Calibri"/>
          <w:b/>
          <w:szCs w:val="24"/>
          <w:lang w:eastAsia="ar-SA"/>
        </w:rPr>
        <w:t>Projekty w podziale na formy prawne beneficjentów</w:t>
      </w:r>
    </w:p>
    <w:p w14:paraId="1E20EC1D" w14:textId="2FD8E7D6" w:rsidR="00DA639A" w:rsidRPr="00DA639A" w:rsidRDefault="00DA639A" w:rsidP="00DA639A">
      <w:pPr>
        <w:autoSpaceDE w:val="0"/>
        <w:autoSpaceDN w:val="0"/>
        <w:adjustRightInd w:val="0"/>
        <w:spacing w:after="0"/>
        <w:jc w:val="both"/>
        <w:rPr>
          <w:rFonts w:eastAsia="Calibri"/>
          <w:szCs w:val="24"/>
          <w:lang w:eastAsia="en-US"/>
        </w:rPr>
      </w:pPr>
      <w:r w:rsidRPr="00DA639A">
        <w:rPr>
          <w:rFonts w:eastAsia="Calibri"/>
          <w:szCs w:val="24"/>
          <w:lang w:eastAsia="en-US"/>
        </w:rPr>
        <w:t xml:space="preserve">Analizując rozkład udzielonego wsparcia według typu beneficjentów, najwięcej środków tj. 417,21 mln EUR zostało przeznaczonych dla jednostek samorządu terytorialnego, natomiast przedsiębiorstwa otrzymały 38,81 mln EUR. W ramach przedmiotowego priorytetu </w:t>
      </w:r>
      <w:r w:rsidRPr="00DA639A">
        <w:rPr>
          <w:rFonts w:eastAsia="Calibri"/>
          <w:szCs w:val="24"/>
          <w:lang w:eastAsia="en-US"/>
        </w:rPr>
        <w:lastRenderedPageBreak/>
        <w:t>przedsiębiorstwa oznaczają podmioty, w których większość udziałów posiada JST lub związek JST realizuje zadania z zakresu transportu zbiorowego.</w:t>
      </w:r>
    </w:p>
    <w:p w14:paraId="700ED5DF" w14:textId="12DECFAA" w:rsidR="00DA639A" w:rsidRPr="00DA639A" w:rsidRDefault="00DA639A" w:rsidP="00DA639A">
      <w:pPr>
        <w:spacing w:after="120"/>
        <w:contextualSpacing/>
        <w:jc w:val="both"/>
        <w:rPr>
          <w:rFonts w:eastAsia="Calibri"/>
          <w:b/>
          <w:szCs w:val="24"/>
          <w:lang w:eastAsia="ar-SA"/>
        </w:rPr>
      </w:pPr>
      <w:r>
        <w:rPr>
          <w:noProof/>
        </w:rPr>
        <w:drawing>
          <wp:inline distT="0" distB="0" distL="0" distR="0" wp14:anchorId="08D15A65" wp14:editId="06777019">
            <wp:extent cx="5759450" cy="3329305"/>
            <wp:effectExtent l="0" t="0" r="0" b="0"/>
            <wp:docPr id="35853" name="Wykres 358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4377611D" w14:textId="6A51B295" w:rsidR="00DA639A" w:rsidRPr="00DA639A" w:rsidRDefault="004D7598" w:rsidP="004D7598">
      <w:pPr>
        <w:pStyle w:val="Legenda"/>
        <w:rPr>
          <w:rFonts w:eastAsia="Calibri"/>
          <w:b w:val="0"/>
          <w:color w:val="auto"/>
          <w:sz w:val="20"/>
          <w:szCs w:val="20"/>
          <w:lang w:eastAsia="ar-SA"/>
        </w:rPr>
      </w:pPr>
      <w:bookmarkStart w:id="459" w:name="_Toc476832969"/>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51</w:t>
      </w:r>
      <w:r w:rsidR="00A44293" w:rsidRPr="00A44293">
        <w:rPr>
          <w:noProof/>
          <w:color w:val="auto"/>
        </w:rPr>
        <w:fldChar w:fldCharType="end"/>
      </w:r>
      <w:r>
        <w:t xml:space="preserve"> </w:t>
      </w:r>
      <w:r w:rsidR="00DA639A" w:rsidRPr="00DA639A">
        <w:rPr>
          <w:b w:val="0"/>
          <w:i/>
          <w:color w:val="auto"/>
          <w:sz w:val="20"/>
          <w:szCs w:val="20"/>
        </w:rPr>
        <w:t>Rozkład projektów</w:t>
      </w:r>
      <w:r w:rsidR="005D38A0">
        <w:rPr>
          <w:b w:val="0"/>
          <w:i/>
          <w:color w:val="auto"/>
          <w:sz w:val="20"/>
          <w:szCs w:val="20"/>
        </w:rPr>
        <w:t xml:space="preserve"> w ramach priorytetu VII</w:t>
      </w:r>
      <w:r w:rsidR="00DA639A" w:rsidRPr="00DA639A">
        <w:rPr>
          <w:b w:val="0"/>
          <w:i/>
          <w:color w:val="auto"/>
          <w:sz w:val="20"/>
          <w:szCs w:val="20"/>
        </w:rPr>
        <w:t xml:space="preserve"> w podziale na beneficjentów</w:t>
      </w:r>
      <w:bookmarkEnd w:id="459"/>
    </w:p>
    <w:p w14:paraId="042FB4D7" w14:textId="77777777" w:rsidR="00DA639A" w:rsidRPr="001432FA" w:rsidRDefault="00DA639A" w:rsidP="001432FA">
      <w:pPr>
        <w:pStyle w:val="Akapitzlist"/>
        <w:numPr>
          <w:ilvl w:val="0"/>
          <w:numId w:val="108"/>
        </w:numPr>
        <w:spacing w:after="120"/>
        <w:jc w:val="both"/>
        <w:rPr>
          <w:rFonts w:eastAsia="Calibri"/>
          <w:b/>
          <w:szCs w:val="24"/>
          <w:lang w:eastAsia="ar-SA"/>
        </w:rPr>
      </w:pPr>
      <w:r w:rsidRPr="001432FA">
        <w:rPr>
          <w:rFonts w:eastAsia="Calibri"/>
          <w:b/>
          <w:szCs w:val="24"/>
          <w:lang w:eastAsia="ar-SA"/>
        </w:rPr>
        <w:t>Projekty w podziale na rozkład terytorialny</w:t>
      </w:r>
    </w:p>
    <w:p w14:paraId="31C9AAD6" w14:textId="3903A96B" w:rsidR="00DA639A" w:rsidRDefault="00DA639A" w:rsidP="00DA639A">
      <w:pPr>
        <w:autoSpaceDE w:val="0"/>
        <w:autoSpaceDN w:val="0"/>
        <w:adjustRightInd w:val="0"/>
        <w:spacing w:after="0"/>
        <w:jc w:val="both"/>
        <w:rPr>
          <w:rFonts w:eastAsia="Calibri"/>
          <w:szCs w:val="24"/>
          <w:lang w:eastAsia="en-US"/>
        </w:rPr>
      </w:pPr>
      <w:r w:rsidRPr="00DA639A">
        <w:rPr>
          <w:rFonts w:eastAsia="Calibri"/>
          <w:szCs w:val="24"/>
          <w:lang w:eastAsia="en-US"/>
        </w:rPr>
        <w:t xml:space="preserve">Ponad </w:t>
      </w:r>
      <w:r w:rsidRPr="00DA639A">
        <w:rPr>
          <w:rFonts w:eastAsia="Calibri"/>
          <w:bCs/>
          <w:szCs w:val="24"/>
          <w:lang w:eastAsia="en-US"/>
        </w:rPr>
        <w:t>84%</w:t>
      </w:r>
      <w:r w:rsidRPr="00DA639A">
        <w:rPr>
          <w:rFonts w:eastAsia="Calibri"/>
          <w:b/>
          <w:bCs/>
          <w:szCs w:val="24"/>
          <w:lang w:eastAsia="en-US"/>
        </w:rPr>
        <w:t xml:space="preserve"> </w:t>
      </w:r>
      <w:r w:rsidRPr="00DA639A">
        <w:rPr>
          <w:rFonts w:eastAsia="Calibri"/>
          <w:szCs w:val="24"/>
          <w:lang w:eastAsia="en-US"/>
        </w:rPr>
        <w:t xml:space="preserve">środków skierowanych zostało na realizacje inwestycji na obszarach miejskich, natomiast </w:t>
      </w:r>
      <w:r>
        <w:rPr>
          <w:rFonts w:eastAsia="Calibri"/>
          <w:bCs/>
          <w:szCs w:val="24"/>
          <w:lang w:eastAsia="en-US"/>
        </w:rPr>
        <w:t>16</w:t>
      </w:r>
      <w:r w:rsidRPr="00DA639A">
        <w:rPr>
          <w:rFonts w:eastAsia="Calibri"/>
          <w:bCs/>
          <w:szCs w:val="24"/>
          <w:lang w:eastAsia="en-US"/>
        </w:rPr>
        <w:t>%</w:t>
      </w:r>
      <w:r w:rsidRPr="00DA639A">
        <w:rPr>
          <w:rFonts w:eastAsia="Calibri"/>
          <w:b/>
          <w:bCs/>
          <w:szCs w:val="24"/>
          <w:lang w:eastAsia="en-US"/>
        </w:rPr>
        <w:t xml:space="preserve"> </w:t>
      </w:r>
      <w:r w:rsidRPr="00DA639A">
        <w:rPr>
          <w:rFonts w:eastAsia="Calibri"/>
          <w:szCs w:val="24"/>
          <w:lang w:eastAsia="en-US"/>
        </w:rPr>
        <w:t>na terenach wiejskich.</w:t>
      </w:r>
    </w:p>
    <w:p w14:paraId="62A2D022" w14:textId="77777777" w:rsidR="00DA639A" w:rsidRPr="00DA639A" w:rsidRDefault="00DA639A" w:rsidP="00DA639A">
      <w:pPr>
        <w:autoSpaceDE w:val="0"/>
        <w:autoSpaceDN w:val="0"/>
        <w:adjustRightInd w:val="0"/>
        <w:spacing w:after="0"/>
        <w:jc w:val="both"/>
        <w:rPr>
          <w:rFonts w:eastAsia="Calibri"/>
          <w:szCs w:val="24"/>
          <w:lang w:eastAsia="en-US"/>
        </w:rPr>
      </w:pPr>
    </w:p>
    <w:p w14:paraId="1140DB4E" w14:textId="4FA8EFB6" w:rsidR="00DA639A" w:rsidRPr="00DA639A" w:rsidRDefault="004D7598" w:rsidP="004D7598">
      <w:pPr>
        <w:pStyle w:val="Legenda"/>
        <w:rPr>
          <w:rFonts w:eastAsia="Calibri"/>
          <w:b w:val="0"/>
          <w:bCs w:val="0"/>
          <w:i/>
          <w:color w:val="auto"/>
          <w:sz w:val="20"/>
          <w:szCs w:val="20"/>
          <w:lang w:eastAsia="en-US"/>
        </w:rPr>
      </w:pPr>
      <w:bookmarkStart w:id="460" w:name="_Toc476131815"/>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32</w:t>
      </w:r>
      <w:r w:rsidR="00A44293" w:rsidRPr="00A44293">
        <w:rPr>
          <w:noProof/>
          <w:color w:val="auto"/>
        </w:rPr>
        <w:fldChar w:fldCharType="end"/>
      </w:r>
      <w:r>
        <w:t xml:space="preserve"> </w:t>
      </w:r>
      <w:r w:rsidR="00DA639A" w:rsidRPr="00DA639A">
        <w:rPr>
          <w:rFonts w:eastAsia="Calibri"/>
          <w:b w:val="0"/>
          <w:bCs w:val="0"/>
          <w:i/>
          <w:color w:val="auto"/>
          <w:sz w:val="20"/>
          <w:szCs w:val="20"/>
          <w:lang w:eastAsia="en-US"/>
        </w:rPr>
        <w:t>Rozkład projektów w ramach priorytetu VII w podziale na obszary</w:t>
      </w:r>
      <w:bookmarkEnd w:id="460"/>
      <w:r w:rsidR="00DA639A" w:rsidRPr="00DA639A">
        <w:rPr>
          <w:rFonts w:eastAsia="Calibri"/>
          <w:b w:val="0"/>
          <w:bCs w:val="0"/>
          <w:i/>
          <w:color w:val="auto"/>
          <w:sz w:val="20"/>
          <w:szCs w:val="20"/>
          <w:lang w:eastAsia="en-US"/>
        </w:rPr>
        <w:t xml:space="preserve"> </w:t>
      </w:r>
    </w:p>
    <w:tbl>
      <w:tblPr>
        <w:tblStyle w:val="Tabelalisty3akcent61"/>
        <w:tblpPr w:leftFromText="141" w:rightFromText="141" w:vertAnchor="text" w:tblpXSpec="center" w:tblpY="1"/>
        <w:tblW w:w="5420" w:type="dxa"/>
        <w:tblLook w:val="04A0" w:firstRow="1" w:lastRow="0" w:firstColumn="1" w:lastColumn="0" w:noHBand="0" w:noVBand="1"/>
      </w:tblPr>
      <w:tblGrid>
        <w:gridCol w:w="1560"/>
        <w:gridCol w:w="1308"/>
        <w:gridCol w:w="2552"/>
      </w:tblGrid>
      <w:tr w:rsidR="00DA639A" w:rsidRPr="00DA639A" w14:paraId="5FA745A7" w14:textId="77777777" w:rsidTr="001432FA">
        <w:trPr>
          <w:cnfStyle w:val="100000000000" w:firstRow="1" w:lastRow="0" w:firstColumn="0" w:lastColumn="0" w:oddVBand="0" w:evenVBand="0" w:oddHBand="0" w:evenHBand="0" w:firstRowFirstColumn="0" w:firstRowLastColumn="0" w:lastRowFirstColumn="0" w:lastRowLastColumn="0"/>
          <w:trHeight w:val="810"/>
        </w:trPr>
        <w:tc>
          <w:tcPr>
            <w:cnfStyle w:val="001000000100" w:firstRow="0" w:lastRow="0" w:firstColumn="1" w:lastColumn="0" w:oddVBand="0" w:evenVBand="0" w:oddHBand="0" w:evenHBand="0" w:firstRowFirstColumn="1" w:firstRowLastColumn="0" w:lastRowFirstColumn="0" w:lastRowLastColumn="0"/>
            <w:tcW w:w="1560" w:type="dxa"/>
            <w:vAlign w:val="center"/>
            <w:hideMark/>
          </w:tcPr>
          <w:p w14:paraId="0029FDC1" w14:textId="77777777" w:rsidR="00DA639A" w:rsidRPr="00DA639A" w:rsidRDefault="00DA639A" w:rsidP="001432FA">
            <w:pPr>
              <w:spacing w:after="0" w:line="240" w:lineRule="auto"/>
              <w:jc w:val="center"/>
              <w:rPr>
                <w:rFonts w:eastAsia="Calibri"/>
                <w:color w:val="auto"/>
                <w:sz w:val="20"/>
                <w:szCs w:val="20"/>
              </w:rPr>
            </w:pPr>
            <w:r w:rsidRPr="00DA639A">
              <w:rPr>
                <w:rFonts w:eastAsia="Calibri"/>
                <w:color w:val="auto"/>
                <w:sz w:val="20"/>
                <w:szCs w:val="20"/>
              </w:rPr>
              <w:t>OBSZAR</w:t>
            </w:r>
          </w:p>
        </w:tc>
        <w:tc>
          <w:tcPr>
            <w:tcW w:w="1308" w:type="dxa"/>
            <w:vAlign w:val="center"/>
            <w:hideMark/>
          </w:tcPr>
          <w:p w14:paraId="65F8945A" w14:textId="77777777" w:rsidR="00DA639A" w:rsidRPr="00DA639A" w:rsidRDefault="00DA639A"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color w:val="auto"/>
                <w:sz w:val="20"/>
                <w:szCs w:val="20"/>
              </w:rPr>
            </w:pPr>
            <w:r w:rsidRPr="00DA639A">
              <w:rPr>
                <w:rFonts w:eastAsia="Calibri"/>
                <w:color w:val="auto"/>
                <w:sz w:val="20"/>
                <w:szCs w:val="20"/>
              </w:rPr>
              <w:t>LICZBA</w:t>
            </w:r>
          </w:p>
        </w:tc>
        <w:tc>
          <w:tcPr>
            <w:tcW w:w="2552" w:type="dxa"/>
            <w:vAlign w:val="center"/>
            <w:hideMark/>
          </w:tcPr>
          <w:p w14:paraId="0C60263A" w14:textId="77777777" w:rsidR="00DA639A" w:rsidRPr="00DA639A" w:rsidRDefault="00DA639A"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color w:val="auto"/>
                <w:sz w:val="20"/>
                <w:szCs w:val="20"/>
              </w:rPr>
            </w:pPr>
            <w:r w:rsidRPr="00DA639A">
              <w:rPr>
                <w:rFonts w:eastAsia="Calibri"/>
                <w:color w:val="auto"/>
                <w:sz w:val="20"/>
                <w:szCs w:val="20"/>
              </w:rPr>
              <w:t>DOFINANSOWANIE UE</w:t>
            </w:r>
          </w:p>
        </w:tc>
      </w:tr>
      <w:tr w:rsidR="00DA639A" w:rsidRPr="00DA639A" w14:paraId="4EE16E17" w14:textId="77777777" w:rsidTr="001432F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2F27F58E" w14:textId="5C9D592D" w:rsidR="00DA639A" w:rsidRPr="001D040C" w:rsidRDefault="001D040C" w:rsidP="001432FA">
            <w:pPr>
              <w:spacing w:after="0" w:line="240" w:lineRule="auto"/>
              <w:jc w:val="center"/>
              <w:rPr>
                <w:rFonts w:eastAsia="Calibri"/>
                <w:b w:val="0"/>
                <w:sz w:val="20"/>
                <w:szCs w:val="20"/>
              </w:rPr>
            </w:pPr>
            <w:r w:rsidRPr="001D040C">
              <w:rPr>
                <w:rFonts w:eastAsia="Calibri"/>
                <w:b w:val="0"/>
                <w:sz w:val="20"/>
                <w:szCs w:val="20"/>
              </w:rPr>
              <w:t>Miejski</w:t>
            </w:r>
          </w:p>
        </w:tc>
        <w:tc>
          <w:tcPr>
            <w:tcW w:w="1308" w:type="dxa"/>
            <w:vAlign w:val="center"/>
          </w:tcPr>
          <w:p w14:paraId="2B0412EB" w14:textId="24439E7F" w:rsidR="00DA639A" w:rsidRPr="001D040C" w:rsidRDefault="00DA639A"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1D040C">
              <w:rPr>
                <w:rFonts w:eastAsia="Calibri"/>
                <w:sz w:val="20"/>
                <w:szCs w:val="20"/>
              </w:rPr>
              <w:t>181</w:t>
            </w:r>
          </w:p>
        </w:tc>
        <w:tc>
          <w:tcPr>
            <w:tcW w:w="2552" w:type="dxa"/>
            <w:vAlign w:val="center"/>
          </w:tcPr>
          <w:p w14:paraId="56567C0A" w14:textId="372BC393" w:rsidR="00DA639A" w:rsidRPr="001D040C" w:rsidRDefault="00DA639A"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1D040C">
              <w:rPr>
                <w:rFonts w:eastAsia="Calibri"/>
                <w:sz w:val="20"/>
                <w:szCs w:val="20"/>
              </w:rPr>
              <w:t>387,79</w:t>
            </w:r>
          </w:p>
        </w:tc>
      </w:tr>
      <w:tr w:rsidR="00DA639A" w:rsidRPr="00DA639A" w14:paraId="740C94EA" w14:textId="77777777" w:rsidTr="001432FA">
        <w:trPr>
          <w:trHeight w:val="505"/>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394935C2" w14:textId="229AA0C4" w:rsidR="00DA639A" w:rsidRPr="001D040C" w:rsidRDefault="001D040C" w:rsidP="001432FA">
            <w:pPr>
              <w:spacing w:after="0" w:line="240" w:lineRule="auto"/>
              <w:jc w:val="center"/>
              <w:rPr>
                <w:rFonts w:eastAsia="Calibri"/>
                <w:b w:val="0"/>
                <w:sz w:val="20"/>
                <w:szCs w:val="20"/>
              </w:rPr>
            </w:pPr>
            <w:r w:rsidRPr="001D040C">
              <w:rPr>
                <w:rFonts w:eastAsia="Calibri"/>
                <w:b w:val="0"/>
                <w:sz w:val="20"/>
                <w:szCs w:val="20"/>
              </w:rPr>
              <w:t>Wiejski</w:t>
            </w:r>
          </w:p>
        </w:tc>
        <w:tc>
          <w:tcPr>
            <w:tcW w:w="1308" w:type="dxa"/>
            <w:vAlign w:val="center"/>
          </w:tcPr>
          <w:p w14:paraId="48A01F4E" w14:textId="729A70A9" w:rsidR="00DA639A" w:rsidRPr="001D040C" w:rsidRDefault="00DA639A"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1D040C">
              <w:rPr>
                <w:rFonts w:eastAsia="Calibri"/>
                <w:sz w:val="20"/>
                <w:szCs w:val="20"/>
              </w:rPr>
              <w:t>112</w:t>
            </w:r>
          </w:p>
        </w:tc>
        <w:tc>
          <w:tcPr>
            <w:tcW w:w="2552" w:type="dxa"/>
            <w:vAlign w:val="center"/>
          </w:tcPr>
          <w:p w14:paraId="41DDC648" w14:textId="41C890B4" w:rsidR="00DA639A" w:rsidRPr="001D040C" w:rsidRDefault="00DA639A"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1D040C">
              <w:rPr>
                <w:rFonts w:eastAsia="Calibri"/>
                <w:sz w:val="20"/>
                <w:szCs w:val="20"/>
              </w:rPr>
              <w:t>74,43</w:t>
            </w:r>
          </w:p>
        </w:tc>
      </w:tr>
      <w:tr w:rsidR="00DA639A" w:rsidRPr="00DA639A" w14:paraId="057C522B" w14:textId="77777777" w:rsidTr="001432FA">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21B9D044" w14:textId="708E163C" w:rsidR="00DA639A" w:rsidRPr="001D040C" w:rsidRDefault="001D040C" w:rsidP="001432FA">
            <w:pPr>
              <w:spacing w:after="0" w:line="240" w:lineRule="auto"/>
              <w:jc w:val="center"/>
              <w:rPr>
                <w:rFonts w:eastAsia="Calibri"/>
                <w:b w:val="0"/>
                <w:sz w:val="20"/>
                <w:szCs w:val="20"/>
              </w:rPr>
            </w:pPr>
            <w:r w:rsidRPr="001D040C">
              <w:rPr>
                <w:rFonts w:eastAsia="Calibri"/>
                <w:b w:val="0"/>
                <w:sz w:val="20"/>
                <w:szCs w:val="20"/>
              </w:rPr>
              <w:t>Górski</w:t>
            </w:r>
          </w:p>
        </w:tc>
        <w:tc>
          <w:tcPr>
            <w:tcW w:w="1308" w:type="dxa"/>
            <w:vAlign w:val="center"/>
          </w:tcPr>
          <w:p w14:paraId="707792E6" w14:textId="77777777" w:rsidR="00DA639A" w:rsidRPr="001D040C" w:rsidRDefault="00DA639A"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1D040C">
              <w:rPr>
                <w:rFonts w:eastAsia="Calibri"/>
                <w:sz w:val="20"/>
                <w:szCs w:val="20"/>
              </w:rPr>
              <w:t>5</w:t>
            </w:r>
          </w:p>
        </w:tc>
        <w:tc>
          <w:tcPr>
            <w:tcW w:w="2552" w:type="dxa"/>
            <w:vAlign w:val="center"/>
          </w:tcPr>
          <w:p w14:paraId="364B655C" w14:textId="53B31CE0" w:rsidR="00DA639A" w:rsidRPr="001D040C" w:rsidRDefault="00DA639A"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1D040C">
              <w:rPr>
                <w:rFonts w:eastAsia="Calibri"/>
                <w:sz w:val="20"/>
                <w:szCs w:val="20"/>
              </w:rPr>
              <w:t>2,14</w:t>
            </w:r>
          </w:p>
        </w:tc>
      </w:tr>
    </w:tbl>
    <w:p w14:paraId="0D68E3A3" w14:textId="77777777" w:rsidR="00DA639A" w:rsidRPr="00DA639A" w:rsidRDefault="00DA639A" w:rsidP="00DA639A">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br w:type="textWrapping" w:clear="all"/>
      </w:r>
    </w:p>
    <w:p w14:paraId="0BF1978B" w14:textId="5ABCB903" w:rsidR="00DA639A" w:rsidRPr="00DA639A" w:rsidRDefault="00DA639A" w:rsidP="00DA639A">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Wsparcie w ramach priorytetu VII pozyskali głównie benefi</w:t>
      </w:r>
      <w:r w:rsidR="00DD2AE5">
        <w:rPr>
          <w:rFonts w:eastAsia="Calibri"/>
          <w:szCs w:val="24"/>
          <w:lang w:eastAsia="en-US"/>
        </w:rPr>
        <w:t>cjenci z centrum województwa. W </w:t>
      </w:r>
      <w:r w:rsidRPr="00DA639A">
        <w:rPr>
          <w:rFonts w:eastAsia="Calibri"/>
          <w:szCs w:val="24"/>
          <w:lang w:eastAsia="en-US"/>
        </w:rPr>
        <w:t xml:space="preserve">podziale na powiaty ziemskie najwięcej środków zostało przeznaczonych na powiat wodzisławski, gdzie łączna kwota dofinansowania UE wynosi </w:t>
      </w:r>
      <w:r w:rsidR="00DD2AE5">
        <w:rPr>
          <w:rFonts w:eastAsia="Calibri"/>
          <w:szCs w:val="24"/>
          <w:lang w:eastAsia="en-US"/>
        </w:rPr>
        <w:t>26,04</w:t>
      </w:r>
      <w:r w:rsidRPr="00DA639A">
        <w:rPr>
          <w:rFonts w:eastAsia="Calibri"/>
          <w:szCs w:val="24"/>
          <w:lang w:eastAsia="en-US"/>
        </w:rPr>
        <w:t xml:space="preserve"> mln EUR. W r</w:t>
      </w:r>
      <w:r w:rsidR="006E5600">
        <w:rPr>
          <w:rFonts w:eastAsia="Calibri"/>
          <w:szCs w:val="24"/>
          <w:lang w:eastAsia="en-US"/>
        </w:rPr>
        <w:t>amach powiatów grodzkich (miast</w:t>
      </w:r>
      <w:r w:rsidRPr="00DA639A">
        <w:rPr>
          <w:rFonts w:eastAsia="Calibri"/>
          <w:szCs w:val="24"/>
          <w:lang w:eastAsia="en-US"/>
        </w:rPr>
        <w:t xml:space="preserve"> na prawach powiatu) największe dofinansowanie otrzymało Miasto Katowice tj. </w:t>
      </w:r>
      <w:r w:rsidR="00EF4793">
        <w:rPr>
          <w:rFonts w:eastAsia="Calibri"/>
          <w:szCs w:val="24"/>
          <w:lang w:eastAsia="en-US"/>
        </w:rPr>
        <w:t>21,12</w:t>
      </w:r>
      <w:r w:rsidRPr="00DA639A">
        <w:rPr>
          <w:rFonts w:eastAsia="Calibri"/>
          <w:szCs w:val="24"/>
          <w:lang w:eastAsia="en-US"/>
        </w:rPr>
        <w:t xml:space="preserve"> mln EUR, Miasto Bielsko-Biała tj. </w:t>
      </w:r>
      <w:r w:rsidR="00EF4793">
        <w:rPr>
          <w:rFonts w:eastAsia="Calibri"/>
          <w:szCs w:val="24"/>
          <w:lang w:eastAsia="en-US"/>
        </w:rPr>
        <w:t>34,83</w:t>
      </w:r>
      <w:r w:rsidRPr="00DA639A">
        <w:rPr>
          <w:rFonts w:eastAsia="Calibri"/>
          <w:szCs w:val="24"/>
          <w:lang w:eastAsia="en-US"/>
        </w:rPr>
        <w:t xml:space="preserve"> mln EUR oraz Miasto Częstochowa tj. </w:t>
      </w:r>
      <w:r w:rsidR="00EF4793">
        <w:rPr>
          <w:rFonts w:eastAsia="Calibri"/>
          <w:szCs w:val="24"/>
          <w:lang w:eastAsia="en-US"/>
        </w:rPr>
        <w:t>32,98</w:t>
      </w:r>
      <w:r w:rsidRPr="00DA639A">
        <w:rPr>
          <w:rFonts w:eastAsia="Calibri"/>
          <w:szCs w:val="24"/>
          <w:lang w:eastAsia="en-US"/>
        </w:rPr>
        <w:t xml:space="preserve"> mln EUR.</w:t>
      </w:r>
    </w:p>
    <w:p w14:paraId="4E4F733B" w14:textId="77777777" w:rsidR="00DA639A" w:rsidRDefault="00DA639A" w:rsidP="00DA639A">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5ED426B5" w14:textId="487A3A79" w:rsidR="00DD2AE5" w:rsidRPr="00DA639A" w:rsidRDefault="00DD2AE5" w:rsidP="00DA639A">
      <w:pPr>
        <w:tabs>
          <w:tab w:val="left" w:pos="1276"/>
        </w:tabs>
        <w:autoSpaceDE w:val="0"/>
        <w:autoSpaceDN w:val="0"/>
        <w:adjustRightInd w:val="0"/>
        <w:spacing w:after="120"/>
        <w:jc w:val="both"/>
        <w:rPr>
          <w:rFonts w:eastAsia="Calibri"/>
          <w:szCs w:val="24"/>
          <w:lang w:eastAsia="en-US"/>
        </w:rPr>
      </w:pPr>
      <w:r w:rsidRPr="00DD2AE5">
        <w:rPr>
          <w:rFonts w:eastAsia="Calibri"/>
          <w:noProof/>
          <w:szCs w:val="24"/>
        </w:rPr>
        <w:lastRenderedPageBreak/>
        <w:drawing>
          <wp:inline distT="0" distB="0" distL="0" distR="0" wp14:anchorId="6A7F0466" wp14:editId="7A4D8318">
            <wp:extent cx="5758815" cy="7513983"/>
            <wp:effectExtent l="0" t="0" r="0" b="0"/>
            <wp:docPr id="35854" name="Obraz 35854" descr="W:\RRF\!Zespół ds monitoringu\Perspektywa 2007-2013\Sprawozdanie końcowe\Piotr\mapki\P7\P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RRF\!Zespół ds monitoringu\Perspektywa 2007-2013\Sprawozdanie końcowe\Piotr\mapki\P7\P7.jpe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62610" cy="7518934"/>
                    </a:xfrm>
                    <a:prstGeom prst="rect">
                      <a:avLst/>
                    </a:prstGeom>
                    <a:noFill/>
                    <a:ln>
                      <a:noFill/>
                    </a:ln>
                  </pic:spPr>
                </pic:pic>
              </a:graphicData>
            </a:graphic>
          </wp:inline>
        </w:drawing>
      </w:r>
    </w:p>
    <w:p w14:paraId="46B43178" w14:textId="775DF2E3" w:rsidR="00DD2AE5" w:rsidRPr="001D3D24" w:rsidRDefault="004D7598" w:rsidP="001D3D24">
      <w:pPr>
        <w:pStyle w:val="Legenda"/>
        <w:rPr>
          <w:rFonts w:ascii="Calibri" w:eastAsia="Calibri" w:hAnsi="Calibri"/>
          <w:color w:val="auto"/>
          <w:sz w:val="20"/>
          <w:szCs w:val="20"/>
          <w:lang w:eastAsia="en-US"/>
        </w:rPr>
      </w:pPr>
      <w:bookmarkStart w:id="461" w:name="_Toc476832970"/>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52</w:t>
      </w:r>
      <w:r w:rsidR="00A44293" w:rsidRPr="00A44293">
        <w:rPr>
          <w:noProof/>
          <w:color w:val="auto"/>
        </w:rPr>
        <w:fldChar w:fldCharType="end"/>
      </w:r>
      <w:r w:rsidRPr="00A44293">
        <w:rPr>
          <w:color w:val="auto"/>
        </w:rPr>
        <w:t xml:space="preserve"> </w:t>
      </w:r>
      <w:r w:rsidR="00DD2AE5" w:rsidRPr="00DD2AE5">
        <w:rPr>
          <w:b w:val="0"/>
          <w:i/>
          <w:color w:val="auto"/>
          <w:sz w:val="20"/>
          <w:szCs w:val="20"/>
        </w:rPr>
        <w:t>Rozkład projektów</w:t>
      </w:r>
      <w:r w:rsidR="005D38A0">
        <w:rPr>
          <w:b w:val="0"/>
          <w:i/>
          <w:color w:val="auto"/>
          <w:sz w:val="20"/>
          <w:szCs w:val="20"/>
        </w:rPr>
        <w:t xml:space="preserve"> w ramach priorytetu VII</w:t>
      </w:r>
      <w:r w:rsidR="00DD2AE5" w:rsidRPr="00DD2AE5">
        <w:rPr>
          <w:b w:val="0"/>
          <w:i/>
          <w:color w:val="auto"/>
          <w:sz w:val="20"/>
          <w:szCs w:val="20"/>
        </w:rPr>
        <w:t xml:space="preserve"> w podziale na powiat</w:t>
      </w:r>
      <w:r w:rsidR="001D3D24">
        <w:rPr>
          <w:b w:val="0"/>
          <w:i/>
          <w:color w:val="auto"/>
          <w:sz w:val="20"/>
          <w:szCs w:val="20"/>
        </w:rPr>
        <w:t>y</w:t>
      </w:r>
      <w:bookmarkEnd w:id="461"/>
    </w:p>
    <w:p w14:paraId="73DA68A6" w14:textId="77777777" w:rsidR="00DD2AE5" w:rsidRPr="001432FA" w:rsidRDefault="00DD2AE5" w:rsidP="001432FA">
      <w:pPr>
        <w:pStyle w:val="Akapitzlist"/>
        <w:numPr>
          <w:ilvl w:val="0"/>
          <w:numId w:val="108"/>
        </w:numPr>
        <w:spacing w:after="120"/>
        <w:jc w:val="both"/>
        <w:rPr>
          <w:b/>
          <w:szCs w:val="24"/>
          <w:lang w:eastAsia="ar-SA"/>
        </w:rPr>
      </w:pPr>
      <w:r w:rsidRPr="001432FA">
        <w:rPr>
          <w:b/>
          <w:szCs w:val="24"/>
          <w:lang w:eastAsia="ar-SA"/>
        </w:rPr>
        <w:t>Projekty w podziale na obszary wsparcia</w:t>
      </w:r>
    </w:p>
    <w:p w14:paraId="1CB1D9A7" w14:textId="4CDC042C" w:rsidR="00DA639A" w:rsidRPr="00DA639A" w:rsidRDefault="00DA639A" w:rsidP="00DA639A">
      <w:pPr>
        <w:pStyle w:val="Legenda"/>
        <w:spacing w:line="276" w:lineRule="auto"/>
        <w:jc w:val="both"/>
        <w:rPr>
          <w:rFonts w:eastAsia="Calibri"/>
          <w:b w:val="0"/>
          <w:color w:val="auto"/>
          <w:sz w:val="24"/>
          <w:szCs w:val="24"/>
          <w:lang w:eastAsia="ar-SA"/>
        </w:rPr>
      </w:pPr>
      <w:r w:rsidRPr="00DA639A">
        <w:rPr>
          <w:rFonts w:eastAsia="Calibri"/>
          <w:b w:val="0"/>
          <w:color w:val="auto"/>
          <w:sz w:val="24"/>
          <w:szCs w:val="24"/>
          <w:lang w:eastAsia="ar-SA"/>
        </w:rPr>
        <w:t xml:space="preserve">W priorytecie VII większość projektów realizowana </w:t>
      </w:r>
      <w:r w:rsidR="001432FA">
        <w:rPr>
          <w:rFonts w:eastAsia="Calibri"/>
          <w:b w:val="0"/>
          <w:color w:val="auto"/>
          <w:sz w:val="24"/>
          <w:szCs w:val="24"/>
          <w:lang w:eastAsia="ar-SA"/>
        </w:rPr>
        <w:t>była</w:t>
      </w:r>
      <w:r w:rsidRPr="00DA639A">
        <w:rPr>
          <w:rFonts w:eastAsia="Calibri"/>
          <w:b w:val="0"/>
          <w:color w:val="auto"/>
          <w:sz w:val="24"/>
          <w:szCs w:val="24"/>
          <w:lang w:eastAsia="ar-SA"/>
        </w:rPr>
        <w:t xml:space="preserve"> w zakresie transportu. Działania podejmowane w ramach priorytetu są powiązane z działaniami realizowanymi w ramach </w:t>
      </w:r>
      <w:r w:rsidRPr="00DA639A">
        <w:rPr>
          <w:rFonts w:eastAsia="Calibri"/>
          <w:b w:val="0"/>
          <w:color w:val="auto"/>
          <w:sz w:val="24"/>
          <w:szCs w:val="24"/>
          <w:lang w:eastAsia="ar-SA"/>
        </w:rPr>
        <w:lastRenderedPageBreak/>
        <w:t>Programu Operacyjnego Infrastruktura i Środowisko oraz Programu Rozwoju Obszarów Wiejskich, Programu Współpracy Transgranicznej (komplementarność międzyprogramowa).</w:t>
      </w:r>
    </w:p>
    <w:p w14:paraId="1A79C466" w14:textId="77777777" w:rsidR="005D4024" w:rsidRPr="005D4024" w:rsidRDefault="005D4024" w:rsidP="005D4024">
      <w:pPr>
        <w:tabs>
          <w:tab w:val="left" w:pos="1276"/>
        </w:tabs>
        <w:autoSpaceDE w:val="0"/>
        <w:autoSpaceDN w:val="0"/>
        <w:adjustRightInd w:val="0"/>
        <w:spacing w:after="120"/>
        <w:jc w:val="both"/>
        <w:rPr>
          <w:b/>
          <w:szCs w:val="24"/>
        </w:rPr>
      </w:pPr>
      <w:r w:rsidRPr="005D4024">
        <w:rPr>
          <w:b/>
          <w:szCs w:val="24"/>
        </w:rPr>
        <w:t>Analiza postępu rzeczowego</w:t>
      </w:r>
    </w:p>
    <w:p w14:paraId="4C70450F" w14:textId="77777777" w:rsidR="005D4024" w:rsidRDefault="005D4024" w:rsidP="005D4024">
      <w:pPr>
        <w:pStyle w:val="Nagwek2"/>
        <w:numPr>
          <w:ilvl w:val="0"/>
          <w:numId w:val="0"/>
        </w:numPr>
        <w:spacing w:before="0" w:beforeAutospacing="0" w:after="120" w:afterAutospacing="0" w:line="276" w:lineRule="auto"/>
        <w:jc w:val="both"/>
        <w:rPr>
          <w:b w:val="0"/>
          <w:sz w:val="24"/>
          <w:szCs w:val="24"/>
        </w:rPr>
      </w:pPr>
      <w:bookmarkStart w:id="462" w:name="_Toc386571844"/>
      <w:bookmarkStart w:id="463" w:name="_Toc386572269"/>
      <w:bookmarkStart w:id="464" w:name="_Toc391466119"/>
      <w:bookmarkStart w:id="465" w:name="_Toc391466387"/>
      <w:bookmarkStart w:id="466" w:name="_Toc391466698"/>
      <w:bookmarkStart w:id="467" w:name="_Toc473117338"/>
      <w:bookmarkStart w:id="468" w:name="_Toc477779778"/>
      <w:r>
        <w:rPr>
          <w:b w:val="0"/>
          <w:sz w:val="24"/>
          <w:szCs w:val="24"/>
        </w:rPr>
        <w:t xml:space="preserve">W </w:t>
      </w:r>
      <w:r w:rsidRPr="005D4024">
        <w:rPr>
          <w:b w:val="0"/>
          <w:sz w:val="24"/>
          <w:szCs w:val="24"/>
        </w:rPr>
        <w:t>załączniku IV</w:t>
      </w:r>
      <w:r>
        <w:rPr>
          <w:b w:val="0"/>
          <w:sz w:val="24"/>
          <w:szCs w:val="24"/>
        </w:rPr>
        <w:t xml:space="preserve"> do niniejszego </w:t>
      </w:r>
      <w:r w:rsidRPr="00A52097">
        <w:rPr>
          <w:b w:val="0"/>
          <w:i/>
          <w:sz w:val="24"/>
          <w:szCs w:val="24"/>
        </w:rPr>
        <w:t>Sprawozdania</w:t>
      </w:r>
      <w:r w:rsidRPr="00D50323">
        <w:rPr>
          <w:b w:val="0"/>
          <w:sz w:val="24"/>
          <w:szCs w:val="24"/>
        </w:rPr>
        <w:t xml:space="preserve"> zostały przedstawione </w:t>
      </w:r>
      <w:r>
        <w:rPr>
          <w:b w:val="0"/>
          <w:sz w:val="24"/>
          <w:szCs w:val="24"/>
        </w:rPr>
        <w:t xml:space="preserve">programowe </w:t>
      </w:r>
      <w:r w:rsidRPr="00D50323">
        <w:rPr>
          <w:b w:val="0"/>
          <w:sz w:val="24"/>
          <w:szCs w:val="24"/>
        </w:rPr>
        <w:t xml:space="preserve">wskaźniki produktu i rezultatu </w:t>
      </w:r>
      <w:r>
        <w:rPr>
          <w:b w:val="0"/>
          <w:sz w:val="24"/>
          <w:szCs w:val="24"/>
        </w:rPr>
        <w:t>dla priorytetu VII, dla kolejnych lat w ujęciu kumulatywnym. Przedstawione informacje prezentowane są według stanu na koniec 2016 roku i zostały oparte na danych dotyczących operacji zakończonych. Określone zostały wartości docelowe dla 2010, 2013 i 2015 roku. Przedstawiono także wskaźniki przedmiotowego priorytetu w podziale na działania i poddziałania.</w:t>
      </w:r>
      <w:bookmarkEnd w:id="462"/>
      <w:bookmarkEnd w:id="463"/>
      <w:bookmarkEnd w:id="464"/>
      <w:bookmarkEnd w:id="465"/>
      <w:bookmarkEnd w:id="466"/>
      <w:bookmarkEnd w:id="467"/>
      <w:bookmarkEnd w:id="468"/>
    </w:p>
    <w:p w14:paraId="0A163FA5" w14:textId="56D13261" w:rsidR="005D4024" w:rsidRDefault="005D4024" w:rsidP="00FB655A">
      <w:pPr>
        <w:spacing w:after="120"/>
        <w:jc w:val="both"/>
      </w:pPr>
      <w:r>
        <w:t xml:space="preserve">Wśród wskaźników produktu 13 z 16 wskaźników </w:t>
      </w:r>
      <w:r w:rsidR="00FB655A">
        <w:t>osiągnęło</w:t>
      </w:r>
      <w:r>
        <w:t xml:space="preserve"> minimum 85% wartości docelowej</w:t>
      </w:r>
      <w:r w:rsidR="00FB655A">
        <w:t xml:space="preserve"> dla 2015 roku, z czego większość znacznie przekroczyła swoją wartość.</w:t>
      </w:r>
    </w:p>
    <w:p w14:paraId="129465B3" w14:textId="77777777" w:rsidR="005D4024" w:rsidRDefault="005D4024" w:rsidP="005D4024">
      <w:pPr>
        <w:jc w:val="both"/>
      </w:pPr>
      <w:r>
        <w:t xml:space="preserve">Podwskaźniki dot. dróg regionalnych i lokalnych składające się na ogólną długość zrekonstruowanych dróg wskazują, że w przeważającej mierze projekty modernizacji dróg dotyczyły dróg lokalnych. Natomiast wskaźnik </w:t>
      </w:r>
      <w:r w:rsidRPr="008F0C04">
        <w:rPr>
          <w:i/>
        </w:rPr>
        <w:t>Długość zrekonstruowanych dróg, w tym drogi regionalne</w:t>
      </w:r>
      <w:r>
        <w:t xml:space="preserve"> realizowany był wyłącznie w </w:t>
      </w:r>
      <w:r w:rsidRPr="00234878">
        <w:rPr>
          <w:i/>
        </w:rPr>
        <w:t>poddziałaniu 7.1.1 Modernizacja i rozbudowa kluczowych elementów sieci drogowej,</w:t>
      </w:r>
      <w:r>
        <w:t xml:space="preserve"> w którym zainteresowanie beneficjentów skupiło się na budowie nowych dróg. Obrazuje to realizacja, analogicznego do wyżej wymienionego, wskaźnika </w:t>
      </w:r>
      <w:r w:rsidRPr="008F0C04">
        <w:rPr>
          <w:i/>
        </w:rPr>
        <w:t>Długość nowych dróg, w tym drogi regionalne</w:t>
      </w:r>
      <w:r>
        <w:t xml:space="preserve">, która wskazuje na osiągnięcie końcowej wartości docelowej na poziomie 107,32%. </w:t>
      </w:r>
      <w:r w:rsidRPr="00A9041C">
        <w:t xml:space="preserve">Decydującą rolę dla przedstawionego rozkładu typów sfinansowanych inwestycji drogowych, gdzie w przypadku dróg lokalnych </w:t>
      </w:r>
      <w:r>
        <w:t xml:space="preserve">w większym stopniu </w:t>
      </w:r>
      <w:r w:rsidRPr="00A9041C">
        <w:t>mamy do czynieni</w:t>
      </w:r>
      <w:r>
        <w:t>a z</w:t>
      </w:r>
      <w:r w:rsidRPr="00A9041C">
        <w:t xml:space="preserve"> projekt</w:t>
      </w:r>
      <w:r>
        <w:t>ami</w:t>
      </w:r>
      <w:r w:rsidRPr="00A9041C">
        <w:t xml:space="preserve"> przebudowy dróg, m</w:t>
      </w:r>
      <w:r>
        <w:t>i</w:t>
      </w:r>
      <w:r w:rsidRPr="00A9041C">
        <w:t>a</w:t>
      </w:r>
      <w:r>
        <w:t>ł</w:t>
      </w:r>
      <w:r w:rsidRPr="00A9041C">
        <w:t xml:space="preserve"> charakter województwa śląskiego, w którym sieć dróg gminnych i powiatowych wymaga</w:t>
      </w:r>
      <w:r>
        <w:t>ła</w:t>
      </w:r>
      <w:r w:rsidRPr="00A9041C">
        <w:t xml:space="preserve"> dużych nakładów finansowych na cel ich rekonstrukcji, natomiast w przypadku dróg </w:t>
      </w:r>
      <w:r>
        <w:t>regionalnych priorytetem nie była</w:t>
      </w:r>
      <w:r w:rsidRPr="00A9041C">
        <w:t xml:space="preserve"> ich przebudowa, a budowa nowych połączeń pozwalających odciążyć istniejącą sieć drogową</w:t>
      </w:r>
      <w:r>
        <w:t>.</w:t>
      </w:r>
      <w:r w:rsidRPr="00A9041C">
        <w:t xml:space="preserve"> </w:t>
      </w:r>
    </w:p>
    <w:p w14:paraId="620E45D0" w14:textId="4AFC14DB" w:rsidR="005D4024" w:rsidRDefault="005D4024" w:rsidP="005D4024">
      <w:pPr>
        <w:jc w:val="both"/>
      </w:pPr>
      <w:r>
        <w:t>Podobnie jak w innych priorytetach</w:t>
      </w:r>
      <w:r w:rsidR="006E5600">
        <w:t>,</w:t>
      </w:r>
      <w:r>
        <w:t xml:space="preserve"> realizacja wskaźnika:</w:t>
      </w:r>
      <w:r w:rsidRPr="006D71C7">
        <w:t xml:space="preserve"> </w:t>
      </w:r>
      <w:r w:rsidRPr="00F50151">
        <w:rPr>
          <w:i/>
        </w:rPr>
        <w:t>Liczba projektów dot. infrastruktury społeczeństwa informacyjnego</w:t>
      </w:r>
      <w:r>
        <w:rPr>
          <w:i/>
        </w:rPr>
        <w:t xml:space="preserve"> </w:t>
      </w:r>
      <w:r w:rsidR="006E5600">
        <w:rPr>
          <w:szCs w:val="24"/>
        </w:rPr>
        <w:t>była problematyczna i jego</w:t>
      </w:r>
      <w:r>
        <w:rPr>
          <w:szCs w:val="24"/>
        </w:rPr>
        <w:t xml:space="preserve"> ostateczna wartość nie pozwoliła na osiągnięcie założonej w Programie wartości docelowej. Zainteresowanie beneficjentów realizacją projektów z zakresu społeczeństwa informacyjnego</w:t>
      </w:r>
      <w:r w:rsidR="00FB655A">
        <w:rPr>
          <w:szCs w:val="24"/>
        </w:rPr>
        <w:t xml:space="preserve"> </w:t>
      </w:r>
      <w:r w:rsidR="00F3351C">
        <w:rPr>
          <w:szCs w:val="24"/>
        </w:rPr>
        <w:t xml:space="preserve">(projektów, których wyłącznym elementem były Inteligentne Systemy Transportowe) </w:t>
      </w:r>
      <w:r w:rsidR="00FB655A">
        <w:rPr>
          <w:szCs w:val="24"/>
        </w:rPr>
        <w:t>było bardzo niewielkie w przedmiotowym priorytecie.</w:t>
      </w:r>
      <w:r>
        <w:rPr>
          <w:szCs w:val="24"/>
        </w:rPr>
        <w:t xml:space="preserve"> </w:t>
      </w:r>
    </w:p>
    <w:p w14:paraId="589928D5" w14:textId="111B27D3" w:rsidR="005D4024" w:rsidRDefault="005D4024" w:rsidP="005D4024">
      <w:pPr>
        <w:jc w:val="both"/>
        <w:rPr>
          <w:rFonts w:cs="Calibri"/>
        </w:rPr>
      </w:pPr>
      <w:r>
        <w:t>N</w:t>
      </w:r>
      <w:r w:rsidRPr="006D71C7">
        <w:t>iezrealizowany zosta</w:t>
      </w:r>
      <w:r>
        <w:t>ł</w:t>
      </w:r>
      <w:r w:rsidRPr="006D71C7">
        <w:t xml:space="preserve"> wskaźnik </w:t>
      </w:r>
      <w:r w:rsidRPr="006D71C7">
        <w:rPr>
          <w:i/>
        </w:rPr>
        <w:t>Długość zrekonstruowanych linii kolejowych</w:t>
      </w:r>
      <w:r>
        <w:t>, w stosunku</w:t>
      </w:r>
      <w:r w:rsidRPr="006D71C7">
        <w:t xml:space="preserve"> do którego jedyny beneficjent mający realizować wskaźnik dokonał modyfikacji projektu, która obejmowała r</w:t>
      </w:r>
      <w:r>
        <w:t xml:space="preserve">ezygnację z </w:t>
      </w:r>
      <w:r w:rsidRPr="006D71C7">
        <w:t>przeprowadz</w:t>
      </w:r>
      <w:r>
        <w:t>a</w:t>
      </w:r>
      <w:r w:rsidRPr="006D71C7">
        <w:t>nia w ramach projektu rekonstrukcji</w:t>
      </w:r>
      <w:r>
        <w:t xml:space="preserve"> odcinka</w:t>
      </w:r>
      <w:r w:rsidRPr="006D71C7">
        <w:t xml:space="preserve"> linii kolejowej. Niezrealizowanie powyższego projektu w </w:t>
      </w:r>
      <w:r w:rsidR="00FB655A" w:rsidRPr="006D71C7">
        <w:t>zakresie, w jakim</w:t>
      </w:r>
      <w:r w:rsidRPr="006D71C7">
        <w:t xml:space="preserve"> </w:t>
      </w:r>
      <w:r>
        <w:t xml:space="preserve">pierwotnie </w:t>
      </w:r>
      <w:r w:rsidRPr="006D71C7">
        <w:t xml:space="preserve">planowano przełożyło się również na brak możliwości zrealizowania powiązanego wskaźnika rezultatu </w:t>
      </w:r>
      <w:r w:rsidRPr="006D71C7">
        <w:rPr>
          <w:rFonts w:cs="Calibri"/>
          <w:i/>
        </w:rPr>
        <w:t>Oszczędność czasu na nowych i zrekonstruowanych liniach kolejowych w przewozach pasażerskich i towarowych</w:t>
      </w:r>
      <w:r w:rsidRPr="006D71C7">
        <w:rPr>
          <w:rFonts w:cs="Calibri"/>
        </w:rPr>
        <w:t>.</w:t>
      </w:r>
    </w:p>
    <w:p w14:paraId="02552165" w14:textId="77777777" w:rsidR="00005EF5" w:rsidRDefault="005D4024" w:rsidP="00367271">
      <w:pPr>
        <w:jc w:val="both"/>
        <w:rPr>
          <w:rFonts w:cs="Calibri"/>
        </w:rPr>
      </w:pPr>
      <w:r>
        <w:t>W priorytecie udało się zrealizować więcej projektów niż zakładano</w:t>
      </w:r>
      <w:r w:rsidR="006E5600">
        <w:t>,</w:t>
      </w:r>
      <w:r>
        <w:t xml:space="preserve"> zgodnie z wartością docelową wskaźnika </w:t>
      </w:r>
      <w:r w:rsidRPr="00DF7ADF">
        <w:rPr>
          <w:i/>
        </w:rPr>
        <w:t>Liczba projektów z zakresu transportu</w:t>
      </w:r>
      <w:r>
        <w:t>.</w:t>
      </w:r>
      <w:r w:rsidRPr="00F82BA4">
        <w:t xml:space="preserve"> </w:t>
      </w:r>
      <w:r>
        <w:t xml:space="preserve">Na przekroczenie wartości </w:t>
      </w:r>
      <w:r>
        <w:lastRenderedPageBreak/>
        <w:t>docelowej tego wskaźnika wpływ miała niższa od spodziewanej, wynoszącej 5,33 mln E</w:t>
      </w:r>
      <w:r w:rsidR="00DF7ADF">
        <w:t>UR</w:t>
      </w:r>
      <w:r>
        <w:t xml:space="preserve"> średniej wartości realizowanych projektów, która w rzeczywistości była </w:t>
      </w:r>
      <w:r w:rsidR="00DF7ADF">
        <w:t>dużo niższa</w:t>
      </w:r>
      <w:r>
        <w:t xml:space="preserve"> i wyniosła 1,54 mln E</w:t>
      </w:r>
      <w:r w:rsidR="00DF7ADF">
        <w:t>UR</w:t>
      </w:r>
      <w:r>
        <w:t xml:space="preserve">. </w:t>
      </w:r>
      <w:r>
        <w:rPr>
          <w:rFonts w:cs="Calibri"/>
        </w:rPr>
        <w:t>Ponadto</w:t>
      </w:r>
      <w:r w:rsidR="006E5600">
        <w:rPr>
          <w:rFonts w:cs="Calibri"/>
        </w:rPr>
        <w:t>,</w:t>
      </w:r>
      <w:r>
        <w:rPr>
          <w:rFonts w:cs="Calibri"/>
        </w:rPr>
        <w:t xml:space="preserve"> na przekroczenie realizacji ww. wskaźnika oraz wskaźników: </w:t>
      </w:r>
      <w:r w:rsidRPr="00DF7ADF">
        <w:rPr>
          <w:rFonts w:cs="Calibri"/>
          <w:i/>
        </w:rPr>
        <w:t>Liczba projektów dotyczących naprawy podstawowej infrastruktury uszkodzonej w wyniku powodzi</w:t>
      </w:r>
      <w:r>
        <w:rPr>
          <w:rFonts w:cs="Calibri"/>
        </w:rPr>
        <w:t xml:space="preserve">, </w:t>
      </w:r>
      <w:r w:rsidRPr="00DF7ADF">
        <w:rPr>
          <w:rFonts w:cs="Calibri"/>
          <w:i/>
        </w:rPr>
        <w:t>Długość zrekonstruowanych dróg, Długość zrekonstruowanych dróg, (…) w tym drogi lokalne, (…) w tym na obszarach wiejskich, Liczba zakupionego taboru kolejowego, Liczba miejsc w zakupionym taborze kolejowym,</w:t>
      </w:r>
      <w:r w:rsidRPr="00DF7ADF">
        <w:rPr>
          <w:i/>
        </w:rPr>
        <w:t xml:space="preserve"> </w:t>
      </w:r>
      <w:r w:rsidRPr="00DF7ADF">
        <w:rPr>
          <w:rFonts w:cs="Calibri"/>
          <w:i/>
        </w:rPr>
        <w:t>Liczba zakupionego taboru komunikacji miejskiej, Liczba miejsc w zakupionym taborze komunikacji miejskiej, Dodatkowe przewozy pasażerów komunikacji miejskiej z wykorzystaniem taboru objętego wsparciem</w:t>
      </w:r>
      <w:r>
        <w:rPr>
          <w:rFonts w:cs="Calibri"/>
        </w:rPr>
        <w:t xml:space="preserve"> wpływ miało zwiększenie w 2011 roku alokacji </w:t>
      </w:r>
      <w:r w:rsidR="00DF7ADF">
        <w:rPr>
          <w:rFonts w:cs="Calibri"/>
        </w:rPr>
        <w:t>środków UE w priorytecie VII o blisko 34 mln</w:t>
      </w:r>
      <w:r>
        <w:rPr>
          <w:rFonts w:cs="Calibri"/>
        </w:rPr>
        <w:t xml:space="preserve"> EUR, które pochodziły z podziału Krajowej Rezerwy Wykonania. </w:t>
      </w:r>
      <w:r w:rsidR="006E5600">
        <w:rPr>
          <w:rFonts w:cs="Calibri"/>
        </w:rPr>
        <w:t>W</w:t>
      </w:r>
      <w:r w:rsidR="00DF7ADF">
        <w:rPr>
          <w:rFonts w:cs="Calibri"/>
        </w:rPr>
        <w:t>pływ</w:t>
      </w:r>
      <w:r w:rsidR="006E5600">
        <w:rPr>
          <w:rFonts w:cs="Calibri"/>
        </w:rPr>
        <w:t xml:space="preserve"> tutaj</w:t>
      </w:r>
      <w:r w:rsidR="00DF7ADF">
        <w:rPr>
          <w:rFonts w:cs="Calibri"/>
        </w:rPr>
        <w:t xml:space="preserve"> miała </w:t>
      </w:r>
      <w:r w:rsidR="006E5600">
        <w:rPr>
          <w:rFonts w:cs="Calibri"/>
        </w:rPr>
        <w:t>także</w:t>
      </w:r>
      <w:r w:rsidR="00DF7ADF">
        <w:rPr>
          <w:rFonts w:cs="Calibri"/>
        </w:rPr>
        <w:t xml:space="preserve"> niższa średnia wartość projektów realizowanych w ramach priorytetu.</w:t>
      </w:r>
    </w:p>
    <w:p w14:paraId="386F7133" w14:textId="5496DC79" w:rsidR="00005EF5" w:rsidRDefault="00005EF5" w:rsidP="00367271">
      <w:pPr>
        <w:spacing w:after="0"/>
        <w:jc w:val="both"/>
        <w:rPr>
          <w:rFonts w:cs="Calibri"/>
        </w:rPr>
      </w:pPr>
      <w:r>
        <w:rPr>
          <w:rFonts w:cs="Calibri"/>
        </w:rPr>
        <w:t xml:space="preserve">Przekroczenie realizacji wskaźników </w:t>
      </w:r>
      <w:r w:rsidRPr="00DF7ADF">
        <w:rPr>
          <w:rFonts w:cs="Calibri"/>
          <w:i/>
        </w:rPr>
        <w:t>Liczba zakupionego taboru kolejowego</w:t>
      </w:r>
      <w:r>
        <w:rPr>
          <w:rFonts w:cs="Calibri"/>
          <w:i/>
        </w:rPr>
        <w:t xml:space="preserve"> </w:t>
      </w:r>
      <w:r>
        <w:rPr>
          <w:rFonts w:cs="Calibri"/>
        </w:rPr>
        <w:t>i</w:t>
      </w:r>
      <w:r w:rsidRPr="00DF7ADF">
        <w:rPr>
          <w:rFonts w:cs="Calibri"/>
          <w:i/>
        </w:rPr>
        <w:t xml:space="preserve"> Liczba miejsc w</w:t>
      </w:r>
      <w:r>
        <w:rPr>
          <w:rFonts w:cs="Calibri"/>
          <w:i/>
        </w:rPr>
        <w:t> </w:t>
      </w:r>
      <w:r w:rsidRPr="00DF7ADF">
        <w:rPr>
          <w:rFonts w:cs="Calibri"/>
          <w:i/>
        </w:rPr>
        <w:t>zakupionym taborze kolejowym</w:t>
      </w:r>
      <w:r>
        <w:rPr>
          <w:rFonts w:cs="Calibri"/>
          <w:i/>
        </w:rPr>
        <w:t xml:space="preserve"> </w:t>
      </w:r>
      <w:r w:rsidRPr="00793264">
        <w:rPr>
          <w:rFonts w:cs="Calibri"/>
        </w:rPr>
        <w:t>wiązało</w:t>
      </w:r>
      <w:r w:rsidRPr="00367271">
        <w:rPr>
          <w:rFonts w:cs="Calibri"/>
        </w:rPr>
        <w:t xml:space="preserve"> się </w:t>
      </w:r>
      <w:r>
        <w:rPr>
          <w:rFonts w:cs="Calibri"/>
        </w:rPr>
        <w:t>z podjęciem decyzji o zakupie przez Województwo Śląskie, w ramach dwóch projektów indywidualnych mających realizować ww. wskaźniki z działania 7.2 Transport publiczny, taboru kolejowego w liczbie większej o 3 niż założono to w Programie. To jest 5 pociągów typu Flirt oraz 8 pociągów typu Elf, przekazanych następnie do użytkowania powstałej w 2010 roku spółce Koleje Śląskie, za zadanie której wyznaczono przejęcie w województwie obsługi nieomal całości regionalnych</w:t>
      </w:r>
      <w:r w:rsidRPr="006F7B65">
        <w:rPr>
          <w:rFonts w:cs="Calibri"/>
        </w:rPr>
        <w:t xml:space="preserve"> </w:t>
      </w:r>
      <w:r>
        <w:rPr>
          <w:rFonts w:cs="Calibri"/>
        </w:rPr>
        <w:t>przewozów kolejowych.</w:t>
      </w:r>
    </w:p>
    <w:p w14:paraId="26569063" w14:textId="77777777" w:rsidR="00005EF5" w:rsidRDefault="00005EF5" w:rsidP="00367271">
      <w:pPr>
        <w:spacing w:after="0"/>
        <w:jc w:val="both"/>
        <w:rPr>
          <w:rFonts w:cs="Calibri"/>
        </w:rPr>
      </w:pPr>
    </w:p>
    <w:p w14:paraId="61EDFE27" w14:textId="3CFB1B1D" w:rsidR="00005EF5" w:rsidRDefault="00005EF5" w:rsidP="00367271">
      <w:pPr>
        <w:spacing w:after="0"/>
        <w:jc w:val="both"/>
        <w:rPr>
          <w:rFonts w:cs="Calibri"/>
        </w:rPr>
      </w:pPr>
      <w:r>
        <w:rPr>
          <w:rFonts w:cs="Calibri"/>
        </w:rPr>
        <w:t>W przypadku wskaźników dotyczących zakupionego taboru komunikacji miejskiej i jego pojemności</w:t>
      </w:r>
      <w:r w:rsidR="00F81ED7">
        <w:rPr>
          <w:rFonts w:cs="Calibri"/>
        </w:rPr>
        <w:t>,</w:t>
      </w:r>
      <w:r>
        <w:rPr>
          <w:rFonts w:cs="Calibri"/>
        </w:rPr>
        <w:t xml:space="preserve"> ś</w:t>
      </w:r>
      <w:r w:rsidRPr="00367271">
        <w:rPr>
          <w:rFonts w:cs="Calibri"/>
        </w:rPr>
        <w:t>redni koszt jednostkowy zakup</w:t>
      </w:r>
      <w:r>
        <w:rPr>
          <w:rFonts w:cs="Calibri"/>
        </w:rPr>
        <w:t xml:space="preserve">u środków </w:t>
      </w:r>
      <w:r w:rsidRPr="00367271">
        <w:rPr>
          <w:rFonts w:cs="Calibri"/>
        </w:rPr>
        <w:t>t</w:t>
      </w:r>
      <w:r>
        <w:rPr>
          <w:rFonts w:cs="Calibri"/>
        </w:rPr>
        <w:t>ransportu</w:t>
      </w:r>
      <w:r w:rsidRPr="00367271">
        <w:rPr>
          <w:rFonts w:cs="Calibri"/>
        </w:rPr>
        <w:t xml:space="preserve"> należy uznać za</w:t>
      </w:r>
      <w:r>
        <w:rPr>
          <w:rFonts w:cs="Calibri"/>
        </w:rPr>
        <w:t> </w:t>
      </w:r>
      <w:r w:rsidRPr="00367271">
        <w:rPr>
          <w:rFonts w:cs="Calibri"/>
        </w:rPr>
        <w:t>zadowalający</w:t>
      </w:r>
      <w:r>
        <w:rPr>
          <w:rFonts w:cs="Calibri"/>
        </w:rPr>
        <w:t xml:space="preserve">, jednak jego obniżona wartość przyczyniła się do nadrealizacji wskaźników </w:t>
      </w:r>
      <w:r w:rsidRPr="00DF7ADF">
        <w:rPr>
          <w:rFonts w:cs="Calibri"/>
          <w:i/>
        </w:rPr>
        <w:t xml:space="preserve">Liczba zakupionego taboru </w:t>
      </w:r>
      <w:r>
        <w:rPr>
          <w:rFonts w:cs="Calibri"/>
          <w:i/>
        </w:rPr>
        <w:t xml:space="preserve">miejskiego </w:t>
      </w:r>
      <w:r>
        <w:rPr>
          <w:rFonts w:cs="Calibri"/>
        </w:rPr>
        <w:t>i</w:t>
      </w:r>
      <w:r w:rsidRPr="00DF7ADF">
        <w:rPr>
          <w:rFonts w:cs="Calibri"/>
          <w:i/>
        </w:rPr>
        <w:t xml:space="preserve"> Liczba miejsc w zakupionym taborze </w:t>
      </w:r>
      <w:r>
        <w:rPr>
          <w:rFonts w:cs="Calibri"/>
          <w:i/>
        </w:rPr>
        <w:t>miejskim</w:t>
      </w:r>
      <w:r w:rsidRPr="00367271">
        <w:rPr>
          <w:rFonts w:cs="Calibri"/>
        </w:rPr>
        <w:t xml:space="preserve">. </w:t>
      </w:r>
      <w:r>
        <w:rPr>
          <w:rFonts w:cs="Calibri"/>
        </w:rPr>
        <w:t>W</w:t>
      </w:r>
      <w:r w:rsidRPr="00367271">
        <w:rPr>
          <w:rFonts w:cs="Calibri"/>
        </w:rPr>
        <w:t xml:space="preserve">ariancja </w:t>
      </w:r>
      <w:r>
        <w:rPr>
          <w:rFonts w:cs="Calibri"/>
        </w:rPr>
        <w:t>kosztu jednostkowego była</w:t>
      </w:r>
      <w:r w:rsidRPr="00367271">
        <w:rPr>
          <w:rFonts w:cs="Calibri"/>
        </w:rPr>
        <w:t xml:space="preserve"> uzależniona jedynie od obecności </w:t>
      </w:r>
      <w:r>
        <w:rPr>
          <w:rFonts w:cs="Calibri"/>
        </w:rPr>
        <w:t xml:space="preserve">w projekcie </w:t>
      </w:r>
      <w:r w:rsidRPr="00367271">
        <w:rPr>
          <w:rFonts w:cs="Calibri"/>
        </w:rPr>
        <w:t>inwestycji związanych z infrastrukturą przystanków, zintegrowanych systemów elektronicznej obsługi w transporcie publicznym, monitoringu wizyjnego. W porównaniu do</w:t>
      </w:r>
      <w:r w:rsidRPr="00005EF5">
        <w:rPr>
          <w:rFonts w:cs="Calibri"/>
        </w:rPr>
        <w:t> </w:t>
      </w:r>
      <w:r>
        <w:rPr>
          <w:rFonts w:cs="Calibri"/>
        </w:rPr>
        <w:t xml:space="preserve">pozaprogramowego </w:t>
      </w:r>
      <w:r w:rsidRPr="00367271">
        <w:rPr>
          <w:rFonts w:cs="Calibri"/>
        </w:rPr>
        <w:t>średniego kosztu zakupu jednostki taboru komunikacji miejskiej jest on</w:t>
      </w:r>
      <w:r>
        <w:rPr>
          <w:rFonts w:cs="Calibri"/>
        </w:rPr>
        <w:t> </w:t>
      </w:r>
      <w:r w:rsidRPr="00367271">
        <w:rPr>
          <w:rFonts w:cs="Calibri"/>
        </w:rPr>
        <w:t>relatywnie niski ze względu na nieduży udział taboru szynowego o wyższym koszcie jednostkowym.</w:t>
      </w:r>
    </w:p>
    <w:p w14:paraId="023C165B" w14:textId="77777777" w:rsidR="00005EF5" w:rsidRDefault="00005EF5" w:rsidP="00367271">
      <w:pPr>
        <w:spacing w:after="0"/>
        <w:jc w:val="both"/>
        <w:rPr>
          <w:rFonts w:cs="Calibri"/>
        </w:rPr>
      </w:pPr>
    </w:p>
    <w:p w14:paraId="1A230CC5" w14:textId="084C0726" w:rsidR="00DF7ADF" w:rsidRDefault="00005EF5" w:rsidP="00367271">
      <w:pPr>
        <w:spacing w:after="0"/>
        <w:jc w:val="both"/>
        <w:rPr>
          <w:rFonts w:cs="Calibri"/>
        </w:rPr>
      </w:pPr>
      <w:r>
        <w:rPr>
          <w:rFonts w:cs="Calibri"/>
        </w:rPr>
        <w:t xml:space="preserve">Wskaźnik </w:t>
      </w:r>
      <w:r w:rsidRPr="00DF7ADF">
        <w:rPr>
          <w:rFonts w:cs="Calibri"/>
          <w:i/>
        </w:rPr>
        <w:t>Dodatkowe przewozy pasażerów komunikacji miejskiej z wykorzystaniem taboru objętego wsparciem</w:t>
      </w:r>
      <w:r>
        <w:rPr>
          <w:rFonts w:cs="Calibri"/>
        </w:rPr>
        <w:t xml:space="preserve"> obliczany jest na podstawie wskaźnika wybieranego na poziomie projektu </w:t>
      </w:r>
      <w:r w:rsidRPr="00367271">
        <w:rPr>
          <w:i/>
        </w:rPr>
        <w:t>Średnia liczba osób korzystających dziennie z nowych/zmodernizowanych jednostek transportu zbiorowego</w:t>
      </w:r>
      <w:r w:rsidR="00F81ED7">
        <w:rPr>
          <w:i/>
        </w:rPr>
        <w:t>,</w:t>
      </w:r>
      <w:r>
        <w:t xml:space="preserve"> co powoduje, że w celu uzyskania wartości w wymiarze rocznym należy dzienną liczbę osób przewożonych przemnożyć przez 365 dni w roku, czego wynikiem jest wartość realizacji w znacznym stopniu przekraczająca wartość docelową dla 2015 roku. Jedną z przyczyn tego stanu jest fakt, że w części projektów beneficjenci jako wartości dziennych przewozów wykazywali wartość średniej liczby przewożonych osób tylko w dniu pracy wspartego taboru, która nie była zbieżna z wartością 1/365 liczby osób przewożonych w ciągu 12 miesięcy.</w:t>
      </w:r>
    </w:p>
    <w:p w14:paraId="6074EB38" w14:textId="77777777" w:rsidR="00005EF5" w:rsidRDefault="00005EF5" w:rsidP="00367271">
      <w:pPr>
        <w:spacing w:after="0"/>
        <w:jc w:val="both"/>
        <w:rPr>
          <w:rFonts w:cs="Calibri"/>
        </w:rPr>
      </w:pPr>
    </w:p>
    <w:p w14:paraId="20E5357F" w14:textId="3A52C077" w:rsidR="005D4024" w:rsidRDefault="00DF7ADF" w:rsidP="00367271">
      <w:pPr>
        <w:jc w:val="both"/>
      </w:pPr>
      <w:r>
        <w:lastRenderedPageBreak/>
        <w:t>Poniżej na wykresie zaprezentowano podział wskaźników ze względu na procent realizacji wartości docelowej</w:t>
      </w:r>
      <w:r w:rsidR="005D4024">
        <w:t>.</w:t>
      </w:r>
    </w:p>
    <w:p w14:paraId="1441FE90" w14:textId="0FA08BB8" w:rsidR="005D4024" w:rsidRDefault="005D4024" w:rsidP="005D4024">
      <w:pPr>
        <w:jc w:val="both"/>
        <w:rPr>
          <w:iCs/>
        </w:rPr>
      </w:pPr>
      <w:r>
        <w:rPr>
          <w:noProof/>
        </w:rPr>
        <w:drawing>
          <wp:inline distT="0" distB="0" distL="0" distR="0" wp14:anchorId="1D30C799" wp14:editId="12302CD9">
            <wp:extent cx="5905500" cy="2954741"/>
            <wp:effectExtent l="0" t="0" r="0" b="0"/>
            <wp:docPr id="130" name="Wykres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2CFA158" w14:textId="18604B88" w:rsidR="005D4024" w:rsidRDefault="004D7598" w:rsidP="004D7598">
      <w:pPr>
        <w:pStyle w:val="Legenda"/>
        <w:rPr>
          <w:b w:val="0"/>
          <w:i/>
          <w:color w:val="auto"/>
          <w:sz w:val="20"/>
          <w:szCs w:val="20"/>
        </w:rPr>
      </w:pPr>
      <w:bookmarkStart w:id="469" w:name="_Toc386571477"/>
      <w:bookmarkStart w:id="470" w:name="_Toc476832971"/>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53</w:t>
      </w:r>
      <w:r w:rsidR="00A44293" w:rsidRPr="00A44293">
        <w:rPr>
          <w:noProof/>
          <w:color w:val="auto"/>
        </w:rPr>
        <w:fldChar w:fldCharType="end"/>
      </w:r>
      <w:r w:rsidRPr="00A44293">
        <w:rPr>
          <w:color w:val="auto"/>
        </w:rPr>
        <w:t xml:space="preserve"> </w:t>
      </w:r>
      <w:r w:rsidR="00A44293">
        <w:rPr>
          <w:b w:val="0"/>
          <w:i/>
          <w:color w:val="auto"/>
          <w:sz w:val="20"/>
          <w:szCs w:val="20"/>
        </w:rPr>
        <w:t>Osiągnięty</w:t>
      </w:r>
      <w:r w:rsidR="005D38A0">
        <w:rPr>
          <w:b w:val="0"/>
          <w:i/>
          <w:color w:val="auto"/>
          <w:sz w:val="20"/>
          <w:szCs w:val="20"/>
        </w:rPr>
        <w:t xml:space="preserve"> poziom wartości docelowej</w:t>
      </w:r>
      <w:r w:rsidR="005D4024" w:rsidRPr="00717D65">
        <w:rPr>
          <w:b w:val="0"/>
          <w:i/>
          <w:color w:val="auto"/>
          <w:sz w:val="20"/>
          <w:szCs w:val="20"/>
        </w:rPr>
        <w:t xml:space="preserve"> wskaźników w ramach priorytetu VII</w:t>
      </w:r>
      <w:bookmarkEnd w:id="469"/>
      <w:bookmarkEnd w:id="470"/>
    </w:p>
    <w:p w14:paraId="2CFDDA61" w14:textId="54A8810A" w:rsidR="00DF7ADF" w:rsidRDefault="00DF7ADF" w:rsidP="00DF7ADF">
      <w:pPr>
        <w:jc w:val="both"/>
      </w:pPr>
      <w:r w:rsidRPr="006D71C7">
        <w:t>Realiz</w:t>
      </w:r>
      <w:r>
        <w:t>owanie</w:t>
      </w:r>
      <w:r w:rsidRPr="006D71C7">
        <w:t xml:space="preserve"> wskaźników priorytetu VII stanowi</w:t>
      </w:r>
      <w:r>
        <w:t>ło</w:t>
      </w:r>
      <w:r w:rsidRPr="006D71C7">
        <w:t xml:space="preserve"> odpowiedź na wskazaną w analizie SWOT grupę problemową </w:t>
      </w:r>
      <w:r w:rsidRPr="006D71C7">
        <w:rPr>
          <w:i/>
        </w:rPr>
        <w:t>Infrastruktura transportowa</w:t>
      </w:r>
      <w:r w:rsidRPr="006D71C7">
        <w:t xml:space="preserve">, gdzie między innymi, jako słabą stronę wymieniono zły stan techniczny infrastruktury komunikacyjnej, a </w:t>
      </w:r>
      <w:r w:rsidR="006E5600">
        <w:t>jako zagrożenie</w:t>
      </w:r>
      <w:r w:rsidRPr="006D71C7">
        <w:t xml:space="preserve"> wskazano wzrost natężenia ruchu pojazdów przy braku wydajnego systemu komunikacji. Działania obrazowane przez wskaźniki w priorytecie, takie jak rekonstrukcja dróg, czy też zakup nowego taboru komunikacji zb</w:t>
      </w:r>
      <w:r>
        <w:t>iorowej, zważywszy na prawidłowy</w:t>
      </w:r>
      <w:r w:rsidRPr="006D71C7">
        <w:t xml:space="preserve"> postęp w ich realizacji, należy uznać za środki</w:t>
      </w:r>
      <w:r>
        <w:t>, które</w:t>
      </w:r>
      <w:r w:rsidRPr="006D71C7">
        <w:t xml:space="preserve"> skutecznie przyczynia</w:t>
      </w:r>
      <w:r>
        <w:t>ły</w:t>
      </w:r>
      <w:r w:rsidRPr="006D71C7">
        <w:t xml:space="preserve"> się do likwidacji ww. problemów.</w:t>
      </w:r>
    </w:p>
    <w:p w14:paraId="326D8E4D" w14:textId="1BBAD32F" w:rsidR="005D4024" w:rsidRDefault="005D4024" w:rsidP="005D4024">
      <w:pPr>
        <w:jc w:val="both"/>
      </w:pPr>
      <w:r>
        <w:t xml:space="preserve">Korelację pomiędzy wskaźnikami w ramach </w:t>
      </w:r>
      <w:r w:rsidR="005D38A0">
        <w:t>priorytetu VII</w:t>
      </w:r>
      <w:r>
        <w:t xml:space="preserve"> a Strategią UE 2020 (inicjatywami flagowymi) przedstawiono poniżej.</w:t>
      </w:r>
    </w:p>
    <w:p w14:paraId="350C6965" w14:textId="77777777" w:rsidR="00B8015D" w:rsidRDefault="00B8015D">
      <w:pPr>
        <w:spacing w:after="0" w:line="240" w:lineRule="auto"/>
        <w:rPr>
          <w:b/>
          <w:bCs/>
          <w:sz w:val="18"/>
          <w:szCs w:val="18"/>
        </w:rPr>
      </w:pPr>
      <w:r>
        <w:br w:type="page"/>
      </w:r>
    </w:p>
    <w:p w14:paraId="69447DC0" w14:textId="2F42E9B4" w:rsidR="005D38A0" w:rsidRPr="005D38A0" w:rsidRDefault="004D7598" w:rsidP="004D7598">
      <w:pPr>
        <w:pStyle w:val="Legenda"/>
        <w:rPr>
          <w:b w:val="0"/>
          <w:i/>
          <w:color w:val="auto"/>
          <w:sz w:val="20"/>
          <w:szCs w:val="20"/>
        </w:rPr>
      </w:pPr>
      <w:bookmarkStart w:id="471" w:name="_Toc476131816"/>
      <w:r w:rsidRPr="00A44293">
        <w:rPr>
          <w:color w:val="auto"/>
        </w:rPr>
        <w:lastRenderedPageBreak/>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33</w:t>
      </w:r>
      <w:r w:rsidR="00A44293" w:rsidRPr="00A44293">
        <w:rPr>
          <w:noProof/>
          <w:color w:val="auto"/>
        </w:rPr>
        <w:fldChar w:fldCharType="end"/>
      </w:r>
      <w:r w:rsidRPr="00A44293">
        <w:rPr>
          <w:color w:val="auto"/>
        </w:rPr>
        <w:t xml:space="preserve"> </w:t>
      </w:r>
      <w:r w:rsidR="005D38A0" w:rsidRPr="005D38A0">
        <w:rPr>
          <w:b w:val="0"/>
          <w:i/>
          <w:color w:val="auto"/>
          <w:sz w:val="20"/>
          <w:szCs w:val="20"/>
        </w:rPr>
        <w:t>Korelację pomiędzy wskaźnikami w ramach priorytetu VII a Strategią UE 2020</w:t>
      </w:r>
      <w:bookmarkEnd w:id="471"/>
    </w:p>
    <w:tbl>
      <w:tblPr>
        <w:tblStyle w:val="Tabelalisty3akcent6"/>
        <w:tblW w:w="0" w:type="auto"/>
        <w:jc w:val="center"/>
        <w:tblLook w:val="04A0" w:firstRow="1" w:lastRow="0" w:firstColumn="1" w:lastColumn="0" w:noHBand="0" w:noVBand="1"/>
      </w:tblPr>
      <w:tblGrid>
        <w:gridCol w:w="4530"/>
        <w:gridCol w:w="4530"/>
      </w:tblGrid>
      <w:tr w:rsidR="00DF7ADF" w:rsidRPr="00DF7ADF" w14:paraId="0861DBCE" w14:textId="77777777" w:rsidTr="001432F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530" w:type="dxa"/>
            <w:vAlign w:val="center"/>
          </w:tcPr>
          <w:p w14:paraId="469DD3A9" w14:textId="5E7D7CDA" w:rsidR="00DF7ADF" w:rsidRPr="00DF7ADF" w:rsidRDefault="001432FA" w:rsidP="001432FA">
            <w:pPr>
              <w:jc w:val="center"/>
              <w:rPr>
                <w:color w:val="auto"/>
                <w:sz w:val="20"/>
                <w:szCs w:val="20"/>
              </w:rPr>
            </w:pPr>
            <w:r>
              <w:rPr>
                <w:color w:val="auto"/>
                <w:sz w:val="20"/>
                <w:szCs w:val="20"/>
              </w:rPr>
              <w:t>INICJATYWY FLAGOWE</w:t>
            </w:r>
          </w:p>
        </w:tc>
        <w:tc>
          <w:tcPr>
            <w:tcW w:w="4530" w:type="dxa"/>
            <w:vAlign w:val="center"/>
          </w:tcPr>
          <w:p w14:paraId="2FCDE1F2" w14:textId="15F7917A" w:rsidR="00DF7ADF" w:rsidRPr="00DF7ADF" w:rsidRDefault="001432FA" w:rsidP="001432FA">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Pr>
                <w:color w:val="auto"/>
                <w:sz w:val="20"/>
                <w:szCs w:val="20"/>
              </w:rPr>
              <w:t>WSKAŹNIKI</w:t>
            </w:r>
          </w:p>
        </w:tc>
      </w:tr>
      <w:tr w:rsidR="00DF7ADF" w:rsidRPr="00DF7ADF" w14:paraId="7A3CAC35" w14:textId="77777777" w:rsidTr="001432F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1E42BFAB" w14:textId="77777777" w:rsidR="00DF7ADF" w:rsidRPr="001432FA" w:rsidRDefault="00DF7ADF" w:rsidP="001432FA">
            <w:pPr>
              <w:spacing w:after="0" w:line="240" w:lineRule="auto"/>
              <w:contextualSpacing/>
              <w:rPr>
                <w:rFonts w:eastAsia="+mn-ea"/>
                <w:b w:val="0"/>
                <w:sz w:val="20"/>
                <w:szCs w:val="20"/>
              </w:rPr>
            </w:pPr>
          </w:p>
          <w:p w14:paraId="4D49954D" w14:textId="77777777" w:rsidR="00DF7ADF" w:rsidRPr="001432FA" w:rsidRDefault="00DF7ADF" w:rsidP="001432FA">
            <w:pPr>
              <w:spacing w:after="0" w:line="240" w:lineRule="auto"/>
              <w:contextualSpacing/>
              <w:rPr>
                <w:b w:val="0"/>
                <w:sz w:val="20"/>
                <w:szCs w:val="20"/>
              </w:rPr>
            </w:pPr>
            <w:r w:rsidRPr="001432FA">
              <w:rPr>
                <w:rFonts w:eastAsia="+mn-ea"/>
                <w:b w:val="0"/>
                <w:sz w:val="20"/>
                <w:szCs w:val="20"/>
              </w:rPr>
              <w:t>Europejska Agenda Cyfrowa</w:t>
            </w:r>
          </w:p>
          <w:p w14:paraId="2D3A2DFA" w14:textId="77777777" w:rsidR="00DF7ADF" w:rsidRPr="001432FA" w:rsidRDefault="00DF7ADF" w:rsidP="001432FA">
            <w:pPr>
              <w:rPr>
                <w:b w:val="0"/>
                <w:sz w:val="20"/>
                <w:szCs w:val="20"/>
              </w:rPr>
            </w:pPr>
          </w:p>
        </w:tc>
        <w:tc>
          <w:tcPr>
            <w:tcW w:w="4530" w:type="dxa"/>
            <w:vAlign w:val="center"/>
          </w:tcPr>
          <w:p w14:paraId="2C0295E1" w14:textId="60E652BE" w:rsidR="00DF7ADF" w:rsidRPr="001432FA" w:rsidRDefault="00DF7ADF" w:rsidP="001432FA">
            <w:p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rPr>
            </w:pPr>
            <w:r w:rsidRPr="001432FA">
              <w:rPr>
                <w:rFonts w:eastAsia="+mn-ea"/>
                <w:iCs/>
                <w:sz w:val="20"/>
                <w:szCs w:val="20"/>
              </w:rPr>
              <w:t>Liczba projektów dot. infrastruktury społeczeństwa informacyjnego</w:t>
            </w:r>
          </w:p>
        </w:tc>
      </w:tr>
      <w:tr w:rsidR="00DF7ADF" w:rsidRPr="00DF7ADF" w14:paraId="2C889721" w14:textId="77777777" w:rsidTr="001432FA">
        <w:trPr>
          <w:trHeight w:val="2839"/>
          <w:jc w:val="center"/>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6FB9EF45" w14:textId="77777777" w:rsidR="00DF7ADF" w:rsidRPr="001432FA" w:rsidRDefault="00DF7ADF" w:rsidP="001432FA">
            <w:pPr>
              <w:spacing w:after="0" w:line="240" w:lineRule="auto"/>
              <w:contextualSpacing/>
              <w:rPr>
                <w:rFonts w:eastAsia="+mn-ea"/>
                <w:b w:val="0"/>
                <w:sz w:val="20"/>
                <w:szCs w:val="20"/>
              </w:rPr>
            </w:pPr>
          </w:p>
          <w:p w14:paraId="4B1D28EB" w14:textId="77777777" w:rsidR="00DF7ADF" w:rsidRPr="001432FA" w:rsidRDefault="00DF7ADF" w:rsidP="001432FA">
            <w:pPr>
              <w:spacing w:after="0" w:line="240" w:lineRule="auto"/>
              <w:contextualSpacing/>
              <w:rPr>
                <w:rFonts w:eastAsia="+mn-ea"/>
                <w:b w:val="0"/>
                <w:sz w:val="20"/>
                <w:szCs w:val="20"/>
              </w:rPr>
            </w:pPr>
          </w:p>
          <w:p w14:paraId="38B7AD24" w14:textId="77777777" w:rsidR="00DF7ADF" w:rsidRPr="001432FA" w:rsidRDefault="00DF7ADF" w:rsidP="001432FA">
            <w:pPr>
              <w:spacing w:after="0" w:line="240" w:lineRule="auto"/>
              <w:contextualSpacing/>
              <w:rPr>
                <w:rFonts w:eastAsia="+mn-ea"/>
                <w:b w:val="0"/>
                <w:sz w:val="20"/>
                <w:szCs w:val="20"/>
              </w:rPr>
            </w:pPr>
          </w:p>
          <w:p w14:paraId="797A1BE3" w14:textId="77777777" w:rsidR="00DF7ADF" w:rsidRPr="001432FA" w:rsidRDefault="00DF7ADF" w:rsidP="001432FA">
            <w:pPr>
              <w:spacing w:after="0" w:line="240" w:lineRule="auto"/>
              <w:contextualSpacing/>
              <w:rPr>
                <w:rFonts w:eastAsia="+mn-ea"/>
                <w:b w:val="0"/>
                <w:sz w:val="20"/>
                <w:szCs w:val="20"/>
              </w:rPr>
            </w:pPr>
          </w:p>
          <w:p w14:paraId="5C8CBD30" w14:textId="77777777" w:rsidR="00DF7ADF" w:rsidRPr="001432FA" w:rsidRDefault="00DF7ADF" w:rsidP="001432FA">
            <w:pPr>
              <w:spacing w:after="0" w:line="240" w:lineRule="auto"/>
              <w:contextualSpacing/>
              <w:rPr>
                <w:rFonts w:eastAsia="+mn-ea"/>
                <w:b w:val="0"/>
                <w:sz w:val="20"/>
                <w:szCs w:val="20"/>
              </w:rPr>
            </w:pPr>
          </w:p>
          <w:p w14:paraId="7480582A" w14:textId="77777777" w:rsidR="00DF7ADF" w:rsidRPr="001432FA" w:rsidRDefault="00DF7ADF" w:rsidP="001432FA">
            <w:pPr>
              <w:spacing w:after="0" w:line="240" w:lineRule="auto"/>
              <w:contextualSpacing/>
              <w:rPr>
                <w:b w:val="0"/>
                <w:sz w:val="20"/>
                <w:szCs w:val="20"/>
              </w:rPr>
            </w:pPr>
            <w:r w:rsidRPr="001432FA">
              <w:rPr>
                <w:rFonts w:eastAsia="+mn-ea"/>
                <w:b w:val="0"/>
                <w:sz w:val="20"/>
                <w:szCs w:val="20"/>
              </w:rPr>
              <w:t>Europa efektywnie korzystająca z zasobów</w:t>
            </w:r>
          </w:p>
          <w:p w14:paraId="04A7546F" w14:textId="77777777" w:rsidR="00DF7ADF" w:rsidRPr="001432FA" w:rsidRDefault="00DF7ADF" w:rsidP="001432FA">
            <w:pPr>
              <w:rPr>
                <w:b w:val="0"/>
                <w:sz w:val="20"/>
                <w:szCs w:val="20"/>
              </w:rPr>
            </w:pPr>
          </w:p>
        </w:tc>
        <w:tc>
          <w:tcPr>
            <w:tcW w:w="4530" w:type="dxa"/>
            <w:vAlign w:val="center"/>
          </w:tcPr>
          <w:p w14:paraId="12F333C5"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Długość nowych dróg,</w:t>
            </w:r>
          </w:p>
          <w:p w14:paraId="1715C211"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Długość zrekonstruowanych dróg,</w:t>
            </w:r>
          </w:p>
          <w:p w14:paraId="38C2D42D"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Liczba zakupionego taboru komunikacji miejskiej,</w:t>
            </w:r>
          </w:p>
          <w:p w14:paraId="25529F8F"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Liczba miejsc w zakupionym taborze komunikacji miejskiej,</w:t>
            </w:r>
          </w:p>
          <w:p w14:paraId="6DC0094A"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Liczba zakupionego taboru kolejowego,</w:t>
            </w:r>
          </w:p>
          <w:p w14:paraId="7B313BA3"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Liczba miejsc w zakupionym taborze kolejowym,</w:t>
            </w:r>
          </w:p>
          <w:p w14:paraId="2AC9E1D0" w14:textId="77777777"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Oszczędność czasu na nowych i zrekonstruowanych drogach w przewozach pasażerskich i towarowych,</w:t>
            </w:r>
          </w:p>
          <w:p w14:paraId="225EDE73" w14:textId="489DFB2E" w:rsidR="00DF7ADF" w:rsidRPr="001432FA" w:rsidRDefault="00DF7ADF" w:rsidP="001432FA">
            <w:pPr>
              <w:numPr>
                <w:ilvl w:val="0"/>
                <w:numId w:val="68"/>
              </w:numPr>
              <w:spacing w:after="0" w:line="240" w:lineRule="auto"/>
              <w:ind w:left="35" w:hanging="283"/>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Cs/>
                <w:sz w:val="20"/>
                <w:szCs w:val="20"/>
              </w:rPr>
              <w:t>Dodatkowe przewozy pasażerów komunikacji miejskiej z wykorzystaniem taboru objętego wsparciem</w:t>
            </w:r>
          </w:p>
        </w:tc>
      </w:tr>
    </w:tbl>
    <w:p w14:paraId="1297B423" w14:textId="77777777" w:rsidR="00DF7ADF" w:rsidRDefault="00DF7ADF" w:rsidP="005D4024">
      <w:pPr>
        <w:spacing w:after="0"/>
        <w:jc w:val="both"/>
        <w:rPr>
          <w:sz w:val="20"/>
          <w:szCs w:val="20"/>
        </w:rPr>
      </w:pPr>
    </w:p>
    <w:p w14:paraId="5594C079" w14:textId="77777777" w:rsidR="001432FA" w:rsidRDefault="005D4024" w:rsidP="005D4024">
      <w:pPr>
        <w:spacing w:after="0"/>
        <w:jc w:val="both"/>
      </w:pPr>
      <w:r>
        <w:t>W ramach priorytetu realizowanych</w:t>
      </w:r>
      <w:r w:rsidRPr="006D71C7">
        <w:t xml:space="preserve"> </w:t>
      </w:r>
      <w:r>
        <w:t>było osiem wskaźników</w:t>
      </w:r>
      <w:r w:rsidRPr="006D71C7">
        <w:t xml:space="preserve"> Komisji Europejskiej tzw. </w:t>
      </w:r>
      <w:r>
        <w:t>(</w:t>
      </w:r>
      <w:r w:rsidRPr="006D71C7">
        <w:rPr>
          <w:i/>
        </w:rPr>
        <w:t>Core Indicators</w:t>
      </w:r>
      <w:r>
        <w:t xml:space="preserve">): </w:t>
      </w:r>
    </w:p>
    <w:p w14:paraId="534A667F" w14:textId="77777777" w:rsidR="001432FA" w:rsidRPr="001432FA" w:rsidRDefault="005D4024" w:rsidP="001432FA">
      <w:pPr>
        <w:pStyle w:val="Akapitzlist"/>
        <w:numPr>
          <w:ilvl w:val="0"/>
          <w:numId w:val="109"/>
        </w:numPr>
        <w:spacing w:after="0"/>
        <w:jc w:val="both"/>
      </w:pPr>
      <w:r w:rsidRPr="001432FA">
        <w:t xml:space="preserve">Liczba projektów z zakresu transportu, </w:t>
      </w:r>
    </w:p>
    <w:p w14:paraId="1CA609DA" w14:textId="77777777" w:rsidR="001432FA" w:rsidRPr="001432FA" w:rsidRDefault="005D4024" w:rsidP="001432FA">
      <w:pPr>
        <w:pStyle w:val="Akapitzlist"/>
        <w:numPr>
          <w:ilvl w:val="0"/>
          <w:numId w:val="109"/>
        </w:numPr>
        <w:spacing w:after="0"/>
        <w:jc w:val="both"/>
      </w:pPr>
      <w:r w:rsidRPr="001432FA">
        <w:t xml:space="preserve">Liczba projektów dot. infrastruktury społeczeństwa informacyjnego, </w:t>
      </w:r>
    </w:p>
    <w:p w14:paraId="001674FB" w14:textId="77777777" w:rsidR="001432FA" w:rsidRPr="001432FA" w:rsidRDefault="005D4024" w:rsidP="001432FA">
      <w:pPr>
        <w:pStyle w:val="Akapitzlist"/>
        <w:numPr>
          <w:ilvl w:val="0"/>
          <w:numId w:val="109"/>
        </w:numPr>
        <w:spacing w:after="0"/>
        <w:jc w:val="both"/>
      </w:pPr>
      <w:r w:rsidRPr="001432FA">
        <w:t xml:space="preserve">Długość nowych dróg, </w:t>
      </w:r>
    </w:p>
    <w:p w14:paraId="248CB4D7" w14:textId="77777777" w:rsidR="001432FA" w:rsidRPr="001432FA" w:rsidRDefault="005D4024" w:rsidP="001432FA">
      <w:pPr>
        <w:pStyle w:val="Akapitzlist"/>
        <w:numPr>
          <w:ilvl w:val="0"/>
          <w:numId w:val="109"/>
        </w:numPr>
        <w:spacing w:after="0"/>
        <w:jc w:val="both"/>
      </w:pPr>
      <w:r w:rsidRPr="001432FA">
        <w:t xml:space="preserve">Długość zrekonstruowanych dróg, </w:t>
      </w:r>
    </w:p>
    <w:p w14:paraId="056610C9" w14:textId="77777777" w:rsidR="001432FA" w:rsidRPr="001432FA" w:rsidRDefault="005D4024" w:rsidP="001432FA">
      <w:pPr>
        <w:pStyle w:val="Akapitzlist"/>
        <w:numPr>
          <w:ilvl w:val="0"/>
          <w:numId w:val="109"/>
        </w:numPr>
        <w:spacing w:after="0"/>
        <w:jc w:val="both"/>
      </w:pPr>
      <w:r w:rsidRPr="001432FA">
        <w:t xml:space="preserve">Długość zrekonstruowanych linii kolejowych, </w:t>
      </w:r>
    </w:p>
    <w:p w14:paraId="5DAF9E15" w14:textId="77777777" w:rsidR="001432FA" w:rsidRPr="001432FA" w:rsidRDefault="005D4024" w:rsidP="001432FA">
      <w:pPr>
        <w:pStyle w:val="Akapitzlist"/>
        <w:numPr>
          <w:ilvl w:val="0"/>
          <w:numId w:val="109"/>
        </w:numPr>
        <w:spacing w:after="0"/>
        <w:jc w:val="both"/>
      </w:pPr>
      <w:r w:rsidRPr="001432FA">
        <w:t xml:space="preserve">Oszczędność czasu na nowych i zrekonstruowanych drogach w przewozach pasażerskich i towarowych, </w:t>
      </w:r>
    </w:p>
    <w:p w14:paraId="67FB4225" w14:textId="77777777" w:rsidR="001432FA" w:rsidRPr="001432FA" w:rsidRDefault="005D4024" w:rsidP="001432FA">
      <w:pPr>
        <w:pStyle w:val="Akapitzlist"/>
        <w:numPr>
          <w:ilvl w:val="0"/>
          <w:numId w:val="109"/>
        </w:numPr>
        <w:spacing w:after="0"/>
        <w:jc w:val="both"/>
      </w:pPr>
      <w:r w:rsidRPr="001432FA">
        <w:t xml:space="preserve">Oszczędność czasu na nowych i zrekonstruowanych liniach kolejowych w przewozach pasażerskich i towarowych, </w:t>
      </w:r>
    </w:p>
    <w:p w14:paraId="7D4C9577" w14:textId="2D256760" w:rsidR="005D4024" w:rsidRPr="001432FA" w:rsidRDefault="005D4024" w:rsidP="001432FA">
      <w:pPr>
        <w:pStyle w:val="Akapitzlist"/>
        <w:numPr>
          <w:ilvl w:val="0"/>
          <w:numId w:val="109"/>
        </w:numPr>
        <w:spacing w:after="0"/>
        <w:jc w:val="both"/>
      </w:pPr>
      <w:r w:rsidRPr="001432FA">
        <w:t>Dodatkowe przewozy pasażerów komunikacji miejskiej z wykorzystaniem taboru objętego wsparciem.</w:t>
      </w:r>
    </w:p>
    <w:p w14:paraId="7E0EE9EB" w14:textId="77777777" w:rsidR="005D4024" w:rsidRDefault="005D4024" w:rsidP="005D4024">
      <w:pPr>
        <w:spacing w:after="0"/>
        <w:jc w:val="both"/>
      </w:pPr>
    </w:p>
    <w:p w14:paraId="75838F84" w14:textId="0A3742C5" w:rsidR="005004F7" w:rsidRPr="00F8189B" w:rsidRDefault="00F8189B" w:rsidP="0094320D">
      <w:pPr>
        <w:spacing w:after="0"/>
        <w:jc w:val="both"/>
        <w:rPr>
          <w:rFonts w:eastAsia="Calibri"/>
          <w:b/>
          <w:bCs/>
          <w:szCs w:val="24"/>
          <w:lang w:eastAsia="en-US"/>
        </w:rPr>
      </w:pPr>
      <w:r w:rsidRPr="00F8189B">
        <w:rPr>
          <w:rFonts w:eastAsia="Calibri"/>
          <w:b/>
          <w:bCs/>
          <w:szCs w:val="24"/>
          <w:lang w:eastAsia="en-US"/>
        </w:rPr>
        <w:t>Realizacja ewentualnych zaleceń i rekomendacji KE</w:t>
      </w:r>
    </w:p>
    <w:p w14:paraId="45333FE1" w14:textId="77777777" w:rsidR="00DB4A38" w:rsidRDefault="00DB4A38" w:rsidP="00DB4A38">
      <w:pPr>
        <w:spacing w:before="120" w:after="120"/>
        <w:jc w:val="both"/>
        <w:rPr>
          <w:lang w:eastAsia="ar-SA"/>
        </w:rPr>
      </w:pPr>
      <w:bookmarkStart w:id="472" w:name="_Toc386571845"/>
      <w:bookmarkStart w:id="473" w:name="_Toc386572270"/>
      <w:bookmarkStart w:id="474" w:name="_Toc419180286"/>
      <w:bookmarkStart w:id="475" w:name="_Toc423351804"/>
      <w:r w:rsidRPr="00BA2CDA">
        <w:rPr>
          <w:lang w:eastAsia="ar-SA"/>
        </w:rPr>
        <w:t xml:space="preserve">IZ RPO WSL </w:t>
      </w:r>
      <w:r>
        <w:rPr>
          <w:lang w:eastAsia="ar-SA"/>
        </w:rPr>
        <w:t>otrzymywała zalecenia/rekomendacje ze strony KE w ramach przedmiotowego priorytetu w zakresie doprecyzowania lub uzupełnienia</w:t>
      </w:r>
      <w:r w:rsidRPr="003A7E82">
        <w:rPr>
          <w:lang w:eastAsia="ar-SA"/>
        </w:rPr>
        <w:t xml:space="preserve"> </w:t>
      </w:r>
      <w:r>
        <w:rPr>
          <w:lang w:eastAsia="ar-SA"/>
        </w:rPr>
        <w:t>w kolejnych sprawozdaniach</w:t>
      </w:r>
      <w:r w:rsidRPr="009C6E3A">
        <w:rPr>
          <w:lang w:eastAsia="ar-SA"/>
        </w:rPr>
        <w:t xml:space="preserve"> </w:t>
      </w:r>
      <w:r>
        <w:rPr>
          <w:lang w:eastAsia="ar-SA"/>
        </w:rPr>
        <w:t>przedstawianych informacji dot. wdrażania priorytetu.</w:t>
      </w:r>
    </w:p>
    <w:p w14:paraId="3AFC8759" w14:textId="77777777" w:rsidR="006601B6" w:rsidRDefault="006601B6" w:rsidP="006601B6">
      <w:pPr>
        <w:spacing w:before="120" w:after="120"/>
        <w:jc w:val="both"/>
        <w:rPr>
          <w:b/>
          <w:lang w:eastAsia="ar-SA"/>
        </w:rPr>
      </w:pPr>
      <w:r w:rsidRPr="00194369">
        <w:rPr>
          <w:b/>
          <w:lang w:eastAsia="ar-SA"/>
        </w:rPr>
        <w:t>Opis wkładu priorytetu w redukcję ubóstwa</w:t>
      </w:r>
    </w:p>
    <w:p w14:paraId="32B27FA6" w14:textId="183FDBDA" w:rsidR="006601B6" w:rsidRPr="00355475" w:rsidRDefault="005B5B67" w:rsidP="006601B6">
      <w:pPr>
        <w:autoSpaceDE w:val="0"/>
        <w:autoSpaceDN w:val="0"/>
        <w:adjustRightInd w:val="0"/>
        <w:spacing w:before="120" w:after="120"/>
        <w:jc w:val="both"/>
        <w:rPr>
          <w:rFonts w:eastAsia="Calibri"/>
          <w:szCs w:val="24"/>
        </w:rPr>
      </w:pPr>
      <w:r>
        <w:rPr>
          <w:rFonts w:eastAsia="Calibri"/>
          <w:szCs w:val="24"/>
        </w:rPr>
        <w:t xml:space="preserve">W ramach </w:t>
      </w:r>
      <w:r w:rsidR="006601B6">
        <w:rPr>
          <w:rFonts w:eastAsia="Calibri"/>
          <w:szCs w:val="24"/>
        </w:rPr>
        <w:t>O</w:t>
      </w:r>
      <w:r>
        <w:rPr>
          <w:rFonts w:eastAsia="Calibri"/>
          <w:szCs w:val="24"/>
        </w:rPr>
        <w:t>si</w:t>
      </w:r>
      <w:r w:rsidR="006601B6">
        <w:rPr>
          <w:rFonts w:eastAsia="Calibri"/>
          <w:szCs w:val="24"/>
        </w:rPr>
        <w:t xml:space="preserve"> prioryteto</w:t>
      </w:r>
      <w:r>
        <w:rPr>
          <w:rFonts w:eastAsia="Calibri"/>
          <w:szCs w:val="24"/>
        </w:rPr>
        <w:t>wej VII nie realizowano projektów wpływających</w:t>
      </w:r>
      <w:r w:rsidR="006601B6">
        <w:rPr>
          <w:rFonts w:eastAsia="Calibri"/>
          <w:szCs w:val="24"/>
        </w:rPr>
        <w:t xml:space="preserve"> na redukcję ubóstwa.</w:t>
      </w:r>
    </w:p>
    <w:p w14:paraId="7FE1310B" w14:textId="53E2D73B" w:rsidR="005004F7" w:rsidRPr="006601B6" w:rsidRDefault="00664322" w:rsidP="0094320D">
      <w:pPr>
        <w:spacing w:after="120"/>
        <w:jc w:val="both"/>
        <w:outlineLvl w:val="1"/>
        <w:rPr>
          <w:rFonts w:eastAsia="Calibri"/>
          <w:b/>
          <w:szCs w:val="24"/>
          <w:lang w:eastAsia="en-US"/>
        </w:rPr>
      </w:pPr>
      <w:bookmarkStart w:id="476" w:name="_Toc473117339"/>
      <w:bookmarkStart w:id="477" w:name="_Toc477779779"/>
      <w:r w:rsidRPr="006601B6">
        <w:rPr>
          <w:rFonts w:eastAsia="Calibri"/>
          <w:b/>
          <w:szCs w:val="24"/>
          <w:lang w:eastAsia="en-US"/>
        </w:rPr>
        <w:t>Podsumowanie</w:t>
      </w:r>
      <w:bookmarkEnd w:id="472"/>
      <w:bookmarkEnd w:id="473"/>
      <w:bookmarkEnd w:id="474"/>
      <w:bookmarkEnd w:id="475"/>
      <w:bookmarkEnd w:id="476"/>
      <w:bookmarkEnd w:id="477"/>
    </w:p>
    <w:p w14:paraId="51346D68" w14:textId="77777777" w:rsidR="00F8189B" w:rsidRPr="00F8189B" w:rsidRDefault="00F8189B" w:rsidP="00F8189B">
      <w:pPr>
        <w:jc w:val="both"/>
        <w:rPr>
          <w:rFonts w:eastAsia="Calibri"/>
          <w:szCs w:val="24"/>
          <w:lang w:eastAsia="en-US"/>
        </w:rPr>
      </w:pPr>
      <w:r w:rsidRPr="00F8189B">
        <w:rPr>
          <w:rFonts w:eastAsia="Calibri"/>
          <w:szCs w:val="24"/>
          <w:lang w:eastAsia="en-US"/>
        </w:rPr>
        <w:t xml:space="preserve">O atrakcyjności województwa śląskiego w dużym stopniu decyduje rozwinięta infrastruktura transportowa. Województwo śląskie to wielki węzeł komunikacji drogowej i kolejowej, obszar dużej wymiany towarowej, bardzo dużego ruchu tranzytowego o zasięgu krajowym i międzynarodowym. Szczególne znaczenie ma połączenie kluczowej sieci drogowej </w:t>
      </w:r>
      <w:r w:rsidRPr="00F8189B">
        <w:rPr>
          <w:rFonts w:eastAsia="Calibri"/>
          <w:szCs w:val="24"/>
          <w:lang w:eastAsia="en-US"/>
        </w:rPr>
        <w:lastRenderedPageBreak/>
        <w:t>województwa z drogami znajdującymi się w sieci TEN-T, drogami międzynarodowymi i krajowymi.</w:t>
      </w:r>
    </w:p>
    <w:p w14:paraId="63561E6C" w14:textId="77777777" w:rsidR="00F8189B" w:rsidRPr="00F8189B" w:rsidRDefault="00F8189B" w:rsidP="00F8189B">
      <w:pPr>
        <w:spacing w:before="120" w:after="0" w:line="288" w:lineRule="auto"/>
        <w:jc w:val="both"/>
        <w:rPr>
          <w:szCs w:val="24"/>
        </w:rPr>
      </w:pPr>
      <w:r w:rsidRPr="00F8189B">
        <w:rPr>
          <w:szCs w:val="24"/>
        </w:rPr>
        <w:t xml:space="preserve">Trafność i adekwatność terytorialnego rozkładu interwencji priorytetu VII według badania ewaluacyjnego należy ocenić pozytywnie, ze względu na uwarunkowania demograficzne, osadnicze i gospodarcze. </w:t>
      </w:r>
    </w:p>
    <w:p w14:paraId="3C6A12E6" w14:textId="6BB1EA3D" w:rsidR="00F8189B" w:rsidRPr="00F8189B" w:rsidRDefault="00F8189B" w:rsidP="00F8189B">
      <w:pPr>
        <w:jc w:val="both"/>
        <w:rPr>
          <w:rFonts w:eastAsia="Calibri"/>
          <w:szCs w:val="24"/>
          <w:lang w:eastAsia="en-US"/>
        </w:rPr>
      </w:pPr>
      <w:r w:rsidRPr="00F8189B">
        <w:rPr>
          <w:szCs w:val="24"/>
        </w:rPr>
        <w:t xml:space="preserve">Analiza przestrzenna ilościowego i wartościowego rozkładu projektów zrealizowanych w ramach priorytetu VII wskazuje na dominację inwestycji ukierunkowanych na modernizację elementów kluczowej i uzupełniającej sieci drogowej na terenie Subregionu Centralnego. </w:t>
      </w:r>
      <w:r w:rsidRPr="00F8189B">
        <w:rPr>
          <w:rFonts w:eastAsia="Calibri"/>
          <w:szCs w:val="24"/>
        </w:rPr>
        <w:t xml:space="preserve">Koncentracja wsparcia w Subregionie Centralnym odpowiadała zarówno proporcji zdegradowania dróg, natężenia ruchu, częstości występowania „wąskich gardeł”, przy kluczowym znaczeniu obszaru dla regionalnego rynku pracy </w:t>
      </w:r>
      <w:r>
        <w:rPr>
          <w:rFonts w:eastAsia="Calibri"/>
          <w:szCs w:val="24"/>
        </w:rPr>
        <w:t>oraz inwestycji gospodarczych i </w:t>
      </w:r>
      <w:r w:rsidR="006877F3">
        <w:rPr>
          <w:rFonts w:eastAsia="Calibri"/>
          <w:szCs w:val="24"/>
        </w:rPr>
        <w:t xml:space="preserve">transportu towarowego. </w:t>
      </w:r>
      <w:r>
        <w:rPr>
          <w:rFonts w:eastAsia="Calibri"/>
          <w:szCs w:val="24"/>
        </w:rPr>
        <w:t>W subregionie południowym inwestycje wspierały</w:t>
      </w:r>
      <w:r w:rsidRPr="00F8189B">
        <w:rPr>
          <w:rFonts w:eastAsia="Calibri"/>
          <w:szCs w:val="24"/>
        </w:rPr>
        <w:t xml:space="preserve"> nie tylko lokalne centra wzrostu, ale również obszary atrakcyjne turystycznie w powiecie cieszyńskim </w:t>
      </w:r>
      <w:r>
        <w:rPr>
          <w:rFonts w:eastAsia="Calibri"/>
          <w:szCs w:val="24"/>
        </w:rPr>
        <w:t>i </w:t>
      </w:r>
      <w:r w:rsidRPr="00F8189B">
        <w:rPr>
          <w:rFonts w:eastAsia="Calibri"/>
          <w:szCs w:val="24"/>
        </w:rPr>
        <w:t>żywieckim, co pozostaje w zgodności ze strategicznymi przesłankami r</w:t>
      </w:r>
      <w:r w:rsidR="005B5B67">
        <w:rPr>
          <w:rFonts w:eastAsia="Calibri"/>
          <w:szCs w:val="24"/>
        </w:rPr>
        <w:t>ozwoju s</w:t>
      </w:r>
      <w:r w:rsidRPr="00F8189B">
        <w:rPr>
          <w:rFonts w:eastAsia="Calibri"/>
          <w:szCs w:val="24"/>
        </w:rPr>
        <w:t>ubregionu. Wątpliwości budzić może relatywnie niski udział Subregionu Zachodniego, w świetle diagnozy słabego skomunikowania obszarów poza Aglomeracją Rybnicką z resztą regionu. Subregion ten, w znacznym stopniu jednak przyczynił się do osiągnięcia zakładanej wartości wskaźnika dotyczącego skró</w:t>
      </w:r>
      <w:r>
        <w:rPr>
          <w:rFonts w:eastAsia="Calibri"/>
          <w:szCs w:val="24"/>
        </w:rPr>
        <w:t>cenia czasu przejazdu w </w:t>
      </w:r>
      <w:r w:rsidRPr="00F8189B">
        <w:rPr>
          <w:rFonts w:eastAsia="Calibri"/>
          <w:szCs w:val="24"/>
        </w:rPr>
        <w:t>skali całego województwa</w:t>
      </w:r>
      <w:r>
        <w:rPr>
          <w:rFonts w:eastAsia="Calibri"/>
          <w:szCs w:val="24"/>
        </w:rPr>
        <w:t xml:space="preserve">. </w:t>
      </w:r>
      <w:r w:rsidR="005B5B67">
        <w:rPr>
          <w:rFonts w:eastAsia="Calibri"/>
          <w:szCs w:val="24"/>
        </w:rPr>
        <w:t>Subregion p</w:t>
      </w:r>
      <w:r w:rsidRPr="00F8189B">
        <w:rPr>
          <w:rFonts w:eastAsia="Calibri"/>
          <w:szCs w:val="24"/>
        </w:rPr>
        <w:t>ółnocny, jako</w:t>
      </w:r>
      <w:r>
        <w:rPr>
          <w:rFonts w:eastAsia="Calibri"/>
          <w:szCs w:val="24"/>
        </w:rPr>
        <w:t xml:space="preserve"> jedyny miał wkład w </w:t>
      </w:r>
      <w:r w:rsidRPr="00F8189B">
        <w:rPr>
          <w:rFonts w:eastAsia="Calibri"/>
          <w:szCs w:val="24"/>
        </w:rPr>
        <w:t xml:space="preserve">wybudowanie/przebudowanie linii tramwajowych. Cel ten był priorytetowy w skali subregionu głównie ze względu na tendencje migracyjne w Subregionie oraz konieczność udrożnienia dróg miejskich w Częstochowie, będącej głównym miejscem pracy dla </w:t>
      </w:r>
      <w:r w:rsidR="005B5B67">
        <w:rPr>
          <w:rFonts w:eastAsia="Calibri"/>
          <w:szCs w:val="24"/>
        </w:rPr>
        <w:t>mieszkańców pozostałych ośrodków s</w:t>
      </w:r>
      <w:r w:rsidRPr="00F8189B">
        <w:rPr>
          <w:rFonts w:eastAsia="Calibri"/>
          <w:szCs w:val="24"/>
        </w:rPr>
        <w:t xml:space="preserve">ubregionu. </w:t>
      </w:r>
    </w:p>
    <w:p w14:paraId="4C63C9B6" w14:textId="54A3D8CB" w:rsidR="00F8189B" w:rsidRDefault="00F8189B" w:rsidP="00F8189B">
      <w:pPr>
        <w:spacing w:before="120" w:after="0" w:line="288" w:lineRule="auto"/>
        <w:jc w:val="both"/>
        <w:rPr>
          <w:szCs w:val="24"/>
        </w:rPr>
      </w:pPr>
      <w:r w:rsidRPr="00F8189B">
        <w:rPr>
          <w:szCs w:val="24"/>
        </w:rPr>
        <w:t>Mimo, iż punktowe, lokalizacyjne potrzeby bene</w:t>
      </w:r>
      <w:r>
        <w:rPr>
          <w:szCs w:val="24"/>
        </w:rPr>
        <w:t>ficjentów zostały zaspokojone w </w:t>
      </w:r>
      <w:r w:rsidRPr="00F8189B">
        <w:rPr>
          <w:szCs w:val="24"/>
        </w:rPr>
        <w:t>oczekiwanym stopniu</w:t>
      </w:r>
      <w:r w:rsidR="005B5B67">
        <w:rPr>
          <w:szCs w:val="24"/>
        </w:rPr>
        <w:t>,</w:t>
      </w:r>
      <w:r w:rsidRPr="00F8189B">
        <w:rPr>
          <w:szCs w:val="24"/>
        </w:rPr>
        <w:t xml:space="preserve"> nadal występuje konieczność kontynuacji inwes</w:t>
      </w:r>
      <w:r>
        <w:rPr>
          <w:szCs w:val="24"/>
        </w:rPr>
        <w:t>tycji drogowych w </w:t>
      </w:r>
      <w:r w:rsidRPr="00F8189B">
        <w:rPr>
          <w:szCs w:val="24"/>
        </w:rPr>
        <w:t xml:space="preserve">zakresie zwiększenia przepustowości kluczowych dróg, szczególnie w obliczu wzrastającej roli transportu towarowego. Według badania ewaluacyjnego ex – post pilną potrzebą jest także modernizacja sieci kolejowej i wymiana zdekapitalizowanego taboru komunikacji zbiorowej. Konieczne staje się wykorzystanie istniejącej sieci kolejowej do zwiększenia udziału tej gałęzi transportu w przewozie pasażerów, po uprzedniej rewitalizacji trakcji. </w:t>
      </w:r>
    </w:p>
    <w:p w14:paraId="3E1599FA" w14:textId="77777777" w:rsidR="00362619" w:rsidRPr="00F8189B" w:rsidRDefault="00362619" w:rsidP="00F8189B">
      <w:pPr>
        <w:spacing w:before="120" w:after="0" w:line="288" w:lineRule="auto"/>
        <w:jc w:val="both"/>
        <w:rPr>
          <w:szCs w:val="24"/>
        </w:rPr>
      </w:pPr>
    </w:p>
    <w:p w14:paraId="18F7F331" w14:textId="38BA71E5" w:rsidR="006935F7" w:rsidRPr="0094320D" w:rsidRDefault="00664322" w:rsidP="004914D8">
      <w:pPr>
        <w:pStyle w:val="Akapitzlist"/>
        <w:numPr>
          <w:ilvl w:val="2"/>
          <w:numId w:val="50"/>
        </w:numPr>
        <w:jc w:val="both"/>
        <w:rPr>
          <w:b/>
          <w:szCs w:val="24"/>
        </w:rPr>
      </w:pPr>
      <w:bookmarkStart w:id="478" w:name="_Toc419180287"/>
      <w:bookmarkStart w:id="479" w:name="_Toc423351805"/>
      <w:r w:rsidRPr="0094320D">
        <w:rPr>
          <w:b/>
          <w:szCs w:val="24"/>
        </w:rPr>
        <w:t>OPIS ISTOTNYCH PROBLEMÓW WE WDRAŻANIU WRAZ Z PODJĘTYMI ŚRODKAMI ZARADCZYMI</w:t>
      </w:r>
      <w:bookmarkEnd w:id="450"/>
      <w:bookmarkEnd w:id="451"/>
      <w:bookmarkEnd w:id="452"/>
      <w:bookmarkEnd w:id="453"/>
      <w:bookmarkEnd w:id="454"/>
      <w:bookmarkEnd w:id="478"/>
      <w:bookmarkEnd w:id="479"/>
    </w:p>
    <w:p w14:paraId="0679C5E7" w14:textId="6415C656" w:rsidR="00C46DB2" w:rsidRDefault="00F8189B" w:rsidP="00F8189B">
      <w:pPr>
        <w:pStyle w:val="Zwykytekst"/>
        <w:spacing w:after="120" w:line="276" w:lineRule="auto"/>
        <w:jc w:val="both"/>
        <w:rPr>
          <w:rFonts w:ascii="Times New Roman" w:hAnsi="Times New Roman"/>
          <w:sz w:val="24"/>
          <w:szCs w:val="24"/>
        </w:rPr>
      </w:pPr>
      <w:r w:rsidRPr="00F8189B">
        <w:rPr>
          <w:rFonts w:ascii="Times New Roman" w:hAnsi="Times New Roman"/>
          <w:sz w:val="24"/>
          <w:szCs w:val="24"/>
        </w:rPr>
        <w:t xml:space="preserve">W ramach priorytetu VII pojawiły się problemy z wdrażaniem programu </w:t>
      </w:r>
      <w:r>
        <w:rPr>
          <w:rFonts w:ascii="Times New Roman" w:hAnsi="Times New Roman"/>
          <w:sz w:val="24"/>
          <w:szCs w:val="24"/>
        </w:rPr>
        <w:t>związane z </w:t>
      </w:r>
      <w:r w:rsidRPr="00F8189B">
        <w:rPr>
          <w:rFonts w:ascii="Times New Roman" w:hAnsi="Times New Roman"/>
          <w:sz w:val="24"/>
          <w:szCs w:val="24"/>
        </w:rPr>
        <w:t xml:space="preserve">niedostosowaniem ustawodawstwa krajowego do ustawodawstwa unijnego w zakresie prawa ochrony środowiska, co spowodowało znaczne opóźnienia w uzyskaniu decyzji środowiskowych przez Beneficjentów, a tym samym </w:t>
      </w:r>
      <w:r w:rsidR="001D3D24">
        <w:rPr>
          <w:rFonts w:ascii="Times New Roman" w:hAnsi="Times New Roman"/>
          <w:sz w:val="24"/>
          <w:szCs w:val="24"/>
        </w:rPr>
        <w:t>opóźnienia w </w:t>
      </w:r>
      <w:bookmarkEnd w:id="420"/>
      <w:r w:rsidR="007B6B45">
        <w:rPr>
          <w:rFonts w:ascii="Times New Roman" w:hAnsi="Times New Roman"/>
          <w:sz w:val="24"/>
          <w:szCs w:val="24"/>
        </w:rPr>
        <w:t>kontraktacji.</w:t>
      </w:r>
    </w:p>
    <w:p w14:paraId="3266CA67" w14:textId="77777777" w:rsidR="00C46DB2" w:rsidRDefault="00C46DB2">
      <w:pPr>
        <w:spacing w:after="0" w:line="240" w:lineRule="auto"/>
        <w:rPr>
          <w:szCs w:val="24"/>
        </w:rPr>
      </w:pPr>
      <w:r>
        <w:rPr>
          <w:szCs w:val="24"/>
        </w:rPr>
        <w:br w:type="page"/>
      </w:r>
    </w:p>
    <w:p w14:paraId="1F9B7E73" w14:textId="2BD798B6" w:rsidR="001E1679" w:rsidRPr="001432FA" w:rsidRDefault="009449F6" w:rsidP="004914D8">
      <w:pPr>
        <w:pStyle w:val="Akapitzlist"/>
        <w:numPr>
          <w:ilvl w:val="1"/>
          <w:numId w:val="50"/>
        </w:numPr>
        <w:jc w:val="both"/>
        <w:rPr>
          <w:b/>
          <w:bCs/>
          <w:color w:val="538135" w:themeColor="accent6" w:themeShade="BF"/>
          <w:szCs w:val="24"/>
        </w:rPr>
      </w:pPr>
      <w:bookmarkStart w:id="480" w:name="_Toc419180291"/>
      <w:bookmarkStart w:id="481" w:name="_Toc423351809"/>
      <w:r w:rsidRPr="001432FA">
        <w:rPr>
          <w:b/>
          <w:bCs/>
          <w:color w:val="538135" w:themeColor="accent6" w:themeShade="BF"/>
          <w:szCs w:val="24"/>
        </w:rPr>
        <w:lastRenderedPageBreak/>
        <w:t xml:space="preserve">PRIORYTET VIII INFRASTRUKTURA EDUKACYJNA </w:t>
      </w:r>
    </w:p>
    <w:p w14:paraId="090A417B" w14:textId="77777777" w:rsidR="001E1679" w:rsidRPr="001E1679" w:rsidRDefault="001E1679" w:rsidP="001E1679">
      <w:pPr>
        <w:pStyle w:val="Akapitzlist"/>
        <w:ind w:left="360"/>
        <w:jc w:val="both"/>
        <w:rPr>
          <w:b/>
          <w:bCs/>
          <w:color w:val="0070C0"/>
          <w:szCs w:val="24"/>
        </w:rPr>
      </w:pPr>
    </w:p>
    <w:p w14:paraId="2B4ED313" w14:textId="6D32F221" w:rsidR="001E1679" w:rsidRDefault="001E1679" w:rsidP="001E1679">
      <w:pPr>
        <w:pStyle w:val="Akapitzlist"/>
        <w:ind w:left="0"/>
        <w:jc w:val="both"/>
        <w:rPr>
          <w:b/>
          <w:bCs/>
          <w:color w:val="0070C0"/>
          <w:szCs w:val="24"/>
        </w:rPr>
      </w:pPr>
      <w:r>
        <w:rPr>
          <w:noProof/>
        </w:rPr>
        <w:drawing>
          <wp:inline distT="0" distB="0" distL="0" distR="0" wp14:anchorId="567FDDD7" wp14:editId="18DB3B13">
            <wp:extent cx="5991225" cy="2484120"/>
            <wp:effectExtent l="0" t="0" r="9525" b="0"/>
            <wp:docPr id="36867" name="Obraz 7" descr="_DSC2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7" name="Obraz 7" descr="_DSC2891.jpg"/>
                    <pic:cNvPicPr>
                      <a:picLocks noChangeAspect="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91990" cy="2484437"/>
                    </a:xfrm>
                    <a:prstGeom prst="rect">
                      <a:avLst/>
                    </a:prstGeom>
                    <a:noFill/>
                    <a:ln>
                      <a:noFill/>
                    </a:ln>
                    <a:extLst/>
                  </pic:spPr>
                </pic:pic>
              </a:graphicData>
            </a:graphic>
          </wp:inline>
        </w:drawing>
      </w:r>
    </w:p>
    <w:p w14:paraId="02E061A4" w14:textId="77777777" w:rsidR="001E1679" w:rsidRPr="009449F6" w:rsidRDefault="001E1679" w:rsidP="001E1679">
      <w:pPr>
        <w:pStyle w:val="Akapitzlist"/>
        <w:ind w:left="360"/>
        <w:jc w:val="both"/>
        <w:rPr>
          <w:b/>
          <w:bCs/>
          <w:color w:val="0070C0"/>
          <w:szCs w:val="24"/>
        </w:rPr>
      </w:pPr>
    </w:p>
    <w:p w14:paraId="62165E03" w14:textId="77777777" w:rsidR="00BD6D3C" w:rsidRPr="0094320D" w:rsidRDefault="00BD6D3C" w:rsidP="004914D8">
      <w:pPr>
        <w:pStyle w:val="Akapitzlist"/>
        <w:numPr>
          <w:ilvl w:val="2"/>
          <w:numId w:val="50"/>
        </w:numPr>
        <w:jc w:val="both"/>
        <w:rPr>
          <w:b/>
          <w:bCs/>
          <w:szCs w:val="24"/>
        </w:rPr>
      </w:pPr>
      <w:r w:rsidRPr="0094320D">
        <w:rPr>
          <w:b/>
          <w:bCs/>
          <w:szCs w:val="24"/>
        </w:rPr>
        <w:t>OSIĄGNIĘCIE CELÓW I ANALIZA POSTĘPÓW</w:t>
      </w:r>
      <w:bookmarkEnd w:id="480"/>
      <w:bookmarkEnd w:id="481"/>
    </w:p>
    <w:p w14:paraId="0F219733" w14:textId="402A660A" w:rsidR="00BD6D3C" w:rsidRPr="0094320D" w:rsidRDefault="001E1679" w:rsidP="0094320D">
      <w:pPr>
        <w:jc w:val="both"/>
        <w:rPr>
          <w:b/>
          <w:szCs w:val="24"/>
        </w:rPr>
      </w:pPr>
      <w:r w:rsidRPr="0094320D">
        <w:rPr>
          <w:b/>
          <w:szCs w:val="24"/>
        </w:rPr>
        <w:t>Informacje ogólne</w:t>
      </w:r>
    </w:p>
    <w:p w14:paraId="16B2278B" w14:textId="77777777" w:rsidR="00BD6D3C" w:rsidRPr="0094320D" w:rsidRDefault="00BD6D3C" w:rsidP="0094320D">
      <w:pPr>
        <w:spacing w:before="240"/>
        <w:jc w:val="both"/>
        <w:rPr>
          <w:szCs w:val="24"/>
        </w:rPr>
      </w:pPr>
      <w:r w:rsidRPr="0094320D">
        <w:rPr>
          <w:szCs w:val="24"/>
        </w:rPr>
        <w:t xml:space="preserve">Celem głównym priorytetu VIII jest </w:t>
      </w:r>
      <w:r w:rsidRPr="0094320D">
        <w:rPr>
          <w:i/>
          <w:szCs w:val="24"/>
        </w:rPr>
        <w:t>stworzenie warunków do rozwoju społeczeństwa o wysokich kwalifikacjach zawodowych, poszukiwanych na rynku pracy</w:t>
      </w:r>
      <w:r w:rsidRPr="0094320D">
        <w:rPr>
          <w:szCs w:val="24"/>
        </w:rPr>
        <w:t>. W ramach priorytetu wspierane są projekty w zakresie szkolnictwa wyższego, infrastruktury oświatowej i infrastruktury kształcenia ustawicznego.</w:t>
      </w:r>
    </w:p>
    <w:p w14:paraId="4BA3B2D2" w14:textId="77777777" w:rsidR="00BD6D3C" w:rsidRPr="0094320D" w:rsidRDefault="00BD6D3C" w:rsidP="0094320D">
      <w:pPr>
        <w:spacing w:after="0"/>
        <w:jc w:val="both"/>
        <w:rPr>
          <w:szCs w:val="24"/>
        </w:rPr>
      </w:pPr>
      <w:r w:rsidRPr="0094320D">
        <w:rPr>
          <w:szCs w:val="24"/>
        </w:rPr>
        <w:t>Realizacji priorytetu służyć mają trzy działania:</w:t>
      </w:r>
    </w:p>
    <w:p w14:paraId="62100C63" w14:textId="77777777" w:rsidR="00BD6D3C" w:rsidRPr="0094320D" w:rsidRDefault="00BD6D3C" w:rsidP="0094320D">
      <w:pPr>
        <w:numPr>
          <w:ilvl w:val="0"/>
          <w:numId w:val="6"/>
        </w:numPr>
        <w:spacing w:after="0"/>
        <w:contextualSpacing/>
        <w:jc w:val="both"/>
        <w:rPr>
          <w:i/>
          <w:szCs w:val="24"/>
        </w:rPr>
      </w:pPr>
      <w:r w:rsidRPr="0094320D">
        <w:rPr>
          <w:i/>
          <w:szCs w:val="24"/>
        </w:rPr>
        <w:t>8.1 Infrastruktura szkolnictwa wyższego,</w:t>
      </w:r>
    </w:p>
    <w:p w14:paraId="1CB81399" w14:textId="77777777" w:rsidR="00BD6D3C" w:rsidRPr="0094320D" w:rsidRDefault="00BD6D3C" w:rsidP="0094320D">
      <w:pPr>
        <w:numPr>
          <w:ilvl w:val="0"/>
          <w:numId w:val="6"/>
        </w:numPr>
        <w:spacing w:after="0"/>
        <w:contextualSpacing/>
        <w:jc w:val="both"/>
        <w:rPr>
          <w:i/>
          <w:szCs w:val="24"/>
        </w:rPr>
      </w:pPr>
      <w:r w:rsidRPr="0094320D">
        <w:rPr>
          <w:i/>
          <w:szCs w:val="24"/>
        </w:rPr>
        <w:t>8.2 Infrastruktura placówek oświaty,</w:t>
      </w:r>
    </w:p>
    <w:p w14:paraId="5CD4A20E" w14:textId="77777777" w:rsidR="00BD6D3C" w:rsidRPr="0094320D" w:rsidRDefault="00BD6D3C" w:rsidP="0094320D">
      <w:pPr>
        <w:numPr>
          <w:ilvl w:val="0"/>
          <w:numId w:val="6"/>
        </w:numPr>
        <w:spacing w:after="0"/>
        <w:contextualSpacing/>
        <w:jc w:val="both"/>
        <w:rPr>
          <w:i/>
          <w:szCs w:val="24"/>
        </w:rPr>
      </w:pPr>
      <w:r w:rsidRPr="0094320D">
        <w:rPr>
          <w:i/>
          <w:szCs w:val="24"/>
        </w:rPr>
        <w:t>8.3 Infrastruktura kształcenia ustawicznego.</w:t>
      </w:r>
    </w:p>
    <w:p w14:paraId="6459EC3E" w14:textId="77777777" w:rsidR="00BD6D3C" w:rsidRPr="0094320D" w:rsidRDefault="00BD6D3C" w:rsidP="0094320D">
      <w:pPr>
        <w:spacing w:before="240"/>
        <w:jc w:val="both"/>
        <w:rPr>
          <w:i/>
          <w:szCs w:val="24"/>
        </w:rPr>
      </w:pPr>
      <w:r w:rsidRPr="0094320D">
        <w:rPr>
          <w:szCs w:val="24"/>
        </w:rPr>
        <w:t xml:space="preserve">Na realizację priorytetu VIII alokowano 82 480 000 EUR pochodzących z EFRR, co stanowi 5% wartości </w:t>
      </w:r>
      <w:r w:rsidRPr="0094320D">
        <w:rPr>
          <w:i/>
          <w:szCs w:val="24"/>
        </w:rPr>
        <w:t>Programu.</w:t>
      </w:r>
    </w:p>
    <w:p w14:paraId="68C8FBB6" w14:textId="77777777" w:rsidR="00BD6D3C" w:rsidRPr="0094320D" w:rsidRDefault="00BD6D3C" w:rsidP="0094320D">
      <w:pPr>
        <w:spacing w:after="120"/>
        <w:jc w:val="both"/>
        <w:rPr>
          <w:szCs w:val="24"/>
        </w:rPr>
      </w:pPr>
      <w:r w:rsidRPr="0094320D">
        <w:rPr>
          <w:szCs w:val="24"/>
        </w:rPr>
        <w:t>Opis wkładu osi priorytetowej w promowanie równości szans kobiet i mężczyzn znajduje się w pkt. 2.2.1 Sprawozdania.</w:t>
      </w:r>
    </w:p>
    <w:p w14:paraId="3C2B030C" w14:textId="365BAE59" w:rsidR="007B6B45" w:rsidRDefault="007B6B45" w:rsidP="0094320D">
      <w:pPr>
        <w:widowControl w:val="0"/>
        <w:autoSpaceDE w:val="0"/>
        <w:autoSpaceDN w:val="0"/>
        <w:adjustRightInd w:val="0"/>
        <w:spacing w:after="120"/>
        <w:ind w:right="-23"/>
        <w:jc w:val="both"/>
        <w:rPr>
          <w:b/>
          <w:szCs w:val="24"/>
        </w:rPr>
      </w:pPr>
      <w:r w:rsidRPr="0094320D">
        <w:rPr>
          <w:szCs w:val="24"/>
        </w:rPr>
        <w:t>W ramach priorytetu nie przewidziano finansowania krzyżowego</w:t>
      </w:r>
      <w:r>
        <w:rPr>
          <w:b/>
          <w:szCs w:val="24"/>
        </w:rPr>
        <w:t>.</w:t>
      </w:r>
    </w:p>
    <w:p w14:paraId="2EB8C2FA" w14:textId="5920AE83" w:rsidR="00BD6D3C" w:rsidRDefault="001E1679" w:rsidP="0094320D">
      <w:pPr>
        <w:widowControl w:val="0"/>
        <w:autoSpaceDE w:val="0"/>
        <w:autoSpaceDN w:val="0"/>
        <w:adjustRightInd w:val="0"/>
        <w:spacing w:after="120"/>
        <w:ind w:right="-23"/>
        <w:jc w:val="both"/>
        <w:rPr>
          <w:b/>
          <w:szCs w:val="24"/>
        </w:rPr>
      </w:pPr>
      <w:r w:rsidRPr="0094320D">
        <w:rPr>
          <w:b/>
          <w:szCs w:val="24"/>
        </w:rPr>
        <w:t>Analiza postępu finansowego</w:t>
      </w:r>
    </w:p>
    <w:p w14:paraId="39FB0EEF" w14:textId="58663CA6" w:rsidR="001E1679" w:rsidRPr="001E1679" w:rsidRDefault="001E1679" w:rsidP="001E1679">
      <w:pPr>
        <w:spacing w:after="120"/>
        <w:jc w:val="both"/>
        <w:rPr>
          <w:szCs w:val="24"/>
        </w:rPr>
      </w:pPr>
      <w:r w:rsidRPr="001E1679">
        <w:rPr>
          <w:szCs w:val="24"/>
        </w:rPr>
        <w:t xml:space="preserve">W ramach przedmiotowego priorytetu złożono 296 wniosków o dofinansowanie poprawnych formalnie, na kwotę wnioskowanego dofinansowania 275,01 mln EUR, co stanowi 333,43 % alokacji priorytetu. Do dofinansowania wybrano 112 projektów o łącznej wartości dofinansowania 103,89  mln EUR. </w:t>
      </w:r>
    </w:p>
    <w:p w14:paraId="02F7B44D" w14:textId="0B731DF9" w:rsidR="001E1679" w:rsidRPr="001E1679" w:rsidRDefault="001E1679" w:rsidP="001E1679">
      <w:pPr>
        <w:jc w:val="both"/>
        <w:rPr>
          <w:rFonts w:ascii="Arial" w:hAnsi="Arial" w:cs="Arial"/>
          <w:sz w:val="25"/>
          <w:szCs w:val="25"/>
        </w:rPr>
      </w:pPr>
      <w:r w:rsidRPr="001E1679">
        <w:rPr>
          <w:szCs w:val="24"/>
        </w:rPr>
        <w:t xml:space="preserve">Podpisano 111 umów o dofinansowanie. Łączna wartość dofinansowania umów wynosi 86,15 mln EUR, co stanowi 104,46 % alokacji  na priorytet. </w:t>
      </w:r>
    </w:p>
    <w:p w14:paraId="0BFE8E98" w14:textId="2207B9A6" w:rsidR="001E1679" w:rsidRPr="001E1679" w:rsidRDefault="001E1679" w:rsidP="001E1679">
      <w:pPr>
        <w:spacing w:after="120"/>
        <w:jc w:val="both"/>
        <w:rPr>
          <w:szCs w:val="24"/>
        </w:rPr>
      </w:pPr>
      <w:r w:rsidRPr="001E1679">
        <w:rPr>
          <w:szCs w:val="24"/>
        </w:rPr>
        <w:lastRenderedPageBreak/>
        <w:t>Na koniec 2016 roku certyfikowano wydatki na kwotę 89,4</w:t>
      </w:r>
      <w:r w:rsidR="00830FB1">
        <w:rPr>
          <w:szCs w:val="24"/>
        </w:rPr>
        <w:t>2</w:t>
      </w:r>
      <w:r w:rsidRPr="001E1679">
        <w:rPr>
          <w:szCs w:val="24"/>
        </w:rPr>
        <w:t xml:space="preserve"> mln EUR, co stanowi 108,4</w:t>
      </w:r>
      <w:r w:rsidR="00F74234">
        <w:rPr>
          <w:szCs w:val="24"/>
        </w:rPr>
        <w:t>1</w:t>
      </w:r>
      <w:r w:rsidRPr="001E1679">
        <w:rPr>
          <w:szCs w:val="24"/>
        </w:rPr>
        <w:t xml:space="preserve"> % alokacji. </w:t>
      </w:r>
    </w:p>
    <w:p w14:paraId="78AD48B7" w14:textId="69348A5B" w:rsidR="001E1679" w:rsidRDefault="001E1679" w:rsidP="001E1679">
      <w:pPr>
        <w:spacing w:after="0"/>
        <w:jc w:val="both"/>
        <w:rPr>
          <w:szCs w:val="24"/>
        </w:rPr>
      </w:pPr>
      <w:r>
        <w:rPr>
          <w:szCs w:val="24"/>
        </w:rPr>
        <w:t>Na poniższym wykresie przedstawiono ogólną informację dot. postępu realizacji priorytetu VII</w:t>
      </w:r>
      <w:r w:rsidR="005B5B67">
        <w:rPr>
          <w:szCs w:val="24"/>
        </w:rPr>
        <w:t>I</w:t>
      </w:r>
      <w:r>
        <w:rPr>
          <w:szCs w:val="24"/>
        </w:rPr>
        <w:t xml:space="preserve"> na koniec 2016 roku oraz poziom wykorzystania alokacji.</w:t>
      </w:r>
    </w:p>
    <w:p w14:paraId="3BF05C06" w14:textId="77777777" w:rsidR="001E1679" w:rsidRDefault="001E1679" w:rsidP="001E1679">
      <w:pPr>
        <w:spacing w:after="0"/>
        <w:jc w:val="both"/>
        <w:rPr>
          <w:szCs w:val="24"/>
        </w:rPr>
      </w:pPr>
    </w:p>
    <w:p w14:paraId="2D3C3ACF" w14:textId="25469A89" w:rsidR="001E1679" w:rsidRPr="0094320D" w:rsidRDefault="001E1679" w:rsidP="001E1679">
      <w:pPr>
        <w:pStyle w:val="Legenda"/>
        <w:rPr>
          <w:b w:val="0"/>
          <w:szCs w:val="24"/>
        </w:rPr>
      </w:pPr>
      <w:r>
        <w:rPr>
          <w:noProof/>
        </w:rPr>
        <w:drawing>
          <wp:inline distT="0" distB="0" distL="0" distR="0" wp14:anchorId="75E6AB14" wp14:editId="06AA30D3">
            <wp:extent cx="6067425" cy="3328670"/>
            <wp:effectExtent l="0" t="0" r="0" b="5080"/>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141A504A" w14:textId="1F6EBA6B" w:rsidR="001E1679" w:rsidRDefault="004D7598" w:rsidP="004D7598">
      <w:pPr>
        <w:pStyle w:val="Legenda"/>
        <w:rPr>
          <w:b w:val="0"/>
          <w:i/>
          <w:color w:val="auto"/>
          <w:sz w:val="20"/>
          <w:szCs w:val="20"/>
        </w:rPr>
      </w:pPr>
      <w:bookmarkStart w:id="482" w:name="_Toc476832972"/>
      <w:r w:rsidRPr="00A44293">
        <w:rPr>
          <w:color w:val="auto"/>
        </w:rPr>
        <w:t xml:space="preserve">Rysunek </w:t>
      </w:r>
      <w:r w:rsidR="00A44293" w:rsidRPr="00A44293">
        <w:rPr>
          <w:color w:val="auto"/>
        </w:rPr>
        <w:fldChar w:fldCharType="begin"/>
      </w:r>
      <w:r w:rsidR="00A44293" w:rsidRPr="00A44293">
        <w:rPr>
          <w:color w:val="auto"/>
        </w:rPr>
        <w:instrText xml:space="preserve"> SEQ Rysunek \* ARABIC </w:instrText>
      </w:r>
      <w:r w:rsidR="00A44293" w:rsidRPr="00A44293">
        <w:rPr>
          <w:color w:val="auto"/>
        </w:rPr>
        <w:fldChar w:fldCharType="separate"/>
      </w:r>
      <w:r w:rsidR="0050297D">
        <w:rPr>
          <w:noProof/>
          <w:color w:val="auto"/>
        </w:rPr>
        <w:t>54</w:t>
      </w:r>
      <w:r w:rsidR="00A44293" w:rsidRPr="00A44293">
        <w:rPr>
          <w:noProof/>
          <w:color w:val="auto"/>
        </w:rPr>
        <w:fldChar w:fldCharType="end"/>
      </w:r>
      <w:r>
        <w:t xml:space="preserve"> </w:t>
      </w:r>
      <w:r w:rsidR="005D38A0">
        <w:rPr>
          <w:b w:val="0"/>
          <w:i/>
          <w:color w:val="auto"/>
          <w:sz w:val="20"/>
          <w:szCs w:val="20"/>
        </w:rPr>
        <w:t>Postęp finansowy priorytetu VIII</w:t>
      </w:r>
      <w:bookmarkEnd w:id="482"/>
    </w:p>
    <w:p w14:paraId="38394535" w14:textId="32BA9126" w:rsidR="001E1679" w:rsidRPr="005D38A0" w:rsidRDefault="003E508E" w:rsidP="001E1679">
      <w:r>
        <w:t>Poniżej przedstawiono postęp realizacji priorytetu w podziale na działania</w:t>
      </w:r>
    </w:p>
    <w:p w14:paraId="0820D919" w14:textId="28B567B0" w:rsidR="001E1679" w:rsidRPr="003E508E" w:rsidRDefault="004D7598" w:rsidP="004D7598">
      <w:pPr>
        <w:pStyle w:val="Legenda"/>
        <w:rPr>
          <w:color w:val="auto"/>
          <w:sz w:val="20"/>
          <w:szCs w:val="20"/>
        </w:rPr>
      </w:pPr>
      <w:bookmarkStart w:id="483" w:name="_Toc476131817"/>
      <w:r w:rsidRPr="00A44293">
        <w:rPr>
          <w:color w:val="auto"/>
        </w:rPr>
        <w:t xml:space="preserve">Tabela </w:t>
      </w:r>
      <w:r w:rsidR="00A44293" w:rsidRPr="00A44293">
        <w:rPr>
          <w:color w:val="auto"/>
        </w:rPr>
        <w:fldChar w:fldCharType="begin"/>
      </w:r>
      <w:r w:rsidR="00A44293" w:rsidRPr="00A44293">
        <w:rPr>
          <w:color w:val="auto"/>
        </w:rPr>
        <w:instrText xml:space="preserve"> SEQ Tabela \* ARABIC </w:instrText>
      </w:r>
      <w:r w:rsidR="00A44293" w:rsidRPr="00A44293">
        <w:rPr>
          <w:color w:val="auto"/>
        </w:rPr>
        <w:fldChar w:fldCharType="separate"/>
      </w:r>
      <w:r w:rsidR="0050297D">
        <w:rPr>
          <w:noProof/>
          <w:color w:val="auto"/>
        </w:rPr>
        <w:t>34</w:t>
      </w:r>
      <w:r w:rsidR="00A44293" w:rsidRPr="00A44293">
        <w:rPr>
          <w:noProof/>
          <w:color w:val="auto"/>
        </w:rPr>
        <w:fldChar w:fldCharType="end"/>
      </w:r>
      <w:r>
        <w:t xml:space="preserve"> </w:t>
      </w:r>
      <w:r w:rsidR="003E508E" w:rsidRPr="003E508E">
        <w:rPr>
          <w:b w:val="0"/>
          <w:i/>
          <w:color w:val="auto"/>
          <w:sz w:val="20"/>
          <w:szCs w:val="20"/>
        </w:rPr>
        <w:t xml:space="preserve">Postęp </w:t>
      </w:r>
      <w:r w:rsidR="00A44293">
        <w:rPr>
          <w:b w:val="0"/>
          <w:i/>
          <w:color w:val="auto"/>
          <w:sz w:val="20"/>
          <w:szCs w:val="20"/>
        </w:rPr>
        <w:t>finansowy</w:t>
      </w:r>
      <w:r w:rsidR="003E508E" w:rsidRPr="003E508E">
        <w:rPr>
          <w:b w:val="0"/>
          <w:i/>
          <w:color w:val="auto"/>
          <w:sz w:val="20"/>
          <w:szCs w:val="20"/>
        </w:rPr>
        <w:t xml:space="preserve"> priorytetu</w:t>
      </w:r>
      <w:r w:rsidR="003A31E7">
        <w:rPr>
          <w:b w:val="0"/>
          <w:i/>
          <w:color w:val="auto"/>
          <w:sz w:val="20"/>
          <w:szCs w:val="20"/>
        </w:rPr>
        <w:t xml:space="preserve"> VIII</w:t>
      </w:r>
      <w:r w:rsidR="003E508E" w:rsidRPr="003E508E">
        <w:rPr>
          <w:b w:val="0"/>
          <w:i/>
          <w:color w:val="auto"/>
          <w:sz w:val="20"/>
          <w:szCs w:val="20"/>
        </w:rPr>
        <w:t xml:space="preserve"> w podziale na działania</w:t>
      </w:r>
      <w:bookmarkEnd w:id="483"/>
    </w:p>
    <w:tbl>
      <w:tblPr>
        <w:tblStyle w:val="Tabelalisty3akcent61"/>
        <w:tblW w:w="10164" w:type="dxa"/>
        <w:jc w:val="center"/>
        <w:tblLook w:val="04A0" w:firstRow="1" w:lastRow="0" w:firstColumn="1" w:lastColumn="0" w:noHBand="0" w:noVBand="1"/>
      </w:tblPr>
      <w:tblGrid>
        <w:gridCol w:w="1124"/>
        <w:gridCol w:w="1134"/>
        <w:gridCol w:w="1134"/>
        <w:gridCol w:w="1134"/>
        <w:gridCol w:w="1134"/>
        <w:gridCol w:w="1134"/>
        <w:gridCol w:w="709"/>
        <w:gridCol w:w="857"/>
        <w:gridCol w:w="844"/>
        <w:gridCol w:w="960"/>
      </w:tblGrid>
      <w:tr w:rsidR="003E508E" w:rsidRPr="001E1679" w14:paraId="0F5D6AF4" w14:textId="77777777" w:rsidTr="001432FA">
        <w:trPr>
          <w:cnfStyle w:val="100000000000" w:firstRow="1" w:lastRow="0" w:firstColumn="0" w:lastColumn="0" w:oddVBand="0" w:evenVBand="0" w:oddHBand="0" w:evenHBand="0" w:firstRowFirstColumn="0" w:firstRowLastColumn="0" w:lastRowFirstColumn="0" w:lastRowLastColumn="0"/>
          <w:trHeight w:val="1451"/>
          <w:jc w:val="center"/>
        </w:trPr>
        <w:tc>
          <w:tcPr>
            <w:cnfStyle w:val="001000000100" w:firstRow="0" w:lastRow="0" w:firstColumn="1" w:lastColumn="0" w:oddVBand="0" w:evenVBand="0" w:oddHBand="0" w:evenHBand="0" w:firstRowFirstColumn="1" w:firstRowLastColumn="0" w:lastRowFirstColumn="0" w:lastRowLastColumn="0"/>
            <w:tcW w:w="1124" w:type="dxa"/>
            <w:vMerge w:val="restart"/>
            <w:noWrap/>
            <w:textDirection w:val="btLr"/>
            <w:vAlign w:val="center"/>
            <w:hideMark/>
          </w:tcPr>
          <w:p w14:paraId="05AEDF40" w14:textId="18DBA599" w:rsidR="001E1679" w:rsidRPr="001432FA" w:rsidRDefault="001D040C" w:rsidP="001432FA">
            <w:pPr>
              <w:spacing w:after="0" w:line="240" w:lineRule="auto"/>
              <w:ind w:left="113" w:right="113"/>
              <w:jc w:val="center"/>
              <w:rPr>
                <w:bCs w:val="0"/>
                <w:color w:val="000000"/>
                <w:sz w:val="20"/>
                <w:szCs w:val="20"/>
              </w:rPr>
            </w:pPr>
            <w:r w:rsidRPr="001432FA">
              <w:rPr>
                <w:bCs w:val="0"/>
                <w:color w:val="000000"/>
                <w:sz w:val="20"/>
                <w:szCs w:val="20"/>
              </w:rPr>
              <w:t>DZIAŁANIE</w:t>
            </w:r>
          </w:p>
        </w:tc>
        <w:tc>
          <w:tcPr>
            <w:tcW w:w="1134" w:type="dxa"/>
            <w:vMerge w:val="restart"/>
            <w:textDirection w:val="btLr"/>
            <w:vAlign w:val="center"/>
            <w:hideMark/>
          </w:tcPr>
          <w:p w14:paraId="20B74D21" w14:textId="09E412D9" w:rsidR="001E1679" w:rsidRPr="001432FA" w:rsidRDefault="001D040C" w:rsidP="001432FA">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432FA">
              <w:rPr>
                <w:bCs w:val="0"/>
                <w:color w:val="000000"/>
                <w:sz w:val="20"/>
                <w:szCs w:val="20"/>
              </w:rPr>
              <w:t>ALOKACJA MLN EUR</w:t>
            </w:r>
          </w:p>
        </w:tc>
        <w:tc>
          <w:tcPr>
            <w:tcW w:w="2268" w:type="dxa"/>
            <w:gridSpan w:val="2"/>
            <w:vAlign w:val="center"/>
            <w:hideMark/>
          </w:tcPr>
          <w:p w14:paraId="3316AB47" w14:textId="42B2AC6D" w:rsidR="001E1679" w:rsidRPr="001432FA" w:rsidRDefault="001D040C"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432FA">
              <w:rPr>
                <w:bCs w:val="0"/>
                <w:color w:val="000000"/>
                <w:sz w:val="20"/>
                <w:szCs w:val="20"/>
              </w:rPr>
              <w:t>WNIOSKI WYBRANE DO DOFINANSOWANIA</w:t>
            </w:r>
          </w:p>
        </w:tc>
        <w:tc>
          <w:tcPr>
            <w:tcW w:w="2268" w:type="dxa"/>
            <w:gridSpan w:val="2"/>
            <w:vAlign w:val="center"/>
            <w:hideMark/>
          </w:tcPr>
          <w:p w14:paraId="07B596CB" w14:textId="65B470D2" w:rsidR="001E1679" w:rsidRPr="001432FA" w:rsidRDefault="001D040C"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432FA">
              <w:rPr>
                <w:bCs w:val="0"/>
                <w:color w:val="000000"/>
                <w:sz w:val="20"/>
                <w:szCs w:val="20"/>
              </w:rPr>
              <w:t>KONTRAKTACJA</w:t>
            </w:r>
          </w:p>
        </w:tc>
        <w:tc>
          <w:tcPr>
            <w:tcW w:w="1566" w:type="dxa"/>
            <w:gridSpan w:val="2"/>
            <w:noWrap/>
            <w:vAlign w:val="center"/>
            <w:hideMark/>
          </w:tcPr>
          <w:p w14:paraId="5C668E9C" w14:textId="34DDC22C" w:rsidR="001E1679" w:rsidRPr="001432FA" w:rsidRDefault="001D040C"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432FA">
              <w:rPr>
                <w:bCs w:val="0"/>
                <w:color w:val="000000"/>
                <w:sz w:val="20"/>
                <w:szCs w:val="20"/>
              </w:rPr>
              <w:t>PŁATNOŚCI</w:t>
            </w:r>
          </w:p>
        </w:tc>
        <w:tc>
          <w:tcPr>
            <w:tcW w:w="1804" w:type="dxa"/>
            <w:gridSpan w:val="2"/>
            <w:noWrap/>
            <w:vAlign w:val="center"/>
            <w:hideMark/>
          </w:tcPr>
          <w:p w14:paraId="6579DE98" w14:textId="49E72B84" w:rsidR="001E1679" w:rsidRPr="001432FA" w:rsidRDefault="001D040C"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1432FA">
              <w:rPr>
                <w:bCs w:val="0"/>
                <w:color w:val="000000"/>
                <w:sz w:val="20"/>
                <w:szCs w:val="20"/>
              </w:rPr>
              <w:t>CERTYFIKACJA</w:t>
            </w:r>
          </w:p>
        </w:tc>
      </w:tr>
      <w:tr w:rsidR="003E508E" w:rsidRPr="001E1679" w14:paraId="335BEFB5" w14:textId="77777777" w:rsidTr="001432FA">
        <w:trPr>
          <w:cnfStyle w:val="000000100000" w:firstRow="0" w:lastRow="0" w:firstColumn="0" w:lastColumn="0" w:oddVBand="0" w:evenVBand="0" w:oddHBand="1" w:evenHBand="0" w:firstRowFirstColumn="0" w:firstRowLastColumn="0" w:lastRowFirstColumn="0" w:lastRowLastColumn="0"/>
          <w:trHeight w:val="537"/>
          <w:jc w:val="center"/>
        </w:trPr>
        <w:tc>
          <w:tcPr>
            <w:cnfStyle w:val="001000000000" w:firstRow="0" w:lastRow="0" w:firstColumn="1" w:lastColumn="0" w:oddVBand="0" w:evenVBand="0" w:oddHBand="0" w:evenHBand="0" w:firstRowFirstColumn="0" w:firstRowLastColumn="0" w:lastRowFirstColumn="0" w:lastRowLastColumn="0"/>
            <w:tcW w:w="1124" w:type="dxa"/>
            <w:vMerge/>
            <w:vAlign w:val="center"/>
            <w:hideMark/>
          </w:tcPr>
          <w:p w14:paraId="0DDCBE2D" w14:textId="77777777" w:rsidR="001E1679" w:rsidRPr="001E1679" w:rsidRDefault="001E1679" w:rsidP="001432FA">
            <w:pPr>
              <w:spacing w:after="0" w:line="240" w:lineRule="auto"/>
              <w:jc w:val="center"/>
              <w:rPr>
                <w:b w:val="0"/>
                <w:bCs w:val="0"/>
                <w:color w:val="000000"/>
                <w:sz w:val="20"/>
                <w:szCs w:val="20"/>
              </w:rPr>
            </w:pPr>
          </w:p>
        </w:tc>
        <w:tc>
          <w:tcPr>
            <w:tcW w:w="1134" w:type="dxa"/>
            <w:vMerge/>
            <w:vAlign w:val="center"/>
            <w:hideMark/>
          </w:tcPr>
          <w:p w14:paraId="68788C47"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1134" w:type="dxa"/>
            <w:vAlign w:val="center"/>
            <w:hideMark/>
          </w:tcPr>
          <w:p w14:paraId="73AA6804"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mln EUR</w:t>
            </w:r>
          </w:p>
        </w:tc>
        <w:tc>
          <w:tcPr>
            <w:tcW w:w="1134" w:type="dxa"/>
            <w:vAlign w:val="center"/>
            <w:hideMark/>
          </w:tcPr>
          <w:p w14:paraId="6B6554B1"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w:t>
            </w:r>
          </w:p>
        </w:tc>
        <w:tc>
          <w:tcPr>
            <w:tcW w:w="1134" w:type="dxa"/>
            <w:vAlign w:val="center"/>
            <w:hideMark/>
          </w:tcPr>
          <w:p w14:paraId="296EF23A"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mln EUR</w:t>
            </w:r>
          </w:p>
        </w:tc>
        <w:tc>
          <w:tcPr>
            <w:tcW w:w="1134" w:type="dxa"/>
            <w:vAlign w:val="center"/>
            <w:hideMark/>
          </w:tcPr>
          <w:p w14:paraId="204F7284"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w:t>
            </w:r>
          </w:p>
        </w:tc>
        <w:tc>
          <w:tcPr>
            <w:tcW w:w="709" w:type="dxa"/>
            <w:vAlign w:val="center"/>
            <w:hideMark/>
          </w:tcPr>
          <w:p w14:paraId="22E8E475"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mln EUR</w:t>
            </w:r>
          </w:p>
        </w:tc>
        <w:tc>
          <w:tcPr>
            <w:tcW w:w="857" w:type="dxa"/>
            <w:vAlign w:val="center"/>
            <w:hideMark/>
          </w:tcPr>
          <w:p w14:paraId="5B912050"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w:t>
            </w:r>
          </w:p>
        </w:tc>
        <w:tc>
          <w:tcPr>
            <w:tcW w:w="844" w:type="dxa"/>
            <w:vAlign w:val="center"/>
            <w:hideMark/>
          </w:tcPr>
          <w:p w14:paraId="699185A9"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mln EUR</w:t>
            </w:r>
          </w:p>
        </w:tc>
        <w:tc>
          <w:tcPr>
            <w:tcW w:w="960" w:type="dxa"/>
            <w:vAlign w:val="center"/>
            <w:hideMark/>
          </w:tcPr>
          <w:p w14:paraId="0EC1941E"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1E1679">
              <w:rPr>
                <w:b/>
                <w:bCs/>
                <w:color w:val="000000"/>
                <w:sz w:val="20"/>
                <w:szCs w:val="20"/>
              </w:rPr>
              <w:t>%</w:t>
            </w:r>
          </w:p>
        </w:tc>
      </w:tr>
      <w:tr w:rsidR="003E508E" w:rsidRPr="001E1679" w14:paraId="456109FD" w14:textId="77777777" w:rsidTr="001432FA">
        <w:trPr>
          <w:trHeight w:val="300"/>
          <w:jc w:val="center"/>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6907BE0E" w14:textId="77777777" w:rsidR="001E1679" w:rsidRPr="001E1679" w:rsidRDefault="001E1679" w:rsidP="001432FA">
            <w:pPr>
              <w:spacing w:after="0" w:line="240" w:lineRule="auto"/>
              <w:jc w:val="center"/>
              <w:rPr>
                <w:color w:val="000000"/>
                <w:sz w:val="20"/>
                <w:szCs w:val="20"/>
              </w:rPr>
            </w:pPr>
            <w:r w:rsidRPr="001E1679">
              <w:rPr>
                <w:color w:val="000000"/>
                <w:sz w:val="20"/>
                <w:szCs w:val="20"/>
              </w:rPr>
              <w:t>8.1</w:t>
            </w:r>
          </w:p>
        </w:tc>
        <w:tc>
          <w:tcPr>
            <w:tcW w:w="1134" w:type="dxa"/>
            <w:noWrap/>
            <w:vAlign w:val="center"/>
            <w:hideMark/>
          </w:tcPr>
          <w:p w14:paraId="69130DFA" w14:textId="1D69E974" w:rsidR="001E1679" w:rsidRPr="001E1679" w:rsidRDefault="00C963D4"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41,67 </w:t>
            </w:r>
          </w:p>
        </w:tc>
        <w:tc>
          <w:tcPr>
            <w:tcW w:w="1134" w:type="dxa"/>
            <w:noWrap/>
            <w:vAlign w:val="center"/>
            <w:hideMark/>
          </w:tcPr>
          <w:p w14:paraId="1B0C296E"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E1679">
              <w:rPr>
                <w:color w:val="000000"/>
                <w:sz w:val="20"/>
                <w:szCs w:val="20"/>
              </w:rPr>
              <w:t>45,28</w:t>
            </w:r>
          </w:p>
        </w:tc>
        <w:tc>
          <w:tcPr>
            <w:tcW w:w="1134" w:type="dxa"/>
            <w:noWrap/>
            <w:vAlign w:val="center"/>
            <w:hideMark/>
          </w:tcPr>
          <w:p w14:paraId="3C9E333C" w14:textId="1C857738"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108,33</w:t>
            </w:r>
          </w:p>
        </w:tc>
        <w:tc>
          <w:tcPr>
            <w:tcW w:w="1134" w:type="dxa"/>
            <w:noWrap/>
            <w:vAlign w:val="center"/>
            <w:hideMark/>
          </w:tcPr>
          <w:p w14:paraId="1C204935"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E1679">
              <w:rPr>
                <w:color w:val="000000"/>
                <w:sz w:val="20"/>
                <w:szCs w:val="20"/>
              </w:rPr>
              <w:t>39,92</w:t>
            </w:r>
          </w:p>
        </w:tc>
        <w:tc>
          <w:tcPr>
            <w:tcW w:w="1134" w:type="dxa"/>
            <w:noWrap/>
            <w:vAlign w:val="center"/>
            <w:hideMark/>
          </w:tcPr>
          <w:p w14:paraId="1DA549E0" w14:textId="7E55FE28"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95,50</w:t>
            </w:r>
          </w:p>
        </w:tc>
        <w:tc>
          <w:tcPr>
            <w:tcW w:w="709" w:type="dxa"/>
            <w:noWrap/>
            <w:vAlign w:val="center"/>
            <w:hideMark/>
          </w:tcPr>
          <w:p w14:paraId="690FE51F"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E1679">
              <w:rPr>
                <w:color w:val="000000"/>
                <w:sz w:val="20"/>
                <w:szCs w:val="20"/>
              </w:rPr>
              <w:t>39,48</w:t>
            </w:r>
          </w:p>
        </w:tc>
        <w:tc>
          <w:tcPr>
            <w:tcW w:w="857" w:type="dxa"/>
            <w:noWrap/>
            <w:vAlign w:val="center"/>
            <w:hideMark/>
          </w:tcPr>
          <w:p w14:paraId="21D5D2CB" w14:textId="1DF41537"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94,45</w:t>
            </w:r>
          </w:p>
        </w:tc>
        <w:tc>
          <w:tcPr>
            <w:tcW w:w="844" w:type="dxa"/>
            <w:noWrap/>
            <w:vAlign w:val="center"/>
            <w:hideMark/>
          </w:tcPr>
          <w:p w14:paraId="23048B3E" w14:textId="032DB9F2" w:rsidR="001E1679" w:rsidRPr="001E1679" w:rsidRDefault="00C963D4"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41,56 </w:t>
            </w:r>
          </w:p>
        </w:tc>
        <w:tc>
          <w:tcPr>
            <w:tcW w:w="960" w:type="dxa"/>
            <w:noWrap/>
            <w:vAlign w:val="center"/>
            <w:hideMark/>
          </w:tcPr>
          <w:p w14:paraId="005E86AB" w14:textId="08EAFFEB" w:rsidR="001E1679" w:rsidRPr="001E1679" w:rsidRDefault="00C963D4"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99,7</w:t>
            </w:r>
            <w:r w:rsidR="00F64529">
              <w:rPr>
                <w:color w:val="000000"/>
                <w:sz w:val="20"/>
                <w:szCs w:val="20"/>
              </w:rPr>
              <w:t>1</w:t>
            </w:r>
            <w:r>
              <w:rPr>
                <w:color w:val="000000"/>
                <w:sz w:val="20"/>
                <w:szCs w:val="20"/>
              </w:rPr>
              <w:t xml:space="preserve"> </w:t>
            </w:r>
          </w:p>
        </w:tc>
      </w:tr>
      <w:tr w:rsidR="003E508E" w:rsidRPr="001E1679" w14:paraId="3CC76861" w14:textId="77777777" w:rsidTr="001432F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36C90DC6" w14:textId="77777777" w:rsidR="001E1679" w:rsidRPr="001E1679" w:rsidRDefault="001E1679" w:rsidP="001432FA">
            <w:pPr>
              <w:spacing w:after="0" w:line="240" w:lineRule="auto"/>
              <w:jc w:val="center"/>
              <w:rPr>
                <w:color w:val="000000"/>
                <w:sz w:val="20"/>
                <w:szCs w:val="20"/>
              </w:rPr>
            </w:pPr>
            <w:r w:rsidRPr="001E1679">
              <w:rPr>
                <w:color w:val="000000"/>
                <w:sz w:val="20"/>
                <w:szCs w:val="20"/>
              </w:rPr>
              <w:t>8.2</w:t>
            </w:r>
          </w:p>
        </w:tc>
        <w:tc>
          <w:tcPr>
            <w:tcW w:w="1134" w:type="dxa"/>
            <w:noWrap/>
            <w:vAlign w:val="center"/>
            <w:hideMark/>
          </w:tcPr>
          <w:p w14:paraId="5A222524" w14:textId="3A6895DB" w:rsidR="001E1679" w:rsidRPr="001E1679" w:rsidRDefault="00C963D4"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32,84 </w:t>
            </w:r>
          </w:p>
        </w:tc>
        <w:tc>
          <w:tcPr>
            <w:tcW w:w="1134" w:type="dxa"/>
            <w:noWrap/>
            <w:vAlign w:val="center"/>
            <w:hideMark/>
          </w:tcPr>
          <w:p w14:paraId="6AF7C977"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E1679">
              <w:rPr>
                <w:color w:val="000000"/>
                <w:sz w:val="20"/>
                <w:szCs w:val="20"/>
              </w:rPr>
              <w:t>49,15</w:t>
            </w:r>
          </w:p>
        </w:tc>
        <w:tc>
          <w:tcPr>
            <w:tcW w:w="1134" w:type="dxa"/>
            <w:noWrap/>
            <w:vAlign w:val="center"/>
            <w:hideMark/>
          </w:tcPr>
          <w:p w14:paraId="3EF8CFF1" w14:textId="025217FE" w:rsidR="001E1679" w:rsidRPr="001E1679"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150,26</w:t>
            </w:r>
          </w:p>
        </w:tc>
        <w:tc>
          <w:tcPr>
            <w:tcW w:w="1134" w:type="dxa"/>
            <w:noWrap/>
            <w:vAlign w:val="center"/>
            <w:hideMark/>
          </w:tcPr>
          <w:p w14:paraId="6A4E382D"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E1679">
              <w:rPr>
                <w:color w:val="000000"/>
                <w:sz w:val="20"/>
                <w:szCs w:val="20"/>
              </w:rPr>
              <w:t>38,71</w:t>
            </w:r>
          </w:p>
        </w:tc>
        <w:tc>
          <w:tcPr>
            <w:tcW w:w="1134" w:type="dxa"/>
            <w:noWrap/>
            <w:vAlign w:val="center"/>
            <w:hideMark/>
          </w:tcPr>
          <w:p w14:paraId="55CDF834" w14:textId="4C6A3AEA" w:rsidR="001E1679" w:rsidRPr="001E1679"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118,34</w:t>
            </w:r>
          </w:p>
        </w:tc>
        <w:tc>
          <w:tcPr>
            <w:tcW w:w="709" w:type="dxa"/>
            <w:noWrap/>
            <w:vAlign w:val="center"/>
            <w:hideMark/>
          </w:tcPr>
          <w:p w14:paraId="59B7C545"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E1679">
              <w:rPr>
                <w:color w:val="000000"/>
                <w:sz w:val="20"/>
                <w:szCs w:val="20"/>
              </w:rPr>
              <w:t>37,64</w:t>
            </w:r>
          </w:p>
        </w:tc>
        <w:tc>
          <w:tcPr>
            <w:tcW w:w="857" w:type="dxa"/>
            <w:noWrap/>
            <w:vAlign w:val="center"/>
            <w:hideMark/>
          </w:tcPr>
          <w:p w14:paraId="7A17D4DC" w14:textId="71409D31" w:rsidR="001E1679" w:rsidRPr="001E1679"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115,07</w:t>
            </w:r>
          </w:p>
        </w:tc>
        <w:tc>
          <w:tcPr>
            <w:tcW w:w="844" w:type="dxa"/>
            <w:noWrap/>
            <w:vAlign w:val="center"/>
            <w:hideMark/>
          </w:tcPr>
          <w:p w14:paraId="7F4DF23B" w14:textId="77777777" w:rsidR="001E1679" w:rsidRPr="001E1679" w:rsidRDefault="001E1679"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1E1679">
              <w:rPr>
                <w:sz w:val="20"/>
                <w:szCs w:val="20"/>
              </w:rPr>
              <w:t>39,92</w:t>
            </w:r>
          </w:p>
        </w:tc>
        <w:tc>
          <w:tcPr>
            <w:tcW w:w="960" w:type="dxa"/>
            <w:noWrap/>
            <w:vAlign w:val="center"/>
            <w:hideMark/>
          </w:tcPr>
          <w:p w14:paraId="6C52BA71" w14:textId="5949C5AE" w:rsidR="001E1679" w:rsidRPr="001E1679" w:rsidRDefault="00C963D4"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 121,56</w:t>
            </w:r>
          </w:p>
        </w:tc>
      </w:tr>
      <w:tr w:rsidR="003E508E" w:rsidRPr="001E1679" w14:paraId="1BE4084B" w14:textId="77777777" w:rsidTr="001432FA">
        <w:trPr>
          <w:trHeight w:val="315"/>
          <w:jc w:val="center"/>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48FC174C" w14:textId="77777777" w:rsidR="001E1679" w:rsidRPr="001E1679" w:rsidRDefault="001E1679" w:rsidP="001432FA">
            <w:pPr>
              <w:spacing w:after="0" w:line="240" w:lineRule="auto"/>
              <w:jc w:val="center"/>
              <w:rPr>
                <w:color w:val="000000"/>
                <w:sz w:val="20"/>
                <w:szCs w:val="20"/>
              </w:rPr>
            </w:pPr>
            <w:r w:rsidRPr="001E1679">
              <w:rPr>
                <w:color w:val="000000"/>
                <w:sz w:val="20"/>
                <w:szCs w:val="20"/>
              </w:rPr>
              <w:t>8.3</w:t>
            </w:r>
          </w:p>
        </w:tc>
        <w:tc>
          <w:tcPr>
            <w:tcW w:w="1134" w:type="dxa"/>
            <w:noWrap/>
            <w:vAlign w:val="center"/>
            <w:hideMark/>
          </w:tcPr>
          <w:p w14:paraId="0A169215"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E1679">
              <w:rPr>
                <w:sz w:val="20"/>
                <w:szCs w:val="20"/>
              </w:rPr>
              <w:t>7,96</w:t>
            </w:r>
          </w:p>
        </w:tc>
        <w:tc>
          <w:tcPr>
            <w:tcW w:w="1134" w:type="dxa"/>
            <w:noWrap/>
            <w:vAlign w:val="center"/>
            <w:hideMark/>
          </w:tcPr>
          <w:p w14:paraId="1EEEF072"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E1679">
              <w:rPr>
                <w:color w:val="000000"/>
                <w:sz w:val="20"/>
                <w:szCs w:val="20"/>
              </w:rPr>
              <w:t>9,45</w:t>
            </w:r>
          </w:p>
        </w:tc>
        <w:tc>
          <w:tcPr>
            <w:tcW w:w="1134" w:type="dxa"/>
            <w:noWrap/>
            <w:vAlign w:val="center"/>
            <w:hideMark/>
          </w:tcPr>
          <w:p w14:paraId="4F8AFD76" w14:textId="4C605761"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118,72</w:t>
            </w:r>
          </w:p>
        </w:tc>
        <w:tc>
          <w:tcPr>
            <w:tcW w:w="1134" w:type="dxa"/>
            <w:noWrap/>
            <w:vAlign w:val="center"/>
            <w:hideMark/>
          </w:tcPr>
          <w:p w14:paraId="222A6C9D"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E1679">
              <w:rPr>
                <w:color w:val="000000"/>
                <w:sz w:val="20"/>
                <w:szCs w:val="20"/>
              </w:rPr>
              <w:t>7,50</w:t>
            </w:r>
          </w:p>
        </w:tc>
        <w:tc>
          <w:tcPr>
            <w:tcW w:w="1134" w:type="dxa"/>
            <w:noWrap/>
            <w:vAlign w:val="center"/>
            <w:hideMark/>
          </w:tcPr>
          <w:p w14:paraId="50958738" w14:textId="498DEDE2"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94,22</w:t>
            </w:r>
          </w:p>
        </w:tc>
        <w:tc>
          <w:tcPr>
            <w:tcW w:w="709" w:type="dxa"/>
            <w:noWrap/>
            <w:vAlign w:val="center"/>
            <w:hideMark/>
          </w:tcPr>
          <w:p w14:paraId="1371546D"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E1679">
              <w:rPr>
                <w:color w:val="000000"/>
                <w:sz w:val="20"/>
                <w:szCs w:val="20"/>
              </w:rPr>
              <w:t>7,44</w:t>
            </w:r>
          </w:p>
        </w:tc>
        <w:tc>
          <w:tcPr>
            <w:tcW w:w="857" w:type="dxa"/>
            <w:noWrap/>
            <w:vAlign w:val="center"/>
            <w:hideMark/>
          </w:tcPr>
          <w:p w14:paraId="7DC08E58" w14:textId="34796AE9"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93,47</w:t>
            </w:r>
          </w:p>
        </w:tc>
        <w:tc>
          <w:tcPr>
            <w:tcW w:w="844" w:type="dxa"/>
            <w:noWrap/>
            <w:vAlign w:val="center"/>
            <w:hideMark/>
          </w:tcPr>
          <w:p w14:paraId="5F21C160" w14:textId="77777777" w:rsidR="001E1679" w:rsidRPr="001E1679" w:rsidRDefault="001E1679"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E1679">
              <w:rPr>
                <w:sz w:val="20"/>
                <w:szCs w:val="20"/>
              </w:rPr>
              <w:t>7,93</w:t>
            </w:r>
          </w:p>
        </w:tc>
        <w:tc>
          <w:tcPr>
            <w:tcW w:w="960" w:type="dxa"/>
            <w:noWrap/>
            <w:vAlign w:val="center"/>
            <w:hideMark/>
          </w:tcPr>
          <w:p w14:paraId="2D046002" w14:textId="2D5DBDF9" w:rsidR="001E1679" w:rsidRPr="001E1679"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99,62</w:t>
            </w:r>
          </w:p>
        </w:tc>
      </w:tr>
    </w:tbl>
    <w:p w14:paraId="21F85D0E" w14:textId="77777777" w:rsidR="001E1679" w:rsidRPr="001E1679" w:rsidRDefault="001E1679" w:rsidP="001D040C">
      <w:pPr>
        <w:jc w:val="right"/>
      </w:pPr>
    </w:p>
    <w:p w14:paraId="05BA90CB" w14:textId="77777777" w:rsidR="00BD6D3C" w:rsidRPr="0094320D" w:rsidRDefault="00BD6D3C" w:rsidP="0094320D">
      <w:pPr>
        <w:spacing w:after="120"/>
        <w:contextualSpacing/>
        <w:jc w:val="both"/>
        <w:rPr>
          <w:b/>
          <w:szCs w:val="24"/>
          <w:lang w:eastAsia="ar-SA"/>
        </w:rPr>
      </w:pPr>
      <w:r w:rsidRPr="0094320D">
        <w:rPr>
          <w:b/>
          <w:szCs w:val="24"/>
          <w:lang w:eastAsia="ar-SA"/>
        </w:rPr>
        <w:t>Projekty kluczowe</w:t>
      </w:r>
    </w:p>
    <w:p w14:paraId="6151718B" w14:textId="3F388E1F" w:rsidR="00BD6D3C" w:rsidRPr="0094320D" w:rsidRDefault="00BD6D3C" w:rsidP="0094320D">
      <w:pPr>
        <w:spacing w:after="120"/>
        <w:contextualSpacing/>
        <w:jc w:val="both"/>
        <w:rPr>
          <w:b/>
          <w:i/>
          <w:color w:val="00B050"/>
          <w:szCs w:val="24"/>
        </w:rPr>
      </w:pPr>
      <w:r w:rsidRPr="0094320D">
        <w:rPr>
          <w:szCs w:val="24"/>
          <w:lang w:eastAsia="ar-SA"/>
        </w:rPr>
        <w:t xml:space="preserve">W ramach priorytetu realizowany </w:t>
      </w:r>
      <w:r w:rsidR="005B5B67">
        <w:rPr>
          <w:szCs w:val="24"/>
          <w:lang w:eastAsia="ar-SA"/>
        </w:rPr>
        <w:t>był</w:t>
      </w:r>
      <w:r w:rsidRPr="0094320D">
        <w:rPr>
          <w:szCs w:val="24"/>
          <w:lang w:eastAsia="ar-SA"/>
        </w:rPr>
        <w:t xml:space="preserve"> jeden projekt kluczowy znajdujący się na IWIPK</w:t>
      </w:r>
      <w:r w:rsidRPr="0094320D">
        <w:rPr>
          <w:szCs w:val="24"/>
        </w:rPr>
        <w:t xml:space="preserve"> </w:t>
      </w:r>
      <w:r w:rsidRPr="0094320D">
        <w:rPr>
          <w:i/>
          <w:szCs w:val="24"/>
          <w:lang w:eastAsia="ar-SA"/>
        </w:rPr>
        <w:t>Wydział Nauk Społecznych – rozbudowa bazy naukowo-dydaktyczn</w:t>
      </w:r>
      <w:r w:rsidR="003E508E">
        <w:rPr>
          <w:i/>
          <w:szCs w:val="24"/>
          <w:lang w:eastAsia="ar-SA"/>
        </w:rPr>
        <w:t>ej Akademii im. Jana Długosza w </w:t>
      </w:r>
      <w:r w:rsidRPr="0094320D">
        <w:rPr>
          <w:i/>
          <w:szCs w:val="24"/>
          <w:lang w:eastAsia="ar-SA"/>
        </w:rPr>
        <w:t xml:space="preserve">perspektywie powołania Uniwersytetu w Częstochowie. </w:t>
      </w:r>
      <w:r w:rsidRPr="0094320D">
        <w:rPr>
          <w:szCs w:val="24"/>
          <w:lang w:eastAsia="ar-SA"/>
        </w:rPr>
        <w:t xml:space="preserve">Szczegółowe informacje dot. projektu zostały przedstawione w załączniku nr XII do </w:t>
      </w:r>
      <w:r w:rsidRPr="0094320D">
        <w:rPr>
          <w:i/>
          <w:szCs w:val="24"/>
          <w:lang w:eastAsia="ar-SA"/>
        </w:rPr>
        <w:t>Sprawozdania.</w:t>
      </w:r>
    </w:p>
    <w:p w14:paraId="77B10177" w14:textId="77777777" w:rsidR="005B5B67" w:rsidRDefault="005B5B67" w:rsidP="0094320D">
      <w:pPr>
        <w:spacing w:after="120"/>
        <w:contextualSpacing/>
        <w:jc w:val="both"/>
        <w:rPr>
          <w:b/>
          <w:szCs w:val="24"/>
          <w:lang w:eastAsia="ar-SA"/>
        </w:rPr>
      </w:pPr>
    </w:p>
    <w:p w14:paraId="06D2BCBA" w14:textId="77777777" w:rsidR="001D040C" w:rsidRDefault="001D040C" w:rsidP="0094320D">
      <w:pPr>
        <w:spacing w:after="120"/>
        <w:contextualSpacing/>
        <w:jc w:val="both"/>
        <w:rPr>
          <w:b/>
          <w:szCs w:val="24"/>
          <w:lang w:eastAsia="ar-SA"/>
        </w:rPr>
      </w:pPr>
    </w:p>
    <w:p w14:paraId="0C7DCB60" w14:textId="77777777" w:rsidR="00BD6D3C" w:rsidRPr="0094320D" w:rsidRDefault="00BD6D3C" w:rsidP="0094320D">
      <w:pPr>
        <w:spacing w:after="120"/>
        <w:contextualSpacing/>
        <w:jc w:val="both"/>
        <w:rPr>
          <w:b/>
          <w:szCs w:val="24"/>
          <w:lang w:eastAsia="ar-SA"/>
        </w:rPr>
      </w:pPr>
      <w:r w:rsidRPr="0094320D">
        <w:rPr>
          <w:b/>
          <w:szCs w:val="24"/>
          <w:lang w:eastAsia="ar-SA"/>
        </w:rPr>
        <w:t>Harmonogram konkursów</w:t>
      </w:r>
    </w:p>
    <w:p w14:paraId="50EFC83D" w14:textId="4172DFFC" w:rsidR="00BD6D3C" w:rsidRPr="0094320D" w:rsidRDefault="005B5B67" w:rsidP="0094320D">
      <w:pPr>
        <w:spacing w:after="0"/>
        <w:jc w:val="both"/>
        <w:rPr>
          <w:szCs w:val="24"/>
          <w:lang w:eastAsia="ar-SA"/>
        </w:rPr>
      </w:pPr>
      <w:r>
        <w:rPr>
          <w:szCs w:val="24"/>
          <w:lang w:eastAsia="ar-SA"/>
        </w:rPr>
        <w:t>W</w:t>
      </w:r>
      <w:r w:rsidR="00BD6D3C" w:rsidRPr="0094320D">
        <w:rPr>
          <w:szCs w:val="24"/>
          <w:lang w:eastAsia="ar-SA"/>
        </w:rPr>
        <w:t xml:space="preserve"> ramach priorytet</w:t>
      </w:r>
      <w:r w:rsidR="00113233" w:rsidRPr="0094320D">
        <w:rPr>
          <w:szCs w:val="24"/>
          <w:lang w:eastAsia="ar-SA"/>
        </w:rPr>
        <w:t>u VIII odbyły się 4 konkursy na </w:t>
      </w:r>
      <w:r w:rsidR="00BD6D3C" w:rsidRPr="0094320D">
        <w:rPr>
          <w:szCs w:val="24"/>
          <w:lang w:eastAsia="ar-SA"/>
        </w:rPr>
        <w:t>łączną kwotę 72,48 mln EUR.</w:t>
      </w:r>
      <w:r w:rsidR="00BD6D3C" w:rsidRPr="0094320D">
        <w:rPr>
          <w:szCs w:val="24"/>
        </w:rPr>
        <w:t xml:space="preserve"> </w:t>
      </w:r>
    </w:p>
    <w:p w14:paraId="7B4FC0EF" w14:textId="77777777" w:rsidR="003E508E" w:rsidRDefault="003E508E" w:rsidP="0094320D">
      <w:pPr>
        <w:spacing w:before="120" w:after="240"/>
        <w:contextualSpacing/>
        <w:jc w:val="both"/>
        <w:rPr>
          <w:b/>
          <w:i/>
          <w:szCs w:val="24"/>
          <w:lang w:eastAsia="ar-SA"/>
        </w:rPr>
      </w:pPr>
    </w:p>
    <w:p w14:paraId="16722137" w14:textId="77777777" w:rsidR="004E6046" w:rsidRDefault="004E6046" w:rsidP="004E6046">
      <w:pPr>
        <w:spacing w:before="120" w:after="240"/>
        <w:contextualSpacing/>
        <w:jc w:val="both"/>
        <w:rPr>
          <w:b/>
          <w:szCs w:val="24"/>
          <w:lang w:eastAsia="ar-SA"/>
        </w:rPr>
      </w:pPr>
      <w:r w:rsidRPr="0094320D">
        <w:rPr>
          <w:b/>
          <w:szCs w:val="24"/>
          <w:lang w:eastAsia="ar-SA"/>
        </w:rPr>
        <w:t>Rozkład projektów</w:t>
      </w:r>
    </w:p>
    <w:p w14:paraId="3370F31A" w14:textId="21A18A04" w:rsidR="004E6046" w:rsidRDefault="004E6046" w:rsidP="004E6046">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w:t>
      </w:r>
      <w:r w:rsidRPr="00D90934">
        <w:rPr>
          <w:szCs w:val="24"/>
          <w:lang w:eastAsia="ar-SA"/>
        </w:rPr>
        <w:t>w przypadkach braku danych w KS</w:t>
      </w:r>
      <w:r>
        <w:rPr>
          <w:szCs w:val="24"/>
          <w:lang w:eastAsia="ar-SA"/>
        </w:rPr>
        <w:t>I dane pochodzą z LSI.</w:t>
      </w:r>
    </w:p>
    <w:p w14:paraId="4CBA4979" w14:textId="77777777" w:rsidR="001432FA" w:rsidRPr="004E6046" w:rsidRDefault="001432FA" w:rsidP="004E6046">
      <w:pPr>
        <w:pStyle w:val="Akapitzlist"/>
        <w:spacing w:before="120" w:after="240"/>
        <w:ind w:left="0"/>
        <w:jc w:val="both"/>
        <w:rPr>
          <w:szCs w:val="24"/>
          <w:lang w:eastAsia="ar-SA"/>
        </w:rPr>
      </w:pPr>
    </w:p>
    <w:p w14:paraId="0F2B0829" w14:textId="77777777" w:rsidR="004E6046" w:rsidRPr="001432FA" w:rsidRDefault="004E6046" w:rsidP="001432FA">
      <w:pPr>
        <w:pStyle w:val="Akapitzlist"/>
        <w:numPr>
          <w:ilvl w:val="0"/>
          <w:numId w:val="110"/>
        </w:numPr>
        <w:spacing w:before="240" w:after="240"/>
        <w:jc w:val="both"/>
        <w:rPr>
          <w:b/>
          <w:szCs w:val="24"/>
          <w:lang w:eastAsia="ar-SA"/>
        </w:rPr>
      </w:pPr>
      <w:r w:rsidRPr="001432FA">
        <w:rPr>
          <w:b/>
          <w:szCs w:val="24"/>
          <w:lang w:eastAsia="ar-SA"/>
        </w:rPr>
        <w:t>Projekty w podziale na sektory gospodarki</w:t>
      </w:r>
    </w:p>
    <w:p w14:paraId="00E4CCF6" w14:textId="77777777" w:rsidR="004E6046" w:rsidRPr="0005532E" w:rsidRDefault="004E6046" w:rsidP="004E6046">
      <w:pPr>
        <w:spacing w:before="240" w:after="240"/>
        <w:contextualSpacing/>
        <w:jc w:val="both"/>
        <w:rPr>
          <w:szCs w:val="24"/>
          <w:lang w:eastAsia="ar-SA"/>
        </w:rPr>
      </w:pPr>
      <w:r>
        <w:rPr>
          <w:szCs w:val="24"/>
          <w:lang w:eastAsia="ar-SA"/>
        </w:rPr>
        <w:t>W ramach przedmiotowego priorytetu, nie są realizowane projekty, które można podzielić na sektory gospodarki.</w:t>
      </w:r>
    </w:p>
    <w:p w14:paraId="6F079465" w14:textId="77777777" w:rsidR="005B5B67" w:rsidRDefault="005B5B67" w:rsidP="003E508E">
      <w:pPr>
        <w:spacing w:after="120"/>
        <w:contextualSpacing/>
        <w:jc w:val="both"/>
        <w:rPr>
          <w:b/>
          <w:szCs w:val="24"/>
          <w:lang w:eastAsia="ar-SA"/>
        </w:rPr>
      </w:pPr>
    </w:p>
    <w:p w14:paraId="645898EC" w14:textId="77777777" w:rsidR="003E508E" w:rsidRPr="001432FA" w:rsidRDefault="003E508E" w:rsidP="001432FA">
      <w:pPr>
        <w:pStyle w:val="Akapitzlist"/>
        <w:numPr>
          <w:ilvl w:val="0"/>
          <w:numId w:val="110"/>
        </w:numPr>
        <w:spacing w:after="120"/>
        <w:jc w:val="both"/>
        <w:rPr>
          <w:b/>
          <w:szCs w:val="24"/>
          <w:lang w:eastAsia="ar-SA"/>
        </w:rPr>
      </w:pPr>
      <w:r w:rsidRPr="001432FA">
        <w:rPr>
          <w:b/>
          <w:szCs w:val="24"/>
          <w:lang w:eastAsia="ar-SA"/>
        </w:rPr>
        <w:t>Projekty w podziale na formy prawne beneficjentów</w:t>
      </w:r>
    </w:p>
    <w:p w14:paraId="35EF89CD" w14:textId="7D2F6748" w:rsidR="003E508E" w:rsidRPr="003E508E" w:rsidRDefault="008318CC" w:rsidP="003E508E">
      <w:pPr>
        <w:autoSpaceDE w:val="0"/>
        <w:autoSpaceDN w:val="0"/>
        <w:adjustRightInd w:val="0"/>
        <w:spacing w:after="0"/>
        <w:jc w:val="both"/>
        <w:rPr>
          <w:rFonts w:eastAsia="Calibri"/>
          <w:szCs w:val="24"/>
        </w:rPr>
      </w:pPr>
      <w:r>
        <w:rPr>
          <w:rFonts w:eastAsia="Calibri"/>
          <w:szCs w:val="24"/>
        </w:rPr>
        <w:t>N</w:t>
      </w:r>
      <w:r w:rsidR="003E508E" w:rsidRPr="003E508E">
        <w:rPr>
          <w:rFonts w:eastAsia="Calibri"/>
          <w:szCs w:val="24"/>
        </w:rPr>
        <w:t xml:space="preserve">ajwiększe zaangażowanie w realizację projektów </w:t>
      </w:r>
      <w:r>
        <w:rPr>
          <w:rFonts w:eastAsia="Calibri"/>
          <w:szCs w:val="24"/>
        </w:rPr>
        <w:t xml:space="preserve">w priorytecie </w:t>
      </w:r>
      <w:r w:rsidR="003E508E" w:rsidRPr="003E508E">
        <w:rPr>
          <w:rFonts w:eastAsia="Calibri"/>
          <w:szCs w:val="24"/>
        </w:rPr>
        <w:t>wykazały JST (</w:t>
      </w:r>
      <w:r w:rsidR="003E508E">
        <w:rPr>
          <w:rFonts w:eastAsia="Calibri"/>
          <w:szCs w:val="24"/>
        </w:rPr>
        <w:t>72 projekty</w:t>
      </w:r>
      <w:r w:rsidR="003E508E" w:rsidRPr="003E508E">
        <w:rPr>
          <w:rFonts w:eastAsia="Calibri"/>
          <w:szCs w:val="24"/>
        </w:rPr>
        <w:t xml:space="preserve"> na kwotę dofinansowania </w:t>
      </w:r>
      <w:r w:rsidR="003E508E">
        <w:rPr>
          <w:rFonts w:eastAsia="Calibri"/>
          <w:szCs w:val="24"/>
        </w:rPr>
        <w:t>52,87</w:t>
      </w:r>
      <w:r w:rsidR="003E508E" w:rsidRPr="003E508E">
        <w:rPr>
          <w:rFonts w:eastAsia="Calibri"/>
          <w:szCs w:val="24"/>
        </w:rPr>
        <w:t xml:space="preserve"> mln EUR) oraz uczelnie i jednostki naukowe (33 projekty na kwotę dofinansowania </w:t>
      </w:r>
      <w:r w:rsidR="003E508E">
        <w:rPr>
          <w:rFonts w:eastAsia="Calibri"/>
          <w:szCs w:val="24"/>
        </w:rPr>
        <w:t>43,71</w:t>
      </w:r>
      <w:r w:rsidR="003E508E" w:rsidRPr="003E508E">
        <w:rPr>
          <w:rFonts w:eastAsia="Calibri"/>
          <w:szCs w:val="24"/>
        </w:rPr>
        <w:t xml:space="preserve"> mln EUR).</w:t>
      </w:r>
      <w:r w:rsidR="003E508E" w:rsidRPr="003E508E">
        <w:rPr>
          <w:rFonts w:eastAsia="Calibri"/>
          <w:bCs/>
          <w:szCs w:val="24"/>
        </w:rPr>
        <w:t xml:space="preserve"> </w:t>
      </w:r>
      <w:r w:rsidR="00B927EA" w:rsidRPr="00B927EA">
        <w:rPr>
          <w:szCs w:val="24"/>
        </w:rPr>
        <w:t>Warto zauważyć, że najwięcej projektów składały duże uczelnie posiadające odpowiednie zasoby kadrowe</w:t>
      </w:r>
      <w:r w:rsidR="00B927EA">
        <w:rPr>
          <w:szCs w:val="24"/>
        </w:rPr>
        <w:t xml:space="preserve"> np. Politechnika Śląska, Uniwersytet Śląski</w:t>
      </w:r>
      <w:r w:rsidR="00B927EA" w:rsidRPr="00B927EA">
        <w:rPr>
          <w:szCs w:val="24"/>
        </w:rPr>
        <w:t>.</w:t>
      </w:r>
      <w:r w:rsidR="00B927EA" w:rsidRPr="001059C6">
        <w:rPr>
          <w:rFonts w:ascii="Lato" w:hAnsi="Lato" w:cs="Tahoma"/>
          <w:sz w:val="20"/>
          <w:szCs w:val="20"/>
        </w:rPr>
        <w:t xml:space="preserve"> </w:t>
      </w:r>
      <w:r w:rsidR="003E508E" w:rsidRPr="003E508E">
        <w:rPr>
          <w:rFonts w:eastAsia="Calibri"/>
          <w:bCs/>
          <w:szCs w:val="24"/>
        </w:rPr>
        <w:t xml:space="preserve">Rozkład beneficjentów związany jest ze specyfiką projektów realizowanych w ramach przedmiotowego priorytetu. </w:t>
      </w:r>
      <w:r w:rsidR="003E508E" w:rsidRPr="003E508E">
        <w:rPr>
          <w:rFonts w:eastAsia="Calibri"/>
          <w:szCs w:val="24"/>
        </w:rPr>
        <w:t>W ramach przedmiotowego priorytetu przedsiębiorstwa oznaczają osoby prawne i fizyczne będące organami prowadzącymi szkoły i placówki oświatowe.</w:t>
      </w:r>
    </w:p>
    <w:p w14:paraId="41863ECF" w14:textId="659F4284" w:rsidR="003E508E" w:rsidRDefault="003E508E" w:rsidP="003E508E">
      <w:pPr>
        <w:autoSpaceDE w:val="0"/>
        <w:autoSpaceDN w:val="0"/>
        <w:adjustRightInd w:val="0"/>
        <w:spacing w:after="0"/>
        <w:jc w:val="both"/>
        <w:rPr>
          <w:rFonts w:eastAsia="Calibri"/>
          <w:szCs w:val="24"/>
        </w:rPr>
      </w:pPr>
      <w:r>
        <w:rPr>
          <w:noProof/>
        </w:rPr>
        <w:drawing>
          <wp:inline distT="0" distB="0" distL="0" distR="0" wp14:anchorId="29C7A60F" wp14:editId="78C2A886">
            <wp:extent cx="5759450" cy="2918128"/>
            <wp:effectExtent l="0" t="0" r="12700" b="15875"/>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DA997FF" w14:textId="5BB4A077" w:rsidR="003E508E" w:rsidRPr="005D38A0" w:rsidRDefault="005D38A0" w:rsidP="005D38A0">
      <w:pPr>
        <w:pStyle w:val="Legenda"/>
        <w:rPr>
          <w:rFonts w:eastAsia="Calibri"/>
          <w:b w:val="0"/>
          <w:i/>
          <w:color w:val="auto"/>
          <w:sz w:val="20"/>
          <w:szCs w:val="20"/>
        </w:rPr>
      </w:pPr>
      <w:bookmarkStart w:id="484" w:name="_Toc476832973"/>
      <w:r w:rsidRPr="005D38A0">
        <w:rPr>
          <w:color w:val="auto"/>
          <w:sz w:val="20"/>
          <w:szCs w:val="20"/>
        </w:rPr>
        <w:t xml:space="preserve">Rysunek </w:t>
      </w:r>
      <w:r w:rsidRPr="005D38A0">
        <w:rPr>
          <w:color w:val="auto"/>
          <w:sz w:val="20"/>
          <w:szCs w:val="20"/>
        </w:rPr>
        <w:fldChar w:fldCharType="begin"/>
      </w:r>
      <w:r w:rsidRPr="005D38A0">
        <w:rPr>
          <w:color w:val="auto"/>
          <w:sz w:val="20"/>
          <w:szCs w:val="20"/>
        </w:rPr>
        <w:instrText xml:space="preserve"> SEQ Rysunek \* ARABIC </w:instrText>
      </w:r>
      <w:r w:rsidRPr="005D38A0">
        <w:rPr>
          <w:color w:val="auto"/>
          <w:sz w:val="20"/>
          <w:szCs w:val="20"/>
        </w:rPr>
        <w:fldChar w:fldCharType="separate"/>
      </w:r>
      <w:r w:rsidR="0050297D">
        <w:rPr>
          <w:noProof/>
          <w:color w:val="auto"/>
          <w:sz w:val="20"/>
          <w:szCs w:val="20"/>
        </w:rPr>
        <w:t>55</w:t>
      </w:r>
      <w:r w:rsidRPr="005D38A0">
        <w:rPr>
          <w:color w:val="auto"/>
          <w:sz w:val="20"/>
          <w:szCs w:val="20"/>
        </w:rPr>
        <w:fldChar w:fldCharType="end"/>
      </w:r>
      <w:r w:rsidRPr="005D38A0">
        <w:rPr>
          <w:b w:val="0"/>
          <w:i/>
          <w:color w:val="auto"/>
          <w:sz w:val="20"/>
          <w:szCs w:val="20"/>
        </w:rPr>
        <w:t xml:space="preserve"> Rozkład projektów w ramach priorytetu VIII w podziale na beneficjentów</w:t>
      </w:r>
      <w:bookmarkEnd w:id="484"/>
    </w:p>
    <w:p w14:paraId="294EDA9D" w14:textId="77777777" w:rsidR="003E508E" w:rsidRDefault="003E508E" w:rsidP="003E508E">
      <w:pPr>
        <w:spacing w:after="120"/>
        <w:contextualSpacing/>
        <w:jc w:val="both"/>
        <w:rPr>
          <w:b/>
          <w:szCs w:val="24"/>
          <w:lang w:eastAsia="ar-SA"/>
        </w:rPr>
      </w:pPr>
    </w:p>
    <w:p w14:paraId="56247406" w14:textId="77777777" w:rsidR="003E508E" w:rsidRPr="001432FA" w:rsidRDefault="003E508E" w:rsidP="001432FA">
      <w:pPr>
        <w:pStyle w:val="Akapitzlist"/>
        <w:numPr>
          <w:ilvl w:val="0"/>
          <w:numId w:val="110"/>
        </w:numPr>
        <w:spacing w:after="120"/>
        <w:jc w:val="both"/>
        <w:rPr>
          <w:b/>
          <w:szCs w:val="24"/>
          <w:lang w:eastAsia="ar-SA"/>
        </w:rPr>
      </w:pPr>
      <w:r w:rsidRPr="001432FA">
        <w:rPr>
          <w:b/>
          <w:szCs w:val="24"/>
          <w:lang w:eastAsia="ar-SA"/>
        </w:rPr>
        <w:t>Projekty w podziale na rozkład terytorialny</w:t>
      </w:r>
    </w:p>
    <w:p w14:paraId="4F83E870" w14:textId="77777777" w:rsidR="003E508E" w:rsidRPr="003E508E" w:rsidRDefault="003E508E" w:rsidP="003E508E">
      <w:pPr>
        <w:autoSpaceDE w:val="0"/>
        <w:autoSpaceDN w:val="0"/>
        <w:adjustRightInd w:val="0"/>
        <w:spacing w:after="0"/>
        <w:jc w:val="both"/>
        <w:rPr>
          <w:rFonts w:eastAsia="Calibri"/>
          <w:szCs w:val="24"/>
        </w:rPr>
      </w:pPr>
      <w:r w:rsidRPr="003E508E">
        <w:rPr>
          <w:rFonts w:eastAsia="Calibri"/>
          <w:szCs w:val="24"/>
        </w:rPr>
        <w:t xml:space="preserve">Ponad </w:t>
      </w:r>
      <w:r w:rsidRPr="003E508E">
        <w:rPr>
          <w:rFonts w:eastAsia="Calibri"/>
          <w:bCs/>
          <w:szCs w:val="24"/>
        </w:rPr>
        <w:t xml:space="preserve">79% </w:t>
      </w:r>
      <w:r w:rsidRPr="003E508E">
        <w:rPr>
          <w:rFonts w:eastAsia="Calibri"/>
          <w:szCs w:val="24"/>
        </w:rPr>
        <w:t xml:space="preserve">środków skierowanych zostało na realizacje inwestycji na obszarach miejskich, natomiast około </w:t>
      </w:r>
      <w:r w:rsidRPr="003E508E">
        <w:rPr>
          <w:rFonts w:eastAsia="Calibri"/>
          <w:bCs/>
          <w:szCs w:val="24"/>
        </w:rPr>
        <w:t xml:space="preserve">19% </w:t>
      </w:r>
      <w:r w:rsidRPr="003E508E">
        <w:rPr>
          <w:rFonts w:eastAsia="Calibri"/>
          <w:szCs w:val="24"/>
        </w:rPr>
        <w:t>na terenach wiejskich.</w:t>
      </w:r>
    </w:p>
    <w:p w14:paraId="46AFAD59" w14:textId="2ACB272B" w:rsidR="003E508E" w:rsidRPr="003E508E" w:rsidRDefault="000D34C2" w:rsidP="003E508E">
      <w:pPr>
        <w:pStyle w:val="Legenda"/>
        <w:rPr>
          <w:i/>
          <w:color w:val="auto"/>
          <w:sz w:val="20"/>
          <w:szCs w:val="20"/>
        </w:rPr>
      </w:pPr>
      <w:bookmarkStart w:id="485" w:name="_Toc476131818"/>
      <w:r>
        <w:rPr>
          <w:color w:val="auto"/>
        </w:rPr>
        <w:lastRenderedPageBreak/>
        <w:t>Tabela</w:t>
      </w:r>
      <w:r w:rsidR="003E508E" w:rsidRPr="003E508E">
        <w:rPr>
          <w:color w:val="auto"/>
        </w:rPr>
        <w:t xml:space="preserve"> </w:t>
      </w:r>
      <w:r>
        <w:rPr>
          <w:color w:val="auto"/>
        </w:rPr>
        <w:fldChar w:fldCharType="begin"/>
      </w:r>
      <w:r>
        <w:rPr>
          <w:color w:val="auto"/>
        </w:rPr>
        <w:instrText xml:space="preserve"> SEQ Tabela \* ARABIC </w:instrText>
      </w:r>
      <w:r>
        <w:rPr>
          <w:color w:val="auto"/>
        </w:rPr>
        <w:fldChar w:fldCharType="separate"/>
      </w:r>
      <w:r w:rsidR="0050297D">
        <w:rPr>
          <w:noProof/>
          <w:color w:val="auto"/>
        </w:rPr>
        <w:t>35</w:t>
      </w:r>
      <w:r>
        <w:rPr>
          <w:color w:val="auto"/>
        </w:rPr>
        <w:fldChar w:fldCharType="end"/>
      </w:r>
      <w:r w:rsidR="003E508E" w:rsidRPr="003E508E">
        <w:rPr>
          <w:color w:val="auto"/>
        </w:rPr>
        <w:t xml:space="preserve"> </w:t>
      </w:r>
      <w:r w:rsidR="003E508E" w:rsidRPr="003E508E">
        <w:rPr>
          <w:b w:val="0"/>
          <w:i/>
          <w:color w:val="auto"/>
          <w:sz w:val="20"/>
          <w:szCs w:val="20"/>
        </w:rPr>
        <w:t>Rozkład projektów w ramach priorytetu VIII w podziale na obszary</w:t>
      </w:r>
      <w:bookmarkEnd w:id="485"/>
      <w:r w:rsidR="003E508E" w:rsidRPr="003E508E">
        <w:rPr>
          <w:b w:val="0"/>
          <w:i/>
          <w:color w:val="auto"/>
          <w:sz w:val="20"/>
          <w:szCs w:val="20"/>
        </w:rPr>
        <w:t xml:space="preserve"> </w:t>
      </w:r>
    </w:p>
    <w:tbl>
      <w:tblPr>
        <w:tblStyle w:val="Tabelalisty3akcent61"/>
        <w:tblpPr w:leftFromText="141" w:rightFromText="141" w:vertAnchor="text" w:tblpXSpec="center" w:tblpY="1"/>
        <w:tblW w:w="5420" w:type="dxa"/>
        <w:tblLook w:val="04A0" w:firstRow="1" w:lastRow="0" w:firstColumn="1" w:lastColumn="0" w:noHBand="0" w:noVBand="1"/>
      </w:tblPr>
      <w:tblGrid>
        <w:gridCol w:w="1560"/>
        <w:gridCol w:w="1308"/>
        <w:gridCol w:w="2552"/>
      </w:tblGrid>
      <w:tr w:rsidR="003E508E" w:rsidRPr="003E508E" w14:paraId="6959A5D8" w14:textId="77777777" w:rsidTr="001432FA">
        <w:trPr>
          <w:cnfStyle w:val="100000000000" w:firstRow="1" w:lastRow="0" w:firstColumn="0" w:lastColumn="0" w:oddVBand="0" w:evenVBand="0" w:oddHBand="0" w:evenHBand="0" w:firstRowFirstColumn="0" w:firstRowLastColumn="0" w:lastRowFirstColumn="0" w:lastRowLastColumn="0"/>
          <w:trHeight w:val="810"/>
        </w:trPr>
        <w:tc>
          <w:tcPr>
            <w:cnfStyle w:val="001000000100" w:firstRow="0" w:lastRow="0" w:firstColumn="1" w:lastColumn="0" w:oddVBand="0" w:evenVBand="0" w:oddHBand="0" w:evenHBand="0" w:firstRowFirstColumn="1" w:firstRowLastColumn="0" w:lastRowFirstColumn="0" w:lastRowLastColumn="0"/>
            <w:tcW w:w="1560" w:type="dxa"/>
            <w:vAlign w:val="center"/>
            <w:hideMark/>
          </w:tcPr>
          <w:p w14:paraId="5C9A13A9" w14:textId="77777777" w:rsidR="003E508E" w:rsidRPr="003E508E" w:rsidRDefault="003E508E" w:rsidP="001432FA">
            <w:pPr>
              <w:spacing w:after="0" w:line="240" w:lineRule="auto"/>
              <w:jc w:val="center"/>
              <w:rPr>
                <w:color w:val="auto"/>
                <w:sz w:val="20"/>
              </w:rPr>
            </w:pPr>
            <w:r w:rsidRPr="003E508E">
              <w:rPr>
                <w:color w:val="auto"/>
                <w:sz w:val="20"/>
              </w:rPr>
              <w:t>OBSZAR</w:t>
            </w:r>
          </w:p>
        </w:tc>
        <w:tc>
          <w:tcPr>
            <w:tcW w:w="1308" w:type="dxa"/>
            <w:vAlign w:val="center"/>
            <w:hideMark/>
          </w:tcPr>
          <w:p w14:paraId="1DF11C8E" w14:textId="77777777" w:rsidR="003E508E" w:rsidRPr="003E508E" w:rsidRDefault="003E508E"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3E508E">
              <w:rPr>
                <w:color w:val="auto"/>
                <w:sz w:val="20"/>
              </w:rPr>
              <w:t>LICZBA</w:t>
            </w:r>
          </w:p>
        </w:tc>
        <w:tc>
          <w:tcPr>
            <w:tcW w:w="2552" w:type="dxa"/>
            <w:vAlign w:val="center"/>
            <w:hideMark/>
          </w:tcPr>
          <w:p w14:paraId="45E1251D" w14:textId="77777777" w:rsidR="003E508E" w:rsidRPr="003E508E" w:rsidRDefault="003E508E" w:rsidP="001432F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3E508E">
              <w:rPr>
                <w:color w:val="auto"/>
                <w:sz w:val="20"/>
              </w:rPr>
              <w:t>DOFINANSOWANIE UE</w:t>
            </w:r>
          </w:p>
        </w:tc>
      </w:tr>
      <w:tr w:rsidR="003E508E" w:rsidRPr="003E508E" w14:paraId="29FA1340" w14:textId="77777777" w:rsidTr="001432F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2F3C4748" w14:textId="314A5344" w:rsidR="003E508E" w:rsidRPr="001D040C" w:rsidRDefault="001D040C" w:rsidP="001432FA">
            <w:pPr>
              <w:spacing w:after="0" w:line="240" w:lineRule="auto"/>
              <w:jc w:val="center"/>
              <w:rPr>
                <w:b w:val="0"/>
                <w:sz w:val="20"/>
              </w:rPr>
            </w:pPr>
            <w:r w:rsidRPr="001D040C">
              <w:rPr>
                <w:b w:val="0"/>
                <w:sz w:val="20"/>
              </w:rPr>
              <w:t>Miejski</w:t>
            </w:r>
          </w:p>
        </w:tc>
        <w:tc>
          <w:tcPr>
            <w:tcW w:w="1308" w:type="dxa"/>
            <w:vAlign w:val="center"/>
          </w:tcPr>
          <w:p w14:paraId="368759A4" w14:textId="65F2B524" w:rsidR="003E508E" w:rsidRPr="001D040C"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85</w:t>
            </w:r>
          </w:p>
        </w:tc>
        <w:tc>
          <w:tcPr>
            <w:tcW w:w="2552" w:type="dxa"/>
            <w:vAlign w:val="center"/>
          </w:tcPr>
          <w:p w14:paraId="0186C32C" w14:textId="09F1FC2C" w:rsidR="003E508E" w:rsidRPr="001D040C"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72,46</w:t>
            </w:r>
          </w:p>
        </w:tc>
      </w:tr>
      <w:tr w:rsidR="003E508E" w:rsidRPr="003E508E" w14:paraId="00D71149" w14:textId="77777777" w:rsidTr="001432FA">
        <w:trPr>
          <w:trHeight w:val="505"/>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79C154CA" w14:textId="5E64CA3E" w:rsidR="003E508E" w:rsidRPr="001D040C" w:rsidRDefault="001D040C" w:rsidP="001432FA">
            <w:pPr>
              <w:spacing w:after="0" w:line="240" w:lineRule="auto"/>
              <w:jc w:val="center"/>
              <w:rPr>
                <w:b w:val="0"/>
                <w:sz w:val="20"/>
              </w:rPr>
            </w:pPr>
            <w:r w:rsidRPr="001D040C">
              <w:rPr>
                <w:b w:val="0"/>
                <w:sz w:val="20"/>
              </w:rPr>
              <w:t>Wiejski</w:t>
            </w:r>
          </w:p>
        </w:tc>
        <w:tc>
          <w:tcPr>
            <w:tcW w:w="1308" w:type="dxa"/>
            <w:vAlign w:val="center"/>
          </w:tcPr>
          <w:p w14:paraId="08DECD39" w14:textId="6DCDD9AD" w:rsidR="003E508E" w:rsidRPr="001D040C"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1D040C">
              <w:rPr>
                <w:sz w:val="20"/>
              </w:rPr>
              <w:t>24</w:t>
            </w:r>
          </w:p>
        </w:tc>
        <w:tc>
          <w:tcPr>
            <w:tcW w:w="2552" w:type="dxa"/>
            <w:vAlign w:val="center"/>
          </w:tcPr>
          <w:p w14:paraId="6673BAED" w14:textId="49087322" w:rsidR="003E508E" w:rsidRPr="001D040C" w:rsidRDefault="003E508E" w:rsidP="001432F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1D040C">
              <w:rPr>
                <w:sz w:val="20"/>
              </w:rPr>
              <w:t>12,97</w:t>
            </w:r>
          </w:p>
        </w:tc>
      </w:tr>
      <w:tr w:rsidR="003E508E" w:rsidRPr="003E508E" w14:paraId="47A5ED0D" w14:textId="77777777" w:rsidTr="001432FA">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55BEC24F" w14:textId="7B12694D" w:rsidR="003E508E" w:rsidRPr="001D040C" w:rsidRDefault="001D040C" w:rsidP="001432FA">
            <w:pPr>
              <w:spacing w:after="0" w:line="240" w:lineRule="auto"/>
              <w:jc w:val="center"/>
              <w:rPr>
                <w:b w:val="0"/>
                <w:sz w:val="20"/>
              </w:rPr>
            </w:pPr>
            <w:r w:rsidRPr="001D040C">
              <w:rPr>
                <w:b w:val="0"/>
                <w:sz w:val="20"/>
              </w:rPr>
              <w:t>Górski</w:t>
            </w:r>
          </w:p>
        </w:tc>
        <w:tc>
          <w:tcPr>
            <w:tcW w:w="1308" w:type="dxa"/>
            <w:vAlign w:val="center"/>
          </w:tcPr>
          <w:p w14:paraId="123131A9" w14:textId="54AE500F" w:rsidR="003E508E" w:rsidRPr="001D040C"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2</w:t>
            </w:r>
          </w:p>
        </w:tc>
        <w:tc>
          <w:tcPr>
            <w:tcW w:w="2552" w:type="dxa"/>
            <w:vAlign w:val="center"/>
          </w:tcPr>
          <w:p w14:paraId="044AE0FD" w14:textId="7C16FE15" w:rsidR="003E508E" w:rsidRPr="001D040C" w:rsidRDefault="003E508E" w:rsidP="001432F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1D040C">
              <w:rPr>
                <w:sz w:val="20"/>
              </w:rPr>
              <w:t>0,72</w:t>
            </w:r>
          </w:p>
        </w:tc>
      </w:tr>
    </w:tbl>
    <w:p w14:paraId="4383ECD4" w14:textId="77777777" w:rsidR="003E508E" w:rsidRPr="003E508E" w:rsidRDefault="003E508E" w:rsidP="003E508E">
      <w:pPr>
        <w:tabs>
          <w:tab w:val="left" w:pos="1276"/>
        </w:tabs>
        <w:autoSpaceDE w:val="0"/>
        <w:autoSpaceDN w:val="0"/>
        <w:adjustRightInd w:val="0"/>
        <w:spacing w:after="120"/>
        <w:jc w:val="both"/>
        <w:rPr>
          <w:szCs w:val="24"/>
        </w:rPr>
      </w:pPr>
      <w:r w:rsidRPr="003E508E">
        <w:rPr>
          <w:szCs w:val="24"/>
        </w:rPr>
        <w:br w:type="textWrapping" w:clear="all"/>
      </w:r>
    </w:p>
    <w:p w14:paraId="37216A71" w14:textId="76D7672F" w:rsidR="003E508E" w:rsidRDefault="003E508E" w:rsidP="003E508E">
      <w:pPr>
        <w:tabs>
          <w:tab w:val="left" w:pos="1276"/>
        </w:tabs>
        <w:autoSpaceDE w:val="0"/>
        <w:autoSpaceDN w:val="0"/>
        <w:adjustRightInd w:val="0"/>
        <w:spacing w:after="120"/>
        <w:jc w:val="both"/>
        <w:rPr>
          <w:szCs w:val="24"/>
        </w:rPr>
      </w:pPr>
      <w:r w:rsidRPr="003E508E">
        <w:rPr>
          <w:szCs w:val="24"/>
        </w:rPr>
        <w:t xml:space="preserve">Wsparcie w ramach priorytetu VIII pozyskali głównie beneficjenci z centrum województwa. W podziale na powiaty ziemskie najwięcej środków zostało przeznaczonych na powiat cieszyński, gdzie łączna kwota dofinansowania UE wynosi </w:t>
      </w:r>
      <w:r w:rsidR="0086598E">
        <w:rPr>
          <w:szCs w:val="24"/>
        </w:rPr>
        <w:t>4,33</w:t>
      </w:r>
      <w:r w:rsidRPr="003E508E">
        <w:rPr>
          <w:szCs w:val="24"/>
        </w:rPr>
        <w:t xml:space="preserve"> mln EUR. W ramach powiatów grodzkich (miasta na prawach powiatu) największe dofinansowanie otrzymały Miasto Katowice tj. </w:t>
      </w:r>
      <w:r w:rsidR="0086598E">
        <w:rPr>
          <w:szCs w:val="24"/>
        </w:rPr>
        <w:t>12</w:t>
      </w:r>
      <w:r w:rsidRPr="003E508E">
        <w:rPr>
          <w:szCs w:val="24"/>
        </w:rPr>
        <w:t>,08 mln EU</w:t>
      </w:r>
      <w:r w:rsidR="0086598E">
        <w:rPr>
          <w:szCs w:val="24"/>
        </w:rPr>
        <w:t>R oraz Miasto Częstochowa tj. 11,5</w:t>
      </w:r>
      <w:r w:rsidRPr="003E508E">
        <w:rPr>
          <w:szCs w:val="24"/>
        </w:rPr>
        <w:t>4 mln EUR.</w:t>
      </w:r>
    </w:p>
    <w:p w14:paraId="008D0BED" w14:textId="77777777" w:rsidR="007B6B45" w:rsidRDefault="007B6B45" w:rsidP="007B6B4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2BC76802" w14:textId="77777777" w:rsidR="007B6B45" w:rsidRDefault="007B6B45" w:rsidP="003E508E">
      <w:pPr>
        <w:tabs>
          <w:tab w:val="left" w:pos="1276"/>
        </w:tabs>
        <w:autoSpaceDE w:val="0"/>
        <w:autoSpaceDN w:val="0"/>
        <w:adjustRightInd w:val="0"/>
        <w:spacing w:after="120"/>
        <w:jc w:val="both"/>
        <w:rPr>
          <w:szCs w:val="24"/>
        </w:rPr>
      </w:pPr>
    </w:p>
    <w:p w14:paraId="6DCB8531" w14:textId="057672C1" w:rsidR="007B3409" w:rsidRPr="003E508E" w:rsidRDefault="007B3409" w:rsidP="003E508E">
      <w:pPr>
        <w:tabs>
          <w:tab w:val="left" w:pos="1276"/>
        </w:tabs>
        <w:autoSpaceDE w:val="0"/>
        <w:autoSpaceDN w:val="0"/>
        <w:adjustRightInd w:val="0"/>
        <w:spacing w:after="120"/>
        <w:jc w:val="both"/>
        <w:rPr>
          <w:szCs w:val="24"/>
        </w:rPr>
      </w:pPr>
      <w:r w:rsidRPr="007B3409">
        <w:rPr>
          <w:noProof/>
          <w:szCs w:val="24"/>
        </w:rPr>
        <w:lastRenderedPageBreak/>
        <w:drawing>
          <wp:inline distT="0" distB="0" distL="0" distR="0" wp14:anchorId="4A7309CF" wp14:editId="3CD58E51">
            <wp:extent cx="5759450" cy="8138669"/>
            <wp:effectExtent l="0" t="0" r="0" b="0"/>
            <wp:docPr id="10" name="Obraz 10" descr="W:\RRF\!Zespół ds monitoringu\Perspektywa 2007-2013\Sprawozdanie końcowe\Piotr\mapki\P8\P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RRF\!Zespół ds monitoringu\Perspektywa 2007-2013\Sprawozdanie końcowe\Piotr\mapki\P8\P8.jpe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9450" cy="8138669"/>
                    </a:xfrm>
                    <a:prstGeom prst="rect">
                      <a:avLst/>
                    </a:prstGeom>
                    <a:noFill/>
                    <a:ln>
                      <a:noFill/>
                    </a:ln>
                  </pic:spPr>
                </pic:pic>
              </a:graphicData>
            </a:graphic>
          </wp:inline>
        </w:drawing>
      </w:r>
    </w:p>
    <w:p w14:paraId="67C18CF8" w14:textId="53A37EC6" w:rsidR="005E15AF" w:rsidRDefault="004D7598" w:rsidP="004D7598">
      <w:pPr>
        <w:pStyle w:val="Legenda"/>
        <w:rPr>
          <w:b w:val="0"/>
          <w:i/>
          <w:color w:val="auto"/>
          <w:sz w:val="20"/>
          <w:szCs w:val="20"/>
        </w:rPr>
      </w:pPr>
      <w:bookmarkStart w:id="486" w:name="_Toc476832974"/>
      <w:r w:rsidRPr="003A31E7">
        <w:rPr>
          <w:color w:val="auto"/>
        </w:rPr>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56</w:t>
      </w:r>
      <w:r w:rsidR="00A44293" w:rsidRPr="003A31E7">
        <w:rPr>
          <w:noProof/>
          <w:color w:val="auto"/>
        </w:rPr>
        <w:fldChar w:fldCharType="end"/>
      </w:r>
      <w:r w:rsidRPr="003A31E7">
        <w:rPr>
          <w:color w:val="auto"/>
        </w:rPr>
        <w:t xml:space="preserve"> </w:t>
      </w:r>
      <w:r w:rsidR="007B3409" w:rsidRPr="007B3409">
        <w:rPr>
          <w:b w:val="0"/>
          <w:i/>
          <w:color w:val="auto"/>
          <w:sz w:val="20"/>
          <w:szCs w:val="20"/>
        </w:rPr>
        <w:t>Rozkład projektów</w:t>
      </w:r>
      <w:r w:rsidR="005D38A0">
        <w:rPr>
          <w:b w:val="0"/>
          <w:i/>
          <w:color w:val="auto"/>
          <w:sz w:val="20"/>
          <w:szCs w:val="20"/>
        </w:rPr>
        <w:t xml:space="preserve"> w ramach priorytetu VIII</w:t>
      </w:r>
      <w:r w:rsidR="007B3409" w:rsidRPr="007B3409">
        <w:rPr>
          <w:b w:val="0"/>
          <w:i/>
          <w:color w:val="auto"/>
          <w:sz w:val="20"/>
          <w:szCs w:val="20"/>
        </w:rPr>
        <w:t xml:space="preserve"> w podziale na powiaty</w:t>
      </w:r>
      <w:bookmarkEnd w:id="486"/>
    </w:p>
    <w:p w14:paraId="424344E0" w14:textId="77777777" w:rsidR="005E15AF" w:rsidRDefault="005E15AF">
      <w:pPr>
        <w:spacing w:after="0" w:line="240" w:lineRule="auto"/>
        <w:rPr>
          <w:bCs/>
          <w:i/>
          <w:sz w:val="20"/>
          <w:szCs w:val="20"/>
        </w:rPr>
      </w:pPr>
      <w:r>
        <w:rPr>
          <w:b/>
          <w:i/>
          <w:sz w:val="20"/>
          <w:szCs w:val="20"/>
        </w:rPr>
        <w:br w:type="page"/>
      </w:r>
    </w:p>
    <w:p w14:paraId="68B39B14" w14:textId="77777777" w:rsidR="003E508E" w:rsidRPr="001432FA" w:rsidRDefault="003E508E" w:rsidP="001432FA">
      <w:pPr>
        <w:pStyle w:val="Akapitzlist"/>
        <w:numPr>
          <w:ilvl w:val="0"/>
          <w:numId w:val="110"/>
        </w:numPr>
        <w:spacing w:after="120"/>
        <w:jc w:val="both"/>
        <w:rPr>
          <w:b/>
          <w:szCs w:val="24"/>
          <w:lang w:eastAsia="ar-SA"/>
        </w:rPr>
      </w:pPr>
      <w:r w:rsidRPr="001432FA">
        <w:rPr>
          <w:b/>
          <w:szCs w:val="24"/>
          <w:lang w:eastAsia="ar-SA"/>
        </w:rPr>
        <w:lastRenderedPageBreak/>
        <w:t>Projekty w podziale na obszary wsparcia</w:t>
      </w:r>
    </w:p>
    <w:p w14:paraId="4D51440D" w14:textId="1A543425" w:rsidR="003E508E" w:rsidRPr="003E508E" w:rsidRDefault="003E508E" w:rsidP="003E508E">
      <w:pPr>
        <w:shd w:val="clear" w:color="auto" w:fill="FFFFFF"/>
        <w:tabs>
          <w:tab w:val="left" w:pos="1276"/>
        </w:tabs>
        <w:autoSpaceDE w:val="0"/>
        <w:autoSpaceDN w:val="0"/>
        <w:adjustRightInd w:val="0"/>
        <w:spacing w:after="120"/>
        <w:jc w:val="both"/>
        <w:rPr>
          <w:szCs w:val="24"/>
          <w:lang w:eastAsia="ar-SA"/>
        </w:rPr>
      </w:pPr>
      <w:r w:rsidRPr="003E508E">
        <w:rPr>
          <w:szCs w:val="24"/>
          <w:lang w:eastAsia="ar-SA"/>
        </w:rPr>
        <w:t>W priorytecie VIII większość projektów realizowana</w:t>
      </w:r>
      <w:r w:rsidR="001432FA">
        <w:rPr>
          <w:szCs w:val="24"/>
          <w:lang w:eastAsia="ar-SA"/>
        </w:rPr>
        <w:t xml:space="preserve"> była</w:t>
      </w:r>
      <w:r w:rsidRPr="003E508E">
        <w:rPr>
          <w:szCs w:val="24"/>
          <w:lang w:eastAsia="ar-SA"/>
        </w:rPr>
        <w:t xml:space="preserve"> w zakresie infrastruktury społecznej (oświata). Działania podejmowane w ramach priorytetu są powiązane z działaniami realizowanymi w ramach Programu Operacyjnego Kapitał Ludzi, </w:t>
      </w:r>
      <w:r w:rsidR="008318CC">
        <w:rPr>
          <w:szCs w:val="24"/>
          <w:lang w:eastAsia="ar-SA"/>
        </w:rPr>
        <w:t xml:space="preserve">PO </w:t>
      </w:r>
      <w:r w:rsidR="001432FA">
        <w:rPr>
          <w:szCs w:val="24"/>
          <w:lang w:eastAsia="ar-SA"/>
        </w:rPr>
        <w:t>Infrastruktura i </w:t>
      </w:r>
      <w:r w:rsidRPr="003E508E">
        <w:rPr>
          <w:szCs w:val="24"/>
          <w:lang w:eastAsia="ar-SA"/>
        </w:rPr>
        <w:t>Środowisko oraz Programu Rozwoju Obszarów Wiejskich, Programu Współpracy Transgranicznej (komplementarność międzyprogramowa).</w:t>
      </w:r>
    </w:p>
    <w:p w14:paraId="198DE2E0" w14:textId="77777777" w:rsidR="00113233" w:rsidRPr="00A374DB" w:rsidRDefault="00113233" w:rsidP="0094320D">
      <w:pPr>
        <w:spacing w:before="120" w:after="240"/>
        <w:contextualSpacing/>
        <w:jc w:val="both"/>
        <w:rPr>
          <w:b/>
          <w:szCs w:val="24"/>
          <w:lang w:eastAsia="ar-SA"/>
        </w:rPr>
      </w:pPr>
    </w:p>
    <w:p w14:paraId="0D3C0561" w14:textId="77777777" w:rsidR="00A374DB" w:rsidRPr="00A374DB" w:rsidRDefault="00A374DB" w:rsidP="00A374DB">
      <w:pPr>
        <w:tabs>
          <w:tab w:val="left" w:pos="1276"/>
        </w:tabs>
        <w:autoSpaceDE w:val="0"/>
        <w:autoSpaceDN w:val="0"/>
        <w:adjustRightInd w:val="0"/>
        <w:spacing w:after="120"/>
        <w:jc w:val="both"/>
        <w:rPr>
          <w:b/>
          <w:szCs w:val="24"/>
        </w:rPr>
      </w:pPr>
      <w:r w:rsidRPr="00A374DB">
        <w:rPr>
          <w:b/>
          <w:szCs w:val="24"/>
        </w:rPr>
        <w:t>Analiza postępu rzeczowego</w:t>
      </w:r>
    </w:p>
    <w:p w14:paraId="52A70146" w14:textId="3DADB4D0" w:rsidR="00A374DB" w:rsidRPr="00D90934" w:rsidRDefault="00A374DB" w:rsidP="00A374DB">
      <w:pPr>
        <w:pStyle w:val="Nagwek2"/>
        <w:numPr>
          <w:ilvl w:val="0"/>
          <w:numId w:val="0"/>
        </w:numPr>
        <w:spacing w:before="0" w:beforeAutospacing="0" w:after="120" w:afterAutospacing="0" w:line="276" w:lineRule="auto"/>
        <w:jc w:val="both"/>
        <w:rPr>
          <w:b w:val="0"/>
          <w:sz w:val="24"/>
          <w:szCs w:val="24"/>
        </w:rPr>
      </w:pPr>
      <w:bookmarkStart w:id="487" w:name="_Toc386571851"/>
      <w:bookmarkStart w:id="488" w:name="_Toc386572276"/>
      <w:bookmarkStart w:id="489" w:name="_Toc391466126"/>
      <w:bookmarkStart w:id="490" w:name="_Toc391466394"/>
      <w:bookmarkStart w:id="491" w:name="_Toc391466705"/>
      <w:bookmarkStart w:id="492" w:name="_Toc473117340"/>
      <w:bookmarkStart w:id="493" w:name="_Toc477779780"/>
      <w:r w:rsidRPr="00D90934">
        <w:rPr>
          <w:b w:val="0"/>
          <w:sz w:val="24"/>
          <w:szCs w:val="24"/>
        </w:rPr>
        <w:t xml:space="preserve">W </w:t>
      </w:r>
      <w:r w:rsidRPr="00A374DB">
        <w:rPr>
          <w:b w:val="0"/>
          <w:sz w:val="24"/>
          <w:szCs w:val="24"/>
        </w:rPr>
        <w:t>załączniku nr IV</w:t>
      </w:r>
      <w:r w:rsidRPr="00D90934">
        <w:rPr>
          <w:b w:val="0"/>
          <w:sz w:val="24"/>
          <w:szCs w:val="24"/>
        </w:rPr>
        <w:t xml:space="preserve"> do niniejszego </w:t>
      </w:r>
      <w:r w:rsidRPr="00D90934">
        <w:rPr>
          <w:b w:val="0"/>
          <w:i/>
          <w:sz w:val="24"/>
          <w:szCs w:val="24"/>
        </w:rPr>
        <w:t>Sprawozdania</w:t>
      </w:r>
      <w:r w:rsidRPr="00D90934">
        <w:rPr>
          <w:b w:val="0"/>
          <w:sz w:val="24"/>
          <w:szCs w:val="24"/>
        </w:rPr>
        <w:t xml:space="preserve"> zostały przedstawione programowe wskaźniki produktu i rezultatu dla priorytetu </w:t>
      </w:r>
      <w:r>
        <w:rPr>
          <w:b w:val="0"/>
          <w:sz w:val="24"/>
          <w:szCs w:val="24"/>
        </w:rPr>
        <w:t>VIII</w:t>
      </w:r>
      <w:r w:rsidRPr="00D90934">
        <w:rPr>
          <w:b w:val="0"/>
          <w:sz w:val="24"/>
          <w:szCs w:val="24"/>
        </w:rPr>
        <w:t>, dla kolejnych lat w ujęciu kumulatywnym. Przedstawione informacje prezento</w:t>
      </w:r>
      <w:r>
        <w:rPr>
          <w:b w:val="0"/>
          <w:sz w:val="24"/>
          <w:szCs w:val="24"/>
        </w:rPr>
        <w:t>wane według stanu na koniec 2016</w:t>
      </w:r>
      <w:r w:rsidRPr="00D90934">
        <w:rPr>
          <w:b w:val="0"/>
          <w:sz w:val="24"/>
          <w:szCs w:val="24"/>
        </w:rPr>
        <w:t xml:space="preserve"> roku </w:t>
      </w:r>
      <w:r>
        <w:rPr>
          <w:b w:val="0"/>
          <w:sz w:val="24"/>
          <w:szCs w:val="24"/>
        </w:rPr>
        <w:t xml:space="preserve">i zostały </w:t>
      </w:r>
      <w:r w:rsidRPr="00D90934">
        <w:rPr>
          <w:b w:val="0"/>
          <w:sz w:val="24"/>
          <w:szCs w:val="24"/>
        </w:rPr>
        <w:t>oparte na danych dotyczących operacji zakończonych. Określone zostały wartości doce</w:t>
      </w:r>
      <w:r>
        <w:rPr>
          <w:b w:val="0"/>
          <w:sz w:val="24"/>
          <w:szCs w:val="24"/>
        </w:rPr>
        <w:t>lowe dla 2010, 2013 i 2015 roku.</w:t>
      </w:r>
      <w:r w:rsidRPr="00D90934">
        <w:rPr>
          <w:b w:val="0"/>
          <w:sz w:val="24"/>
          <w:szCs w:val="24"/>
        </w:rPr>
        <w:t xml:space="preserve"> Przedstawiono także wskaźniki przedmiotowego priorytetu w podziale na działania i poddziałania.</w:t>
      </w:r>
      <w:bookmarkEnd w:id="487"/>
      <w:bookmarkEnd w:id="488"/>
      <w:bookmarkEnd w:id="489"/>
      <w:bookmarkEnd w:id="490"/>
      <w:bookmarkEnd w:id="491"/>
      <w:bookmarkEnd w:id="492"/>
      <w:bookmarkEnd w:id="493"/>
    </w:p>
    <w:p w14:paraId="6BE8CC9E" w14:textId="7C322AE0" w:rsidR="00A374DB" w:rsidRPr="00B51C4C" w:rsidRDefault="00A374DB" w:rsidP="00A374DB">
      <w:pPr>
        <w:jc w:val="both"/>
        <w:rPr>
          <w:szCs w:val="24"/>
        </w:rPr>
      </w:pPr>
      <w:r w:rsidRPr="006D71C7">
        <w:t xml:space="preserve">W priorytecie VIII wśród wskaźników </w:t>
      </w:r>
      <w:r>
        <w:t>największe trudność sprawiała realizacja wskaźników:</w:t>
      </w:r>
      <w:r w:rsidRPr="006D71C7">
        <w:t xml:space="preserve"> </w:t>
      </w:r>
      <w:r w:rsidRPr="00F50151">
        <w:rPr>
          <w:i/>
        </w:rPr>
        <w:t>Liczba projektów dot. infrastruktury społeczeństwa informacyjnego</w:t>
      </w:r>
      <w:r>
        <w:rPr>
          <w:i/>
        </w:rPr>
        <w:t xml:space="preserve"> </w:t>
      </w:r>
      <w:r>
        <w:t xml:space="preserve">oraz </w:t>
      </w:r>
      <w:r w:rsidRPr="00F50151">
        <w:rPr>
          <w:i/>
        </w:rPr>
        <w:t xml:space="preserve">Liczba </w:t>
      </w:r>
      <w:r>
        <w:rPr>
          <w:i/>
        </w:rPr>
        <w:t xml:space="preserve">studentów... </w:t>
      </w:r>
      <w:r>
        <w:t xml:space="preserve">Realizacja </w:t>
      </w:r>
      <w:r>
        <w:rPr>
          <w:szCs w:val="24"/>
        </w:rPr>
        <w:t xml:space="preserve">wskaźnika pierwszego z wymienionych powyżej była problematyczna również w pozostałych priorytetach RPO WSL, gdzie zainteresowanie beneficjentów realizacją projektów z zakresu społeczeństwa informacyjnego skupiło się na priorytecie II. W priorytecie VIII realizowane były 4 projekty z zakresu społeczeństwa informacyjnego. </w:t>
      </w:r>
      <w:r w:rsidR="00267806">
        <w:rPr>
          <w:szCs w:val="24"/>
        </w:rPr>
        <w:t xml:space="preserve">We </w:t>
      </w:r>
      <w:r>
        <w:rPr>
          <w:szCs w:val="24"/>
        </w:rPr>
        <w:t>wskaźnik</w:t>
      </w:r>
      <w:r w:rsidR="00267806">
        <w:rPr>
          <w:szCs w:val="24"/>
        </w:rPr>
        <w:t>u</w:t>
      </w:r>
      <w:r>
        <w:rPr>
          <w:szCs w:val="24"/>
        </w:rPr>
        <w:t xml:space="preserve"> </w:t>
      </w:r>
      <w:r w:rsidRPr="00F50151">
        <w:rPr>
          <w:i/>
        </w:rPr>
        <w:t xml:space="preserve">Liczba </w:t>
      </w:r>
      <w:r>
        <w:rPr>
          <w:i/>
        </w:rPr>
        <w:t>studentów</w:t>
      </w:r>
      <w:r w:rsidR="00074ADF">
        <w:rPr>
          <w:i/>
        </w:rPr>
        <w:t>…</w:t>
      </w:r>
      <w:r>
        <w:rPr>
          <w:i/>
        </w:rPr>
        <w:t xml:space="preserve"> </w:t>
      </w:r>
      <w:r>
        <w:t>osiągnięci</w:t>
      </w:r>
      <w:r w:rsidR="00267806">
        <w:t>e</w:t>
      </w:r>
      <w:r>
        <w:t xml:space="preserve"> wartości docelowej </w:t>
      </w:r>
      <w:r w:rsidR="00267806">
        <w:t xml:space="preserve">uniemożliwiło </w:t>
      </w:r>
      <w:r w:rsidR="004A29F7">
        <w:t>założenie</w:t>
      </w:r>
      <w:r w:rsidR="00267806">
        <w:t xml:space="preserve"> </w:t>
      </w:r>
      <w:r>
        <w:rPr>
          <w:szCs w:val="24"/>
        </w:rPr>
        <w:t xml:space="preserve">zbyt </w:t>
      </w:r>
      <w:r w:rsidR="00074ADF">
        <w:rPr>
          <w:szCs w:val="24"/>
        </w:rPr>
        <w:t>nisk</w:t>
      </w:r>
      <w:r w:rsidR="00267806">
        <w:rPr>
          <w:szCs w:val="24"/>
        </w:rPr>
        <w:t>iego</w:t>
      </w:r>
      <w:r>
        <w:rPr>
          <w:szCs w:val="24"/>
        </w:rPr>
        <w:t xml:space="preserve"> </w:t>
      </w:r>
      <w:r w:rsidR="00267806">
        <w:rPr>
          <w:szCs w:val="24"/>
        </w:rPr>
        <w:t>kosztu</w:t>
      </w:r>
      <w:r>
        <w:rPr>
          <w:szCs w:val="24"/>
        </w:rPr>
        <w:t xml:space="preserve"> </w:t>
      </w:r>
      <w:r w:rsidR="00074ADF">
        <w:rPr>
          <w:szCs w:val="24"/>
        </w:rPr>
        <w:t>jednostkow</w:t>
      </w:r>
      <w:r w:rsidR="004A29F7">
        <w:rPr>
          <w:szCs w:val="24"/>
        </w:rPr>
        <w:t>ego.</w:t>
      </w:r>
      <w:r>
        <w:rPr>
          <w:szCs w:val="24"/>
        </w:rPr>
        <w:t xml:space="preserve"> Założona przez IZ RPO WSL </w:t>
      </w:r>
      <w:r w:rsidR="004A29F7">
        <w:rPr>
          <w:szCs w:val="24"/>
        </w:rPr>
        <w:t xml:space="preserve">we wskaźniku </w:t>
      </w:r>
      <w:r>
        <w:rPr>
          <w:szCs w:val="24"/>
        </w:rPr>
        <w:t xml:space="preserve">wartość docelowa </w:t>
      </w:r>
      <w:r w:rsidR="004A29F7">
        <w:rPr>
          <w:szCs w:val="24"/>
        </w:rPr>
        <w:t>165 000 osób</w:t>
      </w:r>
      <w:r w:rsidR="00E45AD5">
        <w:rPr>
          <w:szCs w:val="24"/>
        </w:rPr>
        <w:t>,</w:t>
      </w:r>
      <w:r w:rsidR="00EB2920">
        <w:rPr>
          <w:szCs w:val="24"/>
        </w:rPr>
        <w:t xml:space="preserve"> aby została zrealizowana</w:t>
      </w:r>
      <w:r>
        <w:rPr>
          <w:szCs w:val="24"/>
        </w:rPr>
        <w:t xml:space="preserve"> wymagała osiągnięcia</w:t>
      </w:r>
      <w:r w:rsidRPr="00600C37">
        <w:rPr>
          <w:szCs w:val="24"/>
        </w:rPr>
        <w:t xml:space="preserve"> </w:t>
      </w:r>
      <w:r>
        <w:rPr>
          <w:szCs w:val="24"/>
        </w:rPr>
        <w:t>w</w:t>
      </w:r>
      <w:r w:rsidR="00897270">
        <w:rPr>
          <w:szCs w:val="24"/>
        </w:rPr>
        <w:t xml:space="preserve"> </w:t>
      </w:r>
      <w:r w:rsidR="00267806">
        <w:rPr>
          <w:szCs w:val="24"/>
        </w:rPr>
        <w:t xml:space="preserve">zakończonych </w:t>
      </w:r>
      <w:r>
        <w:rPr>
          <w:szCs w:val="24"/>
        </w:rPr>
        <w:t xml:space="preserve">projektach </w:t>
      </w:r>
      <w:r w:rsidR="00267806">
        <w:rPr>
          <w:szCs w:val="24"/>
        </w:rPr>
        <w:t>realizujących</w:t>
      </w:r>
      <w:r w:rsidR="00897270">
        <w:rPr>
          <w:szCs w:val="24"/>
        </w:rPr>
        <w:t xml:space="preserve"> wskaźnik </w:t>
      </w:r>
      <w:r>
        <w:rPr>
          <w:szCs w:val="24"/>
        </w:rPr>
        <w:t xml:space="preserve">kosztu jednostkowego na poziomie </w:t>
      </w:r>
      <w:r w:rsidR="00897270">
        <w:rPr>
          <w:szCs w:val="24"/>
        </w:rPr>
        <w:t>180</w:t>
      </w:r>
      <w:r>
        <w:rPr>
          <w:szCs w:val="24"/>
        </w:rPr>
        <w:t>,</w:t>
      </w:r>
      <w:r w:rsidR="00897270">
        <w:rPr>
          <w:szCs w:val="24"/>
        </w:rPr>
        <w:t>40</w:t>
      </w:r>
      <w:r>
        <w:rPr>
          <w:szCs w:val="24"/>
        </w:rPr>
        <w:t> EUR, co w rzeczywistości projektowej okazało się wartością nieosiągalną – koszt jednostokowy dla ww. wskaźnika był niemal dwukrotnie wyższy</w:t>
      </w:r>
      <w:r w:rsidR="00267806">
        <w:rPr>
          <w:szCs w:val="24"/>
        </w:rPr>
        <w:t xml:space="preserve"> i wyniósł 348,06 EUR</w:t>
      </w:r>
      <w:r>
        <w:rPr>
          <w:szCs w:val="24"/>
        </w:rPr>
        <w:t>.</w:t>
      </w:r>
    </w:p>
    <w:p w14:paraId="5CFEC2B5" w14:textId="1AEE07E1" w:rsidR="00A374DB" w:rsidRPr="00551CB5" w:rsidRDefault="00A374DB" w:rsidP="00A374DB">
      <w:pPr>
        <w:spacing w:after="120"/>
        <w:jc w:val="both"/>
      </w:pPr>
      <w:r w:rsidRPr="00B51C4C">
        <w:t xml:space="preserve">W </w:t>
      </w:r>
      <w:r>
        <w:t>p</w:t>
      </w:r>
      <w:r w:rsidRPr="00B51C4C">
        <w:t xml:space="preserve">riorytecie VIII jak wynika z postępu rzeczowego wskaźnika </w:t>
      </w:r>
      <w:r w:rsidRPr="00301334">
        <w:rPr>
          <w:i/>
          <w:iCs/>
        </w:rPr>
        <w:t>Liczba projektów z zakresu edukacji</w:t>
      </w:r>
      <w:r w:rsidR="008318CC">
        <w:rPr>
          <w:i/>
          <w:iCs/>
        </w:rPr>
        <w:t>,</w:t>
      </w:r>
      <w:r w:rsidRPr="0045346B">
        <w:rPr>
          <w:i/>
          <w:iCs/>
        </w:rPr>
        <w:t xml:space="preserve"> </w:t>
      </w:r>
      <w:r>
        <w:rPr>
          <w:iCs/>
        </w:rPr>
        <w:t xml:space="preserve">zrealizowanych zostało więcej projektów niż zakładano, co dotyczy również projektów dedykowanych wsparciu szkolnictwa wyższego, na co wskazuje wysoka realizacja podwskaźnika </w:t>
      </w:r>
      <w:r w:rsidRPr="00301334">
        <w:rPr>
          <w:i/>
          <w:iCs/>
        </w:rPr>
        <w:t>Liczba projektów z zakresu edukacji, w tym: infrastruktury szkolnictwa wyższego</w:t>
      </w:r>
      <w:r>
        <w:rPr>
          <w:i/>
          <w:iCs/>
        </w:rPr>
        <w:t>.</w:t>
      </w:r>
      <w:r>
        <w:rPr>
          <w:iCs/>
        </w:rPr>
        <w:t xml:space="preserve"> Powyższą sytuację </w:t>
      </w:r>
      <w:r>
        <w:t xml:space="preserve">wiązać należy z mniejszą od przewidywanej </w:t>
      </w:r>
      <w:r>
        <w:rPr>
          <w:iCs/>
        </w:rPr>
        <w:t xml:space="preserve">średniej wartości projektu, którą szacowano na </w:t>
      </w:r>
      <w:r w:rsidRPr="00423BBB">
        <w:rPr>
          <w:iCs/>
        </w:rPr>
        <w:t>poziomie</w:t>
      </w:r>
      <w:r>
        <w:rPr>
          <w:iCs/>
        </w:rPr>
        <w:t xml:space="preserve"> </w:t>
      </w:r>
      <w:r w:rsidRPr="00301334">
        <w:rPr>
          <w:iCs/>
        </w:rPr>
        <w:t>1</w:t>
      </w:r>
      <w:r>
        <w:rPr>
          <w:iCs/>
        </w:rPr>
        <w:t>,</w:t>
      </w:r>
      <w:r w:rsidRPr="00301334">
        <w:rPr>
          <w:iCs/>
        </w:rPr>
        <w:t>03</w:t>
      </w:r>
      <w:r>
        <w:rPr>
          <w:iCs/>
        </w:rPr>
        <w:t xml:space="preserve"> mln</w:t>
      </w:r>
      <w:r w:rsidR="00074ADF">
        <w:rPr>
          <w:iCs/>
        </w:rPr>
        <w:t xml:space="preserve"> EUR</w:t>
      </w:r>
      <w:r>
        <w:rPr>
          <w:iCs/>
        </w:rPr>
        <w:t>, podczas gdy średnia wartość wspartych w priorytecie projektów wyniosła</w:t>
      </w:r>
      <w:r w:rsidRPr="00301334">
        <w:rPr>
          <w:iCs/>
        </w:rPr>
        <w:t xml:space="preserve"> </w:t>
      </w:r>
      <w:r>
        <w:rPr>
          <w:iCs/>
        </w:rPr>
        <w:t>0,</w:t>
      </w:r>
      <w:r w:rsidRPr="00301334">
        <w:rPr>
          <w:iCs/>
        </w:rPr>
        <w:t>81</w:t>
      </w:r>
      <w:r>
        <w:rPr>
          <w:iCs/>
        </w:rPr>
        <w:t>mln</w:t>
      </w:r>
      <w:r w:rsidR="00074ADF">
        <w:rPr>
          <w:iCs/>
        </w:rPr>
        <w:t xml:space="preserve"> EUR</w:t>
      </w:r>
      <w:r>
        <w:rPr>
          <w:iCs/>
        </w:rPr>
        <w:t>.</w:t>
      </w:r>
      <w:r>
        <w:rPr>
          <w:i/>
          <w:iCs/>
        </w:rPr>
        <w:t xml:space="preserve"> </w:t>
      </w:r>
      <w:r>
        <w:rPr>
          <w:iCs/>
        </w:rPr>
        <w:t>Tym samym również w przypadku grupy wskaźników dotyczących wspieranych obiektów w poszczególnych typach szkół</w:t>
      </w:r>
      <w:r w:rsidR="00074ADF">
        <w:rPr>
          <w:iCs/>
        </w:rPr>
        <w:t xml:space="preserve"> t</w:t>
      </w:r>
      <w:r>
        <w:rPr>
          <w:iCs/>
        </w:rPr>
        <w:t xml:space="preserve">j.: </w:t>
      </w:r>
      <w:r w:rsidRPr="00074ADF">
        <w:rPr>
          <w:i/>
          <w:iCs/>
        </w:rPr>
        <w:t>Liczba obiektów dydaktycznych objętych wsparciem, Liczba obiektów (…), w tym: dot. szkolnictwa wyższego, Liczba obiektów (…), w tym: dot. kształcenia ustawicznego</w:t>
      </w:r>
      <w:r>
        <w:rPr>
          <w:iCs/>
        </w:rPr>
        <w:t xml:space="preserve"> przyczyn realizacji przekraczającej wartość docelową należy w sposób bezpośredni upatrywać w większej realizacji wskaźników typu liczba projektów, gdzie nawet przy minimalnym założeniu, że jeden projekt realizuje najwyżej jeden obiekt</w:t>
      </w:r>
      <w:r w:rsidR="008318CC">
        <w:rPr>
          <w:iCs/>
        </w:rPr>
        <w:t>,</w:t>
      </w:r>
      <w:r>
        <w:rPr>
          <w:iCs/>
        </w:rPr>
        <w:t xml:space="preserve"> nastąpiłoby przekroczenie wartości docelowej wskaźnika dot. liczby wspartych obiektów. Analogicznie</w:t>
      </w:r>
      <w:r w:rsidR="008318CC">
        <w:rPr>
          <w:iCs/>
        </w:rPr>
        <w:t>,</w:t>
      </w:r>
      <w:r>
        <w:rPr>
          <w:iCs/>
        </w:rPr>
        <w:t xml:space="preserve"> w przypadku wskaźników rezultatu </w:t>
      </w:r>
      <w:r w:rsidRPr="00074ADF">
        <w:rPr>
          <w:i/>
          <w:iCs/>
        </w:rPr>
        <w:t>Liczba uczniów korzystających ze wspartej infrastruktury edukacyjnej i Liczba osób korzystających ze wspartej infrastruktury kształcenia ustawicznego</w:t>
      </w:r>
      <w:r w:rsidR="008318CC">
        <w:rPr>
          <w:i/>
          <w:iCs/>
        </w:rPr>
        <w:t>,</w:t>
      </w:r>
      <w:r>
        <w:rPr>
          <w:iCs/>
        </w:rPr>
        <w:t xml:space="preserve"> większa od zakładanej </w:t>
      </w:r>
      <w:r>
        <w:rPr>
          <w:iCs/>
        </w:rPr>
        <w:lastRenderedPageBreak/>
        <w:t>liczba zrealizowanych projektów przełożyła się na uzyskanie przez te wskaźniki realizacji przekraczającej ich wartość docelową.</w:t>
      </w:r>
    </w:p>
    <w:p w14:paraId="2FF9D799" w14:textId="1ED0D037" w:rsidR="0081420D" w:rsidRPr="00271A6D" w:rsidRDefault="0081420D" w:rsidP="0081420D">
      <w:pPr>
        <w:jc w:val="both"/>
      </w:pPr>
      <w:r>
        <w:t>Poniżej na wykresie zaprezentowano podział wskaźników ze względu na procent realizacji wartości docelowej.</w:t>
      </w:r>
    </w:p>
    <w:p w14:paraId="556F12D8" w14:textId="77777777" w:rsidR="00A374DB" w:rsidRDefault="00A374DB" w:rsidP="00A374DB">
      <w:r>
        <w:rPr>
          <w:noProof/>
        </w:rPr>
        <w:drawing>
          <wp:inline distT="0" distB="0" distL="0" distR="0" wp14:anchorId="2A9895CD" wp14:editId="01A00054">
            <wp:extent cx="5991225" cy="2924175"/>
            <wp:effectExtent l="0" t="0" r="0" b="0"/>
            <wp:docPr id="144" name="Wykres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2132C5AF" w14:textId="071CDAAF" w:rsidR="00A374DB" w:rsidRDefault="004D7598" w:rsidP="004D7598">
      <w:pPr>
        <w:pStyle w:val="Legenda"/>
        <w:rPr>
          <w:b w:val="0"/>
          <w:i/>
          <w:color w:val="auto"/>
          <w:sz w:val="20"/>
          <w:szCs w:val="20"/>
        </w:rPr>
      </w:pPr>
      <w:bookmarkStart w:id="494" w:name="_Toc386571482"/>
      <w:bookmarkStart w:id="495" w:name="_Toc476832975"/>
      <w:r w:rsidRPr="003A31E7">
        <w:rPr>
          <w:color w:val="auto"/>
        </w:rPr>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57</w:t>
      </w:r>
      <w:r w:rsidR="00A44293" w:rsidRPr="003A31E7">
        <w:rPr>
          <w:noProof/>
          <w:color w:val="auto"/>
        </w:rPr>
        <w:fldChar w:fldCharType="end"/>
      </w:r>
      <w:r w:rsidRPr="003A31E7">
        <w:rPr>
          <w:color w:val="auto"/>
        </w:rPr>
        <w:t xml:space="preserve"> </w:t>
      </w:r>
      <w:r w:rsidR="003A31E7">
        <w:rPr>
          <w:b w:val="0"/>
          <w:i/>
          <w:color w:val="auto"/>
          <w:sz w:val="20"/>
          <w:szCs w:val="20"/>
        </w:rPr>
        <w:t>Osiągnięty</w:t>
      </w:r>
      <w:r w:rsidR="005D38A0">
        <w:rPr>
          <w:b w:val="0"/>
          <w:i/>
          <w:color w:val="auto"/>
          <w:sz w:val="20"/>
          <w:szCs w:val="20"/>
        </w:rPr>
        <w:t xml:space="preserve"> poziom wartości docelowej</w:t>
      </w:r>
      <w:r w:rsidR="00A374DB" w:rsidRPr="00BC2ECC">
        <w:rPr>
          <w:b w:val="0"/>
          <w:i/>
          <w:color w:val="auto"/>
          <w:sz w:val="20"/>
          <w:szCs w:val="20"/>
        </w:rPr>
        <w:t xml:space="preserve"> wskaźników w ramach priorytetu </w:t>
      </w:r>
      <w:r w:rsidR="00A374DB">
        <w:rPr>
          <w:b w:val="0"/>
          <w:i/>
          <w:color w:val="auto"/>
          <w:sz w:val="20"/>
          <w:szCs w:val="20"/>
        </w:rPr>
        <w:t>VIII</w:t>
      </w:r>
      <w:bookmarkEnd w:id="494"/>
      <w:bookmarkEnd w:id="495"/>
    </w:p>
    <w:p w14:paraId="090822B8" w14:textId="77777777" w:rsidR="00074ADF" w:rsidRDefault="00074ADF" w:rsidP="00074ADF">
      <w:pPr>
        <w:spacing w:after="240"/>
        <w:jc w:val="both"/>
      </w:pPr>
      <w:r w:rsidRPr="006D71C7">
        <w:t xml:space="preserve">Postęp wskaźnika </w:t>
      </w:r>
      <w:r w:rsidRPr="006D71C7">
        <w:rPr>
          <w:rFonts w:eastAsia="Arial" w:cs="Arial"/>
          <w:i/>
        </w:rPr>
        <w:t xml:space="preserve">Liczba obiektów dydaktycznych objętych wsparciem </w:t>
      </w:r>
      <w:r w:rsidRPr="006D71C7">
        <w:t xml:space="preserve">stanowi odpowiedź na wskazaną w analizie SWOT słabą stronę „niedoinwestowanie </w:t>
      </w:r>
      <w:r>
        <w:t>infrastruktury edukacyjnej”. R</w:t>
      </w:r>
      <w:r w:rsidRPr="006D71C7">
        <w:t>ealizacj</w:t>
      </w:r>
      <w:r>
        <w:t>a</w:t>
      </w:r>
      <w:r w:rsidRPr="006D71C7">
        <w:t xml:space="preserve"> </w:t>
      </w:r>
      <w:r>
        <w:t>wskaźnika osiągnęła poziom 120</w:t>
      </w:r>
      <w:r w:rsidRPr="006D71C7">
        <w:t xml:space="preserve"> sztuk przy założonej wartości docelowej dla 2015 roku wynoszącej 53 sztuki</w:t>
      </w:r>
      <w:r>
        <w:t>, co oznacza zrealizowanie wskaźnika w 226,42%</w:t>
      </w:r>
      <w:r w:rsidRPr="006D71C7">
        <w:t xml:space="preserve">. </w:t>
      </w:r>
    </w:p>
    <w:p w14:paraId="33D67C8D" w14:textId="4BB9A26D" w:rsidR="00A374DB" w:rsidRDefault="00A374DB" w:rsidP="00A374DB">
      <w:pPr>
        <w:jc w:val="both"/>
      </w:pPr>
      <w:r>
        <w:t xml:space="preserve">Korelację pomiędzy wskaźnikami w ramach </w:t>
      </w:r>
      <w:r w:rsidR="005D38A0">
        <w:t>priorytetu VIII</w:t>
      </w:r>
      <w:r>
        <w:t xml:space="preserve"> a Strategią UE 2020 (inicjatywami flagowymi) przedstawiono poniżej.</w:t>
      </w:r>
    </w:p>
    <w:p w14:paraId="0BB3B8CD" w14:textId="3DA691D3" w:rsidR="0081420D" w:rsidRPr="0081420D" w:rsidRDefault="004D7598" w:rsidP="004D7598">
      <w:pPr>
        <w:pStyle w:val="Legenda"/>
        <w:rPr>
          <w:i/>
          <w:color w:val="auto"/>
          <w:sz w:val="20"/>
          <w:szCs w:val="20"/>
        </w:rPr>
      </w:pPr>
      <w:bookmarkStart w:id="496" w:name="_Toc476131819"/>
      <w:r w:rsidRPr="001432FA">
        <w:rPr>
          <w:color w:val="0D0D0D" w:themeColor="text1" w:themeTint="F2"/>
        </w:rPr>
        <w:t xml:space="preserve">Tabela </w:t>
      </w:r>
      <w:r w:rsidR="00C7108F" w:rsidRPr="001432FA">
        <w:rPr>
          <w:color w:val="0D0D0D" w:themeColor="text1" w:themeTint="F2"/>
        </w:rPr>
        <w:fldChar w:fldCharType="begin"/>
      </w:r>
      <w:r w:rsidR="00C7108F" w:rsidRPr="001432FA">
        <w:rPr>
          <w:color w:val="0D0D0D" w:themeColor="text1" w:themeTint="F2"/>
        </w:rPr>
        <w:instrText xml:space="preserve"> SEQ Tabela \* ARABIC </w:instrText>
      </w:r>
      <w:r w:rsidR="00C7108F" w:rsidRPr="001432FA">
        <w:rPr>
          <w:color w:val="0D0D0D" w:themeColor="text1" w:themeTint="F2"/>
        </w:rPr>
        <w:fldChar w:fldCharType="separate"/>
      </w:r>
      <w:r w:rsidR="0050297D">
        <w:rPr>
          <w:noProof/>
          <w:color w:val="0D0D0D" w:themeColor="text1" w:themeTint="F2"/>
        </w:rPr>
        <w:t>36</w:t>
      </w:r>
      <w:r w:rsidR="00C7108F" w:rsidRPr="001432FA">
        <w:rPr>
          <w:noProof/>
          <w:color w:val="0D0D0D" w:themeColor="text1" w:themeTint="F2"/>
        </w:rPr>
        <w:fldChar w:fldCharType="end"/>
      </w:r>
      <w:r>
        <w:t xml:space="preserve"> </w:t>
      </w:r>
      <w:r w:rsidR="0081420D" w:rsidRPr="005D38A0">
        <w:rPr>
          <w:b w:val="0"/>
          <w:i/>
          <w:color w:val="auto"/>
          <w:sz w:val="20"/>
          <w:szCs w:val="20"/>
        </w:rPr>
        <w:t xml:space="preserve">Korelację pomiędzy wskaźnikami w ramach </w:t>
      </w:r>
      <w:r w:rsidR="005D38A0" w:rsidRPr="005D38A0">
        <w:rPr>
          <w:b w:val="0"/>
          <w:i/>
          <w:color w:val="auto"/>
          <w:sz w:val="20"/>
          <w:szCs w:val="20"/>
        </w:rPr>
        <w:t>priorytetu VIII</w:t>
      </w:r>
      <w:r w:rsidR="0081420D" w:rsidRPr="005D38A0">
        <w:rPr>
          <w:b w:val="0"/>
          <w:i/>
          <w:color w:val="auto"/>
          <w:sz w:val="20"/>
          <w:szCs w:val="20"/>
        </w:rPr>
        <w:t xml:space="preserve"> a Strategią UE 2020</w:t>
      </w:r>
      <w:bookmarkEnd w:id="496"/>
    </w:p>
    <w:tbl>
      <w:tblPr>
        <w:tblStyle w:val="Tabelalisty3akcent6"/>
        <w:tblW w:w="0" w:type="auto"/>
        <w:tblLook w:val="04A0" w:firstRow="1" w:lastRow="0" w:firstColumn="1" w:lastColumn="0" w:noHBand="0" w:noVBand="1"/>
      </w:tblPr>
      <w:tblGrid>
        <w:gridCol w:w="4530"/>
        <w:gridCol w:w="4530"/>
      </w:tblGrid>
      <w:tr w:rsidR="0081420D" w14:paraId="44A657D1" w14:textId="77777777" w:rsidTr="001432F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0" w:type="dxa"/>
            <w:vAlign w:val="center"/>
          </w:tcPr>
          <w:p w14:paraId="36554604" w14:textId="1A8DAA50" w:rsidR="0081420D" w:rsidRPr="0081420D" w:rsidRDefault="001432FA" w:rsidP="001432FA">
            <w:pPr>
              <w:jc w:val="center"/>
              <w:rPr>
                <w:color w:val="auto"/>
                <w:sz w:val="20"/>
                <w:szCs w:val="20"/>
              </w:rPr>
            </w:pPr>
            <w:r w:rsidRPr="0081420D">
              <w:rPr>
                <w:color w:val="auto"/>
                <w:sz w:val="20"/>
                <w:szCs w:val="20"/>
              </w:rPr>
              <w:t>INICJATYWA FLAGOWA</w:t>
            </w:r>
          </w:p>
        </w:tc>
        <w:tc>
          <w:tcPr>
            <w:tcW w:w="4530" w:type="dxa"/>
            <w:vAlign w:val="center"/>
          </w:tcPr>
          <w:p w14:paraId="006BDA67" w14:textId="636EA45F" w:rsidR="0081420D" w:rsidRPr="0081420D" w:rsidRDefault="001432FA" w:rsidP="001432FA">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1420D">
              <w:rPr>
                <w:color w:val="auto"/>
                <w:sz w:val="20"/>
                <w:szCs w:val="20"/>
              </w:rPr>
              <w:t>WSKAŹNIKI</w:t>
            </w:r>
          </w:p>
        </w:tc>
      </w:tr>
      <w:tr w:rsidR="0081420D" w14:paraId="56D6D031" w14:textId="77777777" w:rsidTr="001432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0DE11FCD" w14:textId="77777777" w:rsidR="0081420D" w:rsidRPr="001432FA" w:rsidRDefault="0081420D" w:rsidP="001432FA">
            <w:pPr>
              <w:spacing w:after="0" w:line="240" w:lineRule="auto"/>
              <w:contextualSpacing/>
              <w:rPr>
                <w:b w:val="0"/>
                <w:sz w:val="20"/>
                <w:szCs w:val="20"/>
              </w:rPr>
            </w:pPr>
          </w:p>
          <w:p w14:paraId="23127DCD" w14:textId="77777777" w:rsidR="0081420D" w:rsidRPr="001432FA" w:rsidRDefault="0081420D" w:rsidP="001432FA">
            <w:pPr>
              <w:spacing w:after="0" w:line="240" w:lineRule="auto"/>
              <w:contextualSpacing/>
              <w:rPr>
                <w:b w:val="0"/>
                <w:sz w:val="20"/>
                <w:szCs w:val="20"/>
              </w:rPr>
            </w:pPr>
            <w:r w:rsidRPr="001432FA">
              <w:rPr>
                <w:rFonts w:eastAsia="+mn-ea"/>
                <w:b w:val="0"/>
                <w:sz w:val="20"/>
                <w:szCs w:val="20"/>
              </w:rPr>
              <w:t>Europejska Agenda Cyfrowa</w:t>
            </w:r>
          </w:p>
          <w:p w14:paraId="3C83C1D2" w14:textId="77777777" w:rsidR="0081420D" w:rsidRPr="001432FA" w:rsidRDefault="0081420D" w:rsidP="001432FA">
            <w:pPr>
              <w:rPr>
                <w:b w:val="0"/>
                <w:sz w:val="20"/>
                <w:szCs w:val="20"/>
              </w:rPr>
            </w:pPr>
          </w:p>
        </w:tc>
        <w:tc>
          <w:tcPr>
            <w:tcW w:w="4530" w:type="dxa"/>
            <w:vAlign w:val="center"/>
          </w:tcPr>
          <w:p w14:paraId="25AF72E0" w14:textId="3E537B71" w:rsidR="0081420D" w:rsidRPr="001432FA" w:rsidRDefault="0081420D" w:rsidP="001432FA">
            <w:p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rPr>
            </w:pPr>
            <w:r w:rsidRPr="001432FA">
              <w:rPr>
                <w:rFonts w:eastAsia="+mn-ea"/>
                <w:i/>
                <w:iCs/>
                <w:sz w:val="20"/>
                <w:szCs w:val="20"/>
              </w:rPr>
              <w:t>Liczba projektów dot. infrastruktury społeczeństwa informacyjnego</w:t>
            </w:r>
          </w:p>
        </w:tc>
      </w:tr>
      <w:tr w:rsidR="0081420D" w14:paraId="311870C8" w14:textId="77777777" w:rsidTr="001432FA">
        <w:trPr>
          <w:trHeight w:val="1652"/>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682FF334" w14:textId="77777777" w:rsidR="0081420D" w:rsidRPr="001432FA" w:rsidRDefault="0081420D" w:rsidP="001432FA">
            <w:pPr>
              <w:spacing w:after="0" w:line="240" w:lineRule="auto"/>
              <w:contextualSpacing/>
              <w:rPr>
                <w:rFonts w:eastAsia="+mn-ea"/>
                <w:b w:val="0"/>
                <w:sz w:val="20"/>
                <w:szCs w:val="20"/>
              </w:rPr>
            </w:pPr>
          </w:p>
          <w:p w14:paraId="0BBAA861" w14:textId="77777777" w:rsidR="0081420D" w:rsidRPr="001432FA" w:rsidRDefault="0081420D" w:rsidP="001432FA">
            <w:pPr>
              <w:spacing w:after="0" w:line="240" w:lineRule="auto"/>
              <w:contextualSpacing/>
              <w:rPr>
                <w:b w:val="0"/>
                <w:sz w:val="20"/>
                <w:szCs w:val="20"/>
              </w:rPr>
            </w:pPr>
            <w:r w:rsidRPr="001432FA">
              <w:rPr>
                <w:rFonts w:eastAsia="+mn-ea"/>
                <w:b w:val="0"/>
                <w:sz w:val="20"/>
                <w:szCs w:val="20"/>
              </w:rPr>
              <w:t>Młodzież w drodze</w:t>
            </w:r>
          </w:p>
          <w:p w14:paraId="7A89EFC7" w14:textId="77777777" w:rsidR="0081420D" w:rsidRPr="001432FA" w:rsidRDefault="0081420D" w:rsidP="001432FA">
            <w:pPr>
              <w:rPr>
                <w:b w:val="0"/>
                <w:sz w:val="20"/>
                <w:szCs w:val="20"/>
              </w:rPr>
            </w:pPr>
          </w:p>
        </w:tc>
        <w:tc>
          <w:tcPr>
            <w:tcW w:w="4530" w:type="dxa"/>
            <w:vAlign w:val="center"/>
          </w:tcPr>
          <w:p w14:paraId="473734CE" w14:textId="77777777" w:rsidR="0081420D" w:rsidRPr="001432FA" w:rsidRDefault="0081420D" w:rsidP="001432F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
                <w:iCs/>
                <w:sz w:val="20"/>
                <w:szCs w:val="20"/>
              </w:rPr>
              <w:t>Liczba projektów z zakresu edukacji, w tym: infrastruktury szkolnictwa wyższego,</w:t>
            </w:r>
          </w:p>
          <w:p w14:paraId="2BF19FF9" w14:textId="77777777" w:rsidR="0081420D" w:rsidRPr="001432FA" w:rsidRDefault="0081420D" w:rsidP="001432F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
                <w:iCs/>
                <w:sz w:val="20"/>
                <w:szCs w:val="20"/>
              </w:rPr>
              <w:t>Liczba obiektów dydaktycznych objętych wsparciem, w tym: dot. szkolnictwa wyższego</w:t>
            </w:r>
          </w:p>
          <w:p w14:paraId="18C0A220" w14:textId="6F248C86" w:rsidR="0081420D" w:rsidRPr="001432FA" w:rsidRDefault="0081420D" w:rsidP="001432F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1432FA">
              <w:rPr>
                <w:rFonts w:eastAsia="+mn-ea"/>
                <w:i/>
                <w:iCs/>
                <w:sz w:val="20"/>
                <w:szCs w:val="20"/>
              </w:rPr>
              <w:t>Liczba studentów korzystających ze wspartej infrastruktury edukacyjnej</w:t>
            </w:r>
          </w:p>
        </w:tc>
      </w:tr>
    </w:tbl>
    <w:p w14:paraId="6BBAA9EA" w14:textId="77777777" w:rsidR="0081420D" w:rsidRDefault="0081420D" w:rsidP="00A374DB">
      <w:pPr>
        <w:spacing w:after="0"/>
        <w:jc w:val="both"/>
      </w:pPr>
    </w:p>
    <w:p w14:paraId="26DADE36" w14:textId="77777777" w:rsidR="001432FA" w:rsidRPr="001432FA" w:rsidRDefault="00A374DB" w:rsidP="00A374DB">
      <w:pPr>
        <w:spacing w:after="0"/>
        <w:jc w:val="both"/>
      </w:pPr>
      <w:r w:rsidRPr="001432FA">
        <w:t>W ramach priorytetu realizowane były trzy wskaźn</w:t>
      </w:r>
      <w:r w:rsidR="0081420D" w:rsidRPr="001432FA">
        <w:t>iki Komisji Europejskiej tzw. (c</w:t>
      </w:r>
      <w:r w:rsidRPr="001432FA">
        <w:t xml:space="preserve">ore Indicators): </w:t>
      </w:r>
    </w:p>
    <w:p w14:paraId="44D9FC39" w14:textId="77777777" w:rsidR="001432FA" w:rsidRPr="001432FA" w:rsidRDefault="00A374DB" w:rsidP="001432FA">
      <w:pPr>
        <w:pStyle w:val="Akapitzlist"/>
        <w:numPr>
          <w:ilvl w:val="0"/>
          <w:numId w:val="111"/>
        </w:numPr>
        <w:spacing w:after="0"/>
        <w:jc w:val="both"/>
      </w:pPr>
      <w:r w:rsidRPr="001432FA">
        <w:t xml:space="preserve">Liczba projektów z zakresu edukacji, </w:t>
      </w:r>
    </w:p>
    <w:p w14:paraId="2264CBDA" w14:textId="77777777" w:rsidR="001432FA" w:rsidRPr="001432FA" w:rsidRDefault="00A374DB" w:rsidP="001432FA">
      <w:pPr>
        <w:pStyle w:val="Akapitzlist"/>
        <w:numPr>
          <w:ilvl w:val="0"/>
          <w:numId w:val="111"/>
        </w:numPr>
        <w:spacing w:after="0"/>
        <w:jc w:val="both"/>
      </w:pPr>
      <w:r w:rsidRPr="001432FA">
        <w:lastRenderedPageBreak/>
        <w:t xml:space="preserve">Liczba projektów dot. infrastruktury społeczeństwa informacyjnego, </w:t>
      </w:r>
    </w:p>
    <w:p w14:paraId="137FD845" w14:textId="0FED22C5" w:rsidR="00A374DB" w:rsidRPr="001432FA" w:rsidRDefault="00A374DB" w:rsidP="001432FA">
      <w:pPr>
        <w:pStyle w:val="Akapitzlist"/>
        <w:numPr>
          <w:ilvl w:val="0"/>
          <w:numId w:val="111"/>
        </w:numPr>
        <w:spacing w:after="0"/>
        <w:jc w:val="both"/>
      </w:pPr>
      <w:r w:rsidRPr="001432FA">
        <w:t>Liczba studentów korzystających ze wspartej infrastruktury edukacyjnej.</w:t>
      </w:r>
    </w:p>
    <w:p w14:paraId="175B985D" w14:textId="77777777" w:rsidR="001432FA" w:rsidRDefault="001432FA" w:rsidP="0094320D">
      <w:pPr>
        <w:spacing w:after="120"/>
        <w:jc w:val="both"/>
        <w:rPr>
          <w:rFonts w:eastAsia="Calibri"/>
          <w:b/>
          <w:bCs/>
          <w:szCs w:val="24"/>
          <w:lang w:eastAsia="en-US"/>
        </w:rPr>
      </w:pPr>
    </w:p>
    <w:p w14:paraId="41B01F63" w14:textId="050F5E3A" w:rsidR="00BD6D3C" w:rsidRPr="0094320D" w:rsidRDefault="00DB05C5" w:rsidP="0094320D">
      <w:pPr>
        <w:spacing w:after="120"/>
        <w:jc w:val="both"/>
        <w:rPr>
          <w:rFonts w:eastAsia="Calibri"/>
          <w:b/>
          <w:bCs/>
          <w:szCs w:val="24"/>
          <w:lang w:eastAsia="en-US"/>
        </w:rPr>
      </w:pPr>
      <w:r w:rsidRPr="0094320D">
        <w:rPr>
          <w:rFonts w:eastAsia="Calibri"/>
          <w:b/>
          <w:bCs/>
          <w:szCs w:val="24"/>
          <w:lang w:eastAsia="en-US"/>
        </w:rPr>
        <w:t>Realizacja ewentua</w:t>
      </w:r>
      <w:r w:rsidR="005A79F9">
        <w:rPr>
          <w:rFonts w:eastAsia="Calibri"/>
          <w:b/>
          <w:bCs/>
          <w:szCs w:val="24"/>
          <w:lang w:eastAsia="en-US"/>
        </w:rPr>
        <w:t>lnych zaleceń i rekomendacji KE</w:t>
      </w:r>
    </w:p>
    <w:p w14:paraId="743D32CD" w14:textId="324B7C65" w:rsidR="00DB05C5" w:rsidRDefault="00DB05C5" w:rsidP="00DB05C5">
      <w:pPr>
        <w:jc w:val="both"/>
        <w:rPr>
          <w:lang w:eastAsia="ar-SA"/>
        </w:rPr>
      </w:pPr>
      <w:r w:rsidRPr="00BA2CDA">
        <w:rPr>
          <w:lang w:eastAsia="ar-SA"/>
        </w:rPr>
        <w:t xml:space="preserve">IZ RPO WSL </w:t>
      </w:r>
      <w:r>
        <w:rPr>
          <w:lang w:eastAsia="ar-SA"/>
        </w:rPr>
        <w:t>otrzymywała zalecenie/rekomendacje ze stro</w:t>
      </w:r>
      <w:r w:rsidR="00A81EC0">
        <w:rPr>
          <w:lang w:eastAsia="ar-SA"/>
        </w:rPr>
        <w:t>n</w:t>
      </w:r>
      <w:r>
        <w:rPr>
          <w:lang w:eastAsia="ar-SA"/>
        </w:rPr>
        <w:t>y KE w ramach przedmiotowego priorytetu, które omawiane były podczas spotkania bilateralnego lub wyjaśniane w kolejnych sprawozdaniach rocznych.</w:t>
      </w:r>
    </w:p>
    <w:p w14:paraId="2EE993AA" w14:textId="77777777" w:rsidR="00850645" w:rsidRDefault="00850645" w:rsidP="005152DE">
      <w:pPr>
        <w:spacing w:before="120" w:after="120"/>
        <w:jc w:val="both"/>
        <w:rPr>
          <w:b/>
          <w:lang w:eastAsia="ar-SA"/>
        </w:rPr>
      </w:pPr>
      <w:r w:rsidRPr="00194369">
        <w:rPr>
          <w:b/>
          <w:lang w:eastAsia="ar-SA"/>
        </w:rPr>
        <w:t>Opis wkładu priorytetu w redukcję ubóstwa</w:t>
      </w:r>
    </w:p>
    <w:p w14:paraId="51D2A2EB" w14:textId="3F4DDE9C" w:rsidR="00850645" w:rsidRDefault="00850645" w:rsidP="005152DE">
      <w:pPr>
        <w:autoSpaceDE w:val="0"/>
        <w:autoSpaceDN w:val="0"/>
        <w:adjustRightInd w:val="0"/>
        <w:spacing w:before="120" w:after="120"/>
        <w:jc w:val="both"/>
        <w:rPr>
          <w:rFonts w:eastAsia="Calibri"/>
          <w:szCs w:val="24"/>
        </w:rPr>
      </w:pPr>
      <w:r>
        <w:rPr>
          <w:rFonts w:eastAsia="Calibri"/>
          <w:szCs w:val="24"/>
        </w:rPr>
        <w:t xml:space="preserve">W ramach priorytetu </w:t>
      </w:r>
      <w:r w:rsidR="008318CC">
        <w:rPr>
          <w:rFonts w:eastAsia="Calibri"/>
          <w:szCs w:val="24"/>
        </w:rPr>
        <w:t>na</w:t>
      </w:r>
      <w:r>
        <w:rPr>
          <w:rFonts w:eastAsia="Calibri"/>
          <w:szCs w:val="24"/>
        </w:rPr>
        <w:t xml:space="preserve"> redukcję ubóstwa zostało przeznaczonych 82,55 mln EUR</w:t>
      </w:r>
      <w:r w:rsidR="008318CC" w:rsidRPr="008318CC">
        <w:rPr>
          <w:rFonts w:eastAsia="Calibri"/>
          <w:szCs w:val="24"/>
        </w:rPr>
        <w:t xml:space="preserve"> </w:t>
      </w:r>
      <w:r w:rsidR="008318CC">
        <w:rPr>
          <w:rFonts w:eastAsia="Calibri"/>
          <w:szCs w:val="24"/>
        </w:rPr>
        <w:t>(w ramach kategorii interwencji 75)</w:t>
      </w:r>
      <w:r>
        <w:rPr>
          <w:rFonts w:eastAsia="Calibri"/>
          <w:szCs w:val="24"/>
        </w:rPr>
        <w:t>.</w:t>
      </w:r>
    </w:p>
    <w:p w14:paraId="18C0FA20" w14:textId="6B8D4A77" w:rsidR="00850645" w:rsidRDefault="00850645" w:rsidP="005152DE">
      <w:pPr>
        <w:autoSpaceDE w:val="0"/>
        <w:autoSpaceDN w:val="0"/>
        <w:adjustRightInd w:val="0"/>
        <w:spacing w:before="120" w:after="120"/>
        <w:jc w:val="both"/>
        <w:rPr>
          <w:rFonts w:eastAsia="Calibri"/>
          <w:szCs w:val="24"/>
        </w:rPr>
      </w:pPr>
      <w:r>
        <w:rPr>
          <w:rFonts w:eastAsia="Calibri"/>
          <w:szCs w:val="24"/>
        </w:rPr>
        <w:t>Niewątpliwym czynnikiem, który ułatwia wyjście z ubóstwa jest edukacja. Głównym celem przedmiotowego priorytetu było stworzenie warunków do rozwoju społeczeństwa o wysokich kwalifikacjach zawodowych, poszukiwanych na rynku pracy.</w:t>
      </w:r>
    </w:p>
    <w:p w14:paraId="563CD26E" w14:textId="2E1368F9" w:rsidR="00EC6F8A" w:rsidRPr="009F3C1A" w:rsidRDefault="009F3C1A" w:rsidP="00367271">
      <w:pPr>
        <w:autoSpaceDE w:val="0"/>
        <w:autoSpaceDN w:val="0"/>
        <w:adjustRightInd w:val="0"/>
        <w:spacing w:before="120" w:after="120"/>
        <w:jc w:val="both"/>
        <w:rPr>
          <w:rFonts w:eastAsia="Calibri"/>
          <w:szCs w:val="24"/>
        </w:rPr>
      </w:pPr>
      <w:r>
        <w:rPr>
          <w:rFonts w:eastAsia="Calibri"/>
          <w:szCs w:val="24"/>
        </w:rPr>
        <w:t xml:space="preserve">W ramach RPO WSL </w:t>
      </w:r>
      <w:r w:rsidR="003649EC" w:rsidRPr="009F3C1A">
        <w:rPr>
          <w:rFonts w:eastAsia="Calibri"/>
          <w:szCs w:val="24"/>
        </w:rPr>
        <w:t xml:space="preserve">zrealizowano 111 projektów z zakresu </w:t>
      </w:r>
      <w:r w:rsidRPr="009F3C1A">
        <w:rPr>
          <w:rFonts w:eastAsia="Calibri"/>
          <w:szCs w:val="24"/>
        </w:rPr>
        <w:t>edukacji</w:t>
      </w:r>
      <w:r w:rsidR="003649EC" w:rsidRPr="009F3C1A">
        <w:rPr>
          <w:rFonts w:eastAsia="Calibri"/>
          <w:szCs w:val="24"/>
        </w:rPr>
        <w:t>,</w:t>
      </w:r>
      <w:r>
        <w:rPr>
          <w:rFonts w:eastAsia="Calibri"/>
          <w:szCs w:val="24"/>
        </w:rPr>
        <w:t xml:space="preserve"> </w:t>
      </w:r>
      <w:r w:rsidR="003649EC" w:rsidRPr="009F3C1A">
        <w:rPr>
          <w:rFonts w:eastAsia="Calibri"/>
          <w:szCs w:val="24"/>
        </w:rPr>
        <w:t>ponad 85 tyś. studentów skorzystało ze wspartej infrastruktury edukacyjnej,</w:t>
      </w:r>
      <w:r>
        <w:rPr>
          <w:rFonts w:eastAsia="Calibri"/>
          <w:szCs w:val="24"/>
        </w:rPr>
        <w:t xml:space="preserve"> </w:t>
      </w:r>
      <w:r w:rsidR="003649EC" w:rsidRPr="009F3C1A">
        <w:rPr>
          <w:rFonts w:eastAsia="Calibri"/>
          <w:szCs w:val="24"/>
        </w:rPr>
        <w:t>wsparto 17 obiektów kształcenia ustawicznego</w:t>
      </w:r>
      <w:r>
        <w:rPr>
          <w:rFonts w:eastAsia="Calibri"/>
          <w:szCs w:val="24"/>
        </w:rPr>
        <w:t>.</w:t>
      </w:r>
    </w:p>
    <w:p w14:paraId="487E1824" w14:textId="7E319653" w:rsidR="005152DE" w:rsidRPr="00355475" w:rsidRDefault="005152DE" w:rsidP="005152DE">
      <w:pPr>
        <w:autoSpaceDE w:val="0"/>
        <w:autoSpaceDN w:val="0"/>
        <w:adjustRightInd w:val="0"/>
        <w:spacing w:before="120" w:after="120"/>
        <w:jc w:val="both"/>
        <w:rPr>
          <w:rFonts w:eastAsia="Calibri"/>
          <w:szCs w:val="24"/>
        </w:rPr>
      </w:pPr>
      <w:r>
        <w:rPr>
          <w:rFonts w:eastAsia="Calibri"/>
          <w:szCs w:val="24"/>
        </w:rPr>
        <w:t xml:space="preserve">W </w:t>
      </w:r>
      <w:r w:rsidR="009F3C1A">
        <w:rPr>
          <w:rFonts w:eastAsia="Calibri"/>
          <w:szCs w:val="24"/>
        </w:rPr>
        <w:t>l</w:t>
      </w:r>
      <w:r>
        <w:rPr>
          <w:rFonts w:eastAsia="Calibri"/>
          <w:szCs w:val="24"/>
        </w:rPr>
        <w:t xml:space="preserve">atach 2014-2020 kontynuowane </w:t>
      </w:r>
      <w:r w:rsidR="008318CC">
        <w:rPr>
          <w:rFonts w:eastAsia="Calibri"/>
          <w:szCs w:val="24"/>
        </w:rPr>
        <w:t>będą działania na rzecz poprawy</w:t>
      </w:r>
      <w:r>
        <w:rPr>
          <w:rFonts w:eastAsia="Calibri"/>
          <w:szCs w:val="24"/>
        </w:rPr>
        <w:t xml:space="preserve"> jakości edukacji.</w:t>
      </w:r>
    </w:p>
    <w:p w14:paraId="28D755DE" w14:textId="6037284C" w:rsidR="00BD6D3C" w:rsidRPr="0094320D" w:rsidRDefault="008B5F98" w:rsidP="0094320D">
      <w:pPr>
        <w:spacing w:after="120"/>
        <w:jc w:val="both"/>
        <w:outlineLvl w:val="1"/>
        <w:rPr>
          <w:b/>
          <w:szCs w:val="24"/>
        </w:rPr>
      </w:pPr>
      <w:bookmarkStart w:id="497" w:name="_Toc386571852"/>
      <w:bookmarkStart w:id="498" w:name="_Toc386572277"/>
      <w:bookmarkStart w:id="499" w:name="_Toc419180293"/>
      <w:bookmarkStart w:id="500" w:name="_Toc423351811"/>
      <w:bookmarkStart w:id="501" w:name="_Toc473117341"/>
      <w:bookmarkStart w:id="502" w:name="_Toc477779781"/>
      <w:r w:rsidRPr="0094320D">
        <w:rPr>
          <w:b/>
          <w:szCs w:val="24"/>
        </w:rPr>
        <w:t>P</w:t>
      </w:r>
      <w:r w:rsidR="00DB05C5" w:rsidRPr="0094320D">
        <w:rPr>
          <w:b/>
          <w:szCs w:val="24"/>
        </w:rPr>
        <w:t>odsumowanie</w:t>
      </w:r>
      <w:bookmarkEnd w:id="497"/>
      <w:bookmarkEnd w:id="498"/>
      <w:bookmarkEnd w:id="499"/>
      <w:bookmarkEnd w:id="500"/>
      <w:bookmarkEnd w:id="501"/>
      <w:bookmarkEnd w:id="502"/>
    </w:p>
    <w:p w14:paraId="7FA353A1" w14:textId="67DB6C77" w:rsidR="00B927EA" w:rsidRPr="00B927EA" w:rsidRDefault="00B927EA" w:rsidP="00B927EA">
      <w:pPr>
        <w:spacing w:before="120" w:after="120" w:line="288" w:lineRule="auto"/>
        <w:jc w:val="both"/>
        <w:rPr>
          <w:szCs w:val="24"/>
        </w:rPr>
      </w:pPr>
      <w:bookmarkStart w:id="503" w:name="_Toc386571854"/>
      <w:bookmarkStart w:id="504" w:name="_Toc386572279"/>
      <w:bookmarkStart w:id="505" w:name="_Toc419180294"/>
      <w:bookmarkStart w:id="506" w:name="_Toc423351812"/>
      <w:bookmarkStart w:id="507" w:name="_Toc386571853"/>
      <w:bookmarkStart w:id="508" w:name="_Toc386572278"/>
      <w:r>
        <w:rPr>
          <w:szCs w:val="24"/>
        </w:rPr>
        <w:t>W ramach p</w:t>
      </w:r>
      <w:r w:rsidRPr="00B927EA">
        <w:rPr>
          <w:szCs w:val="24"/>
        </w:rPr>
        <w:t>riorytetu VIII rozwinięto infrastrukturę uczelni</w:t>
      </w:r>
      <w:r>
        <w:rPr>
          <w:szCs w:val="24"/>
        </w:rPr>
        <w:t xml:space="preserve"> wyższych, szkół działających w </w:t>
      </w:r>
      <w:r w:rsidRPr="00B927EA">
        <w:rPr>
          <w:szCs w:val="24"/>
        </w:rPr>
        <w:t>systemie oświaty oraz instytucji kształcenia ustawiczneg</w:t>
      </w:r>
      <w:r>
        <w:rPr>
          <w:szCs w:val="24"/>
        </w:rPr>
        <w:t xml:space="preserve">o, w celu stworzenia </w:t>
      </w:r>
      <w:r w:rsidR="006877F3">
        <w:rPr>
          <w:szCs w:val="24"/>
        </w:rPr>
        <w:t xml:space="preserve">mieszkańcom </w:t>
      </w:r>
      <w:r>
        <w:rPr>
          <w:szCs w:val="24"/>
        </w:rPr>
        <w:t xml:space="preserve">warunków </w:t>
      </w:r>
      <w:r w:rsidR="006877F3">
        <w:rPr>
          <w:szCs w:val="24"/>
        </w:rPr>
        <w:t>do zdobycia</w:t>
      </w:r>
      <w:r w:rsidR="006877F3" w:rsidRPr="00B927EA">
        <w:rPr>
          <w:szCs w:val="24"/>
        </w:rPr>
        <w:t xml:space="preserve"> </w:t>
      </w:r>
      <w:r w:rsidR="006877F3">
        <w:rPr>
          <w:szCs w:val="24"/>
        </w:rPr>
        <w:t>wysokich kwalifikacji zawodowych</w:t>
      </w:r>
      <w:r w:rsidR="006877F3" w:rsidRPr="00B927EA">
        <w:rPr>
          <w:szCs w:val="24"/>
        </w:rPr>
        <w:t xml:space="preserve"> </w:t>
      </w:r>
      <w:r w:rsidR="006877F3">
        <w:rPr>
          <w:szCs w:val="24"/>
        </w:rPr>
        <w:t>p</w:t>
      </w:r>
      <w:r w:rsidRPr="00B927EA">
        <w:rPr>
          <w:szCs w:val="24"/>
        </w:rPr>
        <w:t>oszukiwanych na rynku pracy. Największy wkład RPO miał w sektorze kształcenia wyższego (ponad 1/3 szkół wyższych w woj</w:t>
      </w:r>
      <w:r>
        <w:rPr>
          <w:szCs w:val="24"/>
        </w:rPr>
        <w:t>ewództwie korzystała z działań p</w:t>
      </w:r>
      <w:r w:rsidRPr="00B927EA">
        <w:rPr>
          <w:szCs w:val="24"/>
        </w:rPr>
        <w:t>riorytetu VIII) oraz w sektorze kształcenia ustawicznego (z projektów skorzystało około 28% osób uczestniczących w kształceniu ustawicznym w województwie). Stosunkowo najmniej były popularne projekty z zakresu informatycznych systemów zarządzania. Z efektów przedsięwzięć skorzystało mniej studentów niż planowano, jednak związane to jest w dużej mierze ze zmianami demogra</w:t>
      </w:r>
      <w:r w:rsidR="00294948">
        <w:rPr>
          <w:szCs w:val="24"/>
        </w:rPr>
        <w:t>ficznymi, które są też jednym z </w:t>
      </w:r>
      <w:r w:rsidRPr="00B927EA">
        <w:rPr>
          <w:szCs w:val="24"/>
        </w:rPr>
        <w:t>najistotniejszych czynników wpływających na efekty projektów. W przypadku szkół działających w systemie oświaty</w:t>
      </w:r>
      <w:r w:rsidR="008318CC">
        <w:rPr>
          <w:szCs w:val="24"/>
        </w:rPr>
        <w:t>, wsparciem objęty</w:t>
      </w:r>
      <w:r w:rsidRPr="00B927EA">
        <w:rPr>
          <w:szCs w:val="24"/>
        </w:rPr>
        <w:t xml:space="preserve"> został bardzo niewielki odsetek instytucji, natomiast działania RPO przyczyniły się do wyrównania dostępu do szkolnej infrastruktury sportowej, zwłaszcza na terenach wiejskich. </w:t>
      </w:r>
    </w:p>
    <w:p w14:paraId="764AD0B0" w14:textId="1ECBFAA2" w:rsidR="005A79F9" w:rsidRDefault="005A79F9" w:rsidP="00D26FB4">
      <w:pPr>
        <w:spacing w:after="120"/>
        <w:jc w:val="both"/>
        <w:outlineLvl w:val="1"/>
        <w:rPr>
          <w:rFonts w:eastAsia="Calibri"/>
          <w:szCs w:val="24"/>
        </w:rPr>
      </w:pPr>
      <w:bookmarkStart w:id="509" w:name="_Toc473117342"/>
      <w:bookmarkStart w:id="510" w:name="_Toc477779782"/>
      <w:r w:rsidRPr="005A79F9">
        <w:rPr>
          <w:szCs w:val="24"/>
        </w:rPr>
        <w:t xml:space="preserve">Zrealizowane w ramach priorytetu projekty </w:t>
      </w:r>
      <w:r w:rsidR="00D26FB4">
        <w:rPr>
          <w:szCs w:val="24"/>
        </w:rPr>
        <w:t>w </w:t>
      </w:r>
      <w:r w:rsidRPr="005A79F9">
        <w:rPr>
          <w:szCs w:val="24"/>
        </w:rPr>
        <w:t xml:space="preserve">największym stopniu zaspokoiły potrzeby związane z poprawą wizerunku szkoły i jakości nauczania oraz dostosowaniem bazy dydaktycznej szkół do obowiązujących standardów. Ponadto należy zauważyć, że </w:t>
      </w:r>
      <w:r w:rsidRPr="00D26FB4">
        <w:rPr>
          <w:szCs w:val="24"/>
        </w:rPr>
        <w:t>zrealizowane projekty w większości odpowiadają na potrzeby związane z uruchomieniem nowych kierunków, zwiększeniem liczby absolwentów uzyskujących zatrudnienie lub też promocją kierunków kształcenia atrakcyjnych dla pracodawców.</w:t>
      </w:r>
      <w:r w:rsidRPr="005A79F9">
        <w:rPr>
          <w:szCs w:val="24"/>
        </w:rPr>
        <w:t xml:space="preserve"> </w:t>
      </w:r>
      <w:r w:rsidR="007A40E9">
        <w:rPr>
          <w:rFonts w:eastAsia="Calibri"/>
          <w:szCs w:val="24"/>
        </w:rPr>
        <w:t>W</w:t>
      </w:r>
      <w:r w:rsidRPr="005A79F9">
        <w:rPr>
          <w:rFonts w:eastAsia="Calibri"/>
          <w:szCs w:val="24"/>
        </w:rPr>
        <w:t>iększość działań Strategii „Śląskie 2020” związanych z edukacją nie dotyczy infrastruktury, tylko rozwoju samej edukacji, przedsięwzięć związanych z nią i jej powiązaniami z rynkiem pracy.</w:t>
      </w:r>
      <w:r w:rsidR="00D26FB4">
        <w:rPr>
          <w:szCs w:val="24"/>
        </w:rPr>
        <w:t xml:space="preserve"> </w:t>
      </w:r>
      <w:r w:rsidRPr="005A79F9">
        <w:rPr>
          <w:rFonts w:eastAsia="Calibri"/>
          <w:szCs w:val="24"/>
        </w:rPr>
        <w:t xml:space="preserve">Jednocześnie należy </w:t>
      </w:r>
      <w:r w:rsidRPr="005A79F9">
        <w:rPr>
          <w:rFonts w:eastAsia="Calibri"/>
          <w:szCs w:val="24"/>
        </w:rPr>
        <w:lastRenderedPageBreak/>
        <w:t xml:space="preserve">podkreślić, że z punktu widzenia realizacji celów Strategii „Śląskie 2020” można </w:t>
      </w:r>
      <w:r w:rsidR="00D26FB4">
        <w:rPr>
          <w:rFonts w:eastAsia="Calibri"/>
          <w:szCs w:val="24"/>
        </w:rPr>
        <w:t>uznać, że p</w:t>
      </w:r>
      <w:r w:rsidRPr="005A79F9">
        <w:rPr>
          <w:rFonts w:eastAsia="Calibri"/>
          <w:szCs w:val="24"/>
        </w:rPr>
        <w:t xml:space="preserve">riorytet VIII pełnił funkcję tworzenia infrastrukturalnych warunków wstępnych do realizacji wyżej wymienionych </w:t>
      </w:r>
      <w:r w:rsidR="00D26FB4">
        <w:rPr>
          <w:rFonts w:eastAsia="Calibri"/>
          <w:szCs w:val="24"/>
        </w:rPr>
        <w:t>działań</w:t>
      </w:r>
      <w:r w:rsidRPr="005A79F9">
        <w:rPr>
          <w:rFonts w:eastAsia="Calibri"/>
          <w:szCs w:val="24"/>
        </w:rPr>
        <w:t>.</w:t>
      </w:r>
      <w:bookmarkEnd w:id="509"/>
      <w:bookmarkEnd w:id="510"/>
      <w:r w:rsidRPr="005A79F9">
        <w:rPr>
          <w:rFonts w:eastAsia="Calibri"/>
          <w:szCs w:val="24"/>
        </w:rPr>
        <w:t xml:space="preserve"> </w:t>
      </w:r>
    </w:p>
    <w:p w14:paraId="31500938" w14:textId="77A3EEDD" w:rsidR="00B927EA" w:rsidRPr="00B927EA" w:rsidRDefault="00B927EA" w:rsidP="00D26FB4">
      <w:pPr>
        <w:spacing w:after="120"/>
        <w:jc w:val="both"/>
        <w:outlineLvl w:val="1"/>
        <w:rPr>
          <w:szCs w:val="24"/>
        </w:rPr>
      </w:pPr>
      <w:bookmarkStart w:id="511" w:name="_Toc473117343"/>
      <w:bookmarkStart w:id="512" w:name="_Toc477779783"/>
      <w:r>
        <w:rPr>
          <w:rFonts w:eastAsia="Calibri"/>
          <w:szCs w:val="24"/>
        </w:rPr>
        <w:t>Mniej</w:t>
      </w:r>
      <w:r w:rsidRPr="00B927EA">
        <w:rPr>
          <w:rFonts w:eastAsia="Calibri"/>
          <w:szCs w:val="24"/>
        </w:rPr>
        <w:t xml:space="preserve"> zainteresowane wnioskowaniem</w:t>
      </w:r>
      <w:r w:rsidR="007A40E9">
        <w:rPr>
          <w:rFonts w:eastAsia="Calibri"/>
          <w:szCs w:val="24"/>
        </w:rPr>
        <w:t xml:space="preserve"> w ramach priorytetu</w:t>
      </w:r>
      <w:r w:rsidRPr="00B927EA">
        <w:rPr>
          <w:rFonts w:eastAsia="Calibri"/>
          <w:szCs w:val="24"/>
        </w:rPr>
        <w:t xml:space="preserve"> były mniejsze uczelnie i szkoły prywatne, szkoły ponadgimnazjalne, a także prywatne instytucje kształcenia ustawicznego. Przyczyną takiego stanu </w:t>
      </w:r>
      <w:r w:rsidR="008318CC">
        <w:rPr>
          <w:rFonts w:eastAsia="Calibri"/>
          <w:szCs w:val="24"/>
        </w:rPr>
        <w:t xml:space="preserve">rzeczy </w:t>
      </w:r>
      <w:r w:rsidRPr="00B927EA">
        <w:rPr>
          <w:rFonts w:eastAsia="Calibri"/>
          <w:szCs w:val="24"/>
        </w:rPr>
        <w:t>był brak środków na wkład własny w szkołach prywatnych związany z niżem demograficznym, a także niski poziom środków własnych prywatnych instytucji kształcenia zawodowego</w:t>
      </w:r>
      <w:r>
        <w:rPr>
          <w:rFonts w:eastAsia="Calibri"/>
          <w:szCs w:val="24"/>
        </w:rPr>
        <w:t>.</w:t>
      </w:r>
      <w:bookmarkEnd w:id="511"/>
      <w:bookmarkEnd w:id="512"/>
    </w:p>
    <w:p w14:paraId="2F34E07B" w14:textId="2332650B" w:rsidR="005A79F9" w:rsidRPr="005A79F9" w:rsidRDefault="005A79F9" w:rsidP="005A79F9">
      <w:pPr>
        <w:spacing w:before="120" w:after="0" w:line="288" w:lineRule="auto"/>
        <w:jc w:val="both"/>
        <w:rPr>
          <w:rFonts w:eastAsia="Calibri"/>
          <w:szCs w:val="24"/>
        </w:rPr>
      </w:pPr>
      <w:r w:rsidRPr="005A79F9">
        <w:rPr>
          <w:szCs w:val="24"/>
        </w:rPr>
        <w:t>Warto również zauważyć, że w związku z podziałem regionu na subregiony, można st</w:t>
      </w:r>
      <w:r w:rsidR="00D26FB4">
        <w:rPr>
          <w:szCs w:val="24"/>
        </w:rPr>
        <w:t>wierdzić, że wsparcie w ramach p</w:t>
      </w:r>
      <w:r w:rsidRPr="005A79F9">
        <w:rPr>
          <w:szCs w:val="24"/>
        </w:rPr>
        <w:t>riorytetu VIII zasadniczo było proporcjonalne do liczby instytucji edukacyjnych/uczniów w poszczególnych subregionach. Należy jednak zauważyć, że wystąpiła różnica między subregionami pod względem rodzajów inwestycji. W subregionach północnym, zachodnim i częściowo południowym realizowane były przede wszystkim inwestycje podstawowe związane z bieżącą działalnością, zaś w subregionie centralnym częściej realizowane były inwestycje dodatkowe</w:t>
      </w:r>
      <w:r w:rsidR="00294948">
        <w:rPr>
          <w:szCs w:val="24"/>
        </w:rPr>
        <w:t>, uzupełniające, związane np. z </w:t>
      </w:r>
      <w:r w:rsidRPr="005A79F9">
        <w:rPr>
          <w:szCs w:val="24"/>
        </w:rPr>
        <w:t>informatycznymi systemami zarządzania lub – przede wszystkim - ze wsparciem dla osób niepełnosprawnych.</w:t>
      </w:r>
    </w:p>
    <w:p w14:paraId="1A94A1EE" w14:textId="43C748F4" w:rsidR="005A79F9" w:rsidRPr="005A79F9" w:rsidRDefault="005A79F9" w:rsidP="007A40E9">
      <w:pPr>
        <w:spacing w:before="120" w:after="120" w:line="288" w:lineRule="auto"/>
        <w:jc w:val="both"/>
        <w:rPr>
          <w:rFonts w:eastAsia="Calibri"/>
          <w:szCs w:val="24"/>
        </w:rPr>
      </w:pPr>
      <w:r w:rsidRPr="005A79F9">
        <w:rPr>
          <w:rFonts w:eastAsia="Calibri"/>
          <w:szCs w:val="24"/>
        </w:rPr>
        <w:t>Na koniec należy stwierdzić, że w województwie ślą</w:t>
      </w:r>
      <w:r w:rsidR="00294948">
        <w:rPr>
          <w:rFonts w:eastAsia="Calibri"/>
          <w:szCs w:val="24"/>
        </w:rPr>
        <w:t>skim szczególnie efektywne są w </w:t>
      </w:r>
      <w:r w:rsidRPr="005A79F9">
        <w:rPr>
          <w:rFonts w:eastAsia="Calibri"/>
          <w:szCs w:val="24"/>
        </w:rPr>
        <w:t>porównaniu do innych województw projekty związane z infrastrukturą dydaktyczną uczelni wyższych. Stosunkowo mało efektywne były natomiast projekty związane z infrastrukturą dydaktyczną szkół</w:t>
      </w:r>
      <w:r w:rsidR="00D26FB4">
        <w:rPr>
          <w:rFonts w:eastAsia="Calibri"/>
          <w:szCs w:val="24"/>
        </w:rPr>
        <w:t>.</w:t>
      </w:r>
      <w:r w:rsidRPr="005A79F9">
        <w:rPr>
          <w:rFonts w:eastAsia="Calibri"/>
          <w:szCs w:val="24"/>
        </w:rPr>
        <w:t xml:space="preserve"> Na wzrost efektywności wykorzystania wspartej infrastruktury może mieć wpływ uzależnienie realizacji projektów inwestycyjnych od uzyskania wsparcia z EFS na działania komplementarne zapewniające jak najpełniejsze wykorzystanie wspartej infrastruktury. </w:t>
      </w:r>
    </w:p>
    <w:p w14:paraId="0AF3A461" w14:textId="77777777" w:rsidR="005A79F9" w:rsidRPr="005A79F9" w:rsidRDefault="005A79F9" w:rsidP="005A79F9">
      <w:pPr>
        <w:spacing w:after="120"/>
        <w:jc w:val="both"/>
        <w:outlineLvl w:val="1"/>
      </w:pPr>
      <w:bookmarkStart w:id="513" w:name="_Toc473117344"/>
      <w:bookmarkStart w:id="514" w:name="_Toc477779784"/>
      <w:r w:rsidRPr="005A79F9">
        <w:rPr>
          <w:szCs w:val="24"/>
        </w:rPr>
        <w:t xml:space="preserve">Przykładem ciekawego projektu może być projekt </w:t>
      </w:r>
      <w:r w:rsidRPr="005A79F9">
        <w:rPr>
          <w:i/>
          <w:szCs w:val="24"/>
        </w:rPr>
        <w:t>Cieszyński Kampus Uniwersytecki: Info – Art.</w:t>
      </w:r>
      <w:r w:rsidRPr="005A79F9">
        <w:rPr>
          <w:b/>
          <w:i/>
          <w:szCs w:val="24"/>
        </w:rPr>
        <w:t xml:space="preserve"> </w:t>
      </w:r>
      <w:r w:rsidRPr="005A79F9">
        <w:rPr>
          <w:szCs w:val="24"/>
        </w:rPr>
        <w:t xml:space="preserve">Głównymi założeniami projektu było dostosowanie 3 obiektów dydaktycznych kampusu (w tym hali sportowej z basenem) oraz budynku dydaktycznego pn. </w:t>
      </w:r>
      <w:r w:rsidRPr="005A79F9">
        <w:rPr>
          <w:i/>
          <w:szCs w:val="24"/>
        </w:rPr>
        <w:t>Laboratorium Nowych Mediów</w:t>
      </w:r>
      <w:r w:rsidRPr="005A79F9">
        <w:rPr>
          <w:szCs w:val="24"/>
        </w:rPr>
        <w:t xml:space="preserve"> dla potrzeb osób niepełnosprawnych. Ponadto w ramach projektu przebudowano i   rozbudowano budynek dla „Laboratorium Nowych Mediów” umożliwiające wprowadzenie nowych standardów kształcenia artystycznego i pedagogicznego poszerzających tradycyjną edukację o współczesne zagadnienia związane z nowymi mediami w sztuce i edukacji. Powyższe dotyczy szeroko rozumianej edukacji informatycznej przyszłych nauczycieli i artystów pozwalającej na swobodne poruszanie i komunikowanie się w świecie rzeczywistym i wirtualnym czy na współpracę z mediami. W ramach projektu „Laboratorium Nowych Mediów” wyposażone zostało w urządzenia dydaktyczne i inne pomoce naukowe.</w:t>
      </w:r>
      <w:bookmarkEnd w:id="513"/>
      <w:bookmarkEnd w:id="514"/>
    </w:p>
    <w:bookmarkEnd w:id="503"/>
    <w:bookmarkEnd w:id="504"/>
    <w:bookmarkEnd w:id="505"/>
    <w:bookmarkEnd w:id="506"/>
    <w:bookmarkEnd w:id="507"/>
    <w:bookmarkEnd w:id="508"/>
    <w:p w14:paraId="79C5F3E0" w14:textId="6F7C2843" w:rsidR="00A5538F" w:rsidRPr="0094320D" w:rsidRDefault="00A5538F" w:rsidP="0094320D">
      <w:pPr>
        <w:spacing w:after="0"/>
        <w:jc w:val="both"/>
        <w:rPr>
          <w:szCs w:val="24"/>
        </w:rPr>
      </w:pPr>
    </w:p>
    <w:p w14:paraId="3A29C7B8" w14:textId="46ECFCDD" w:rsidR="0005410E" w:rsidRPr="00DB05C5" w:rsidRDefault="00DB05C5" w:rsidP="004914D8">
      <w:pPr>
        <w:pStyle w:val="Akapitzlist"/>
        <w:numPr>
          <w:ilvl w:val="2"/>
          <w:numId w:val="50"/>
        </w:numPr>
        <w:jc w:val="both"/>
        <w:rPr>
          <w:b/>
          <w:bCs/>
          <w:szCs w:val="24"/>
        </w:rPr>
      </w:pPr>
      <w:bookmarkStart w:id="515" w:name="_Toc262031988"/>
      <w:bookmarkStart w:id="516" w:name="_Toc292789326"/>
      <w:bookmarkStart w:id="517" w:name="_Toc292793626"/>
      <w:bookmarkStart w:id="518" w:name="_Toc324853940"/>
      <w:bookmarkStart w:id="519" w:name="_Toc327259292"/>
      <w:bookmarkStart w:id="520" w:name="_Toc386571855"/>
      <w:bookmarkStart w:id="521" w:name="_Toc386572280"/>
      <w:bookmarkStart w:id="522" w:name="_Toc391466130"/>
      <w:bookmarkStart w:id="523" w:name="_Toc391466398"/>
      <w:bookmarkStart w:id="524" w:name="_Toc391466709"/>
      <w:bookmarkStart w:id="525" w:name="_Toc419180296"/>
      <w:bookmarkStart w:id="526" w:name="_Toc423351814"/>
      <w:r w:rsidRPr="00DB05C5">
        <w:rPr>
          <w:b/>
          <w:bCs/>
          <w:szCs w:val="24"/>
        </w:rPr>
        <w:t>OPIS ISTOTNYCH PROBLEMÓW WE WDRAŻANIU WRAZ Z PODJĘTYMI ŚRODKAMI ZARADCZYMI</w:t>
      </w:r>
      <w:bookmarkEnd w:id="515"/>
      <w:bookmarkEnd w:id="516"/>
      <w:bookmarkEnd w:id="517"/>
      <w:bookmarkEnd w:id="518"/>
      <w:bookmarkEnd w:id="519"/>
      <w:bookmarkEnd w:id="520"/>
      <w:bookmarkEnd w:id="521"/>
      <w:bookmarkEnd w:id="522"/>
      <w:bookmarkEnd w:id="523"/>
      <w:bookmarkEnd w:id="524"/>
      <w:bookmarkEnd w:id="525"/>
      <w:bookmarkEnd w:id="526"/>
    </w:p>
    <w:p w14:paraId="6F07ED32" w14:textId="77777777" w:rsidR="00294948" w:rsidRPr="00294948" w:rsidRDefault="00294948" w:rsidP="00294948">
      <w:pPr>
        <w:jc w:val="both"/>
        <w:rPr>
          <w:szCs w:val="24"/>
        </w:rPr>
      </w:pPr>
      <w:r w:rsidRPr="00294948">
        <w:rPr>
          <w:szCs w:val="24"/>
        </w:rPr>
        <w:t>W całym okresie wdrażania priorytetu nie pojawiły się żadne problemy, sytuacje zakłócające bądź opóźniające realizację przedmiotowego priorytetu.</w:t>
      </w:r>
    </w:p>
    <w:p w14:paraId="01AEBA77" w14:textId="339E8E56" w:rsidR="00435E27" w:rsidRPr="001432FA" w:rsidRDefault="00294948" w:rsidP="004914D8">
      <w:pPr>
        <w:pStyle w:val="Akapitzlist"/>
        <w:numPr>
          <w:ilvl w:val="1"/>
          <w:numId w:val="50"/>
        </w:numPr>
        <w:jc w:val="both"/>
        <w:rPr>
          <w:b/>
          <w:bCs/>
          <w:color w:val="538135" w:themeColor="accent6" w:themeShade="BF"/>
          <w:szCs w:val="24"/>
        </w:rPr>
      </w:pPr>
      <w:bookmarkStart w:id="527" w:name="_Toc386571858"/>
      <w:bookmarkStart w:id="528" w:name="_Toc386572283"/>
      <w:bookmarkStart w:id="529" w:name="_Toc419180299"/>
      <w:bookmarkStart w:id="530" w:name="_Toc262032001"/>
      <w:bookmarkStart w:id="531" w:name="_Toc292789344"/>
      <w:bookmarkStart w:id="532" w:name="_Toc292793645"/>
      <w:bookmarkStart w:id="533" w:name="_Toc327259299"/>
      <w:bookmarkStart w:id="534" w:name="_Toc324853947"/>
      <w:bookmarkStart w:id="535" w:name="_Toc359584941"/>
      <w:bookmarkStart w:id="536" w:name="_Toc262032002"/>
      <w:bookmarkStart w:id="537" w:name="_Toc292789345"/>
      <w:bookmarkStart w:id="538" w:name="_Toc292793646"/>
      <w:r w:rsidRPr="001432FA">
        <w:rPr>
          <w:b/>
          <w:bCs/>
          <w:color w:val="538135" w:themeColor="accent6" w:themeShade="BF"/>
          <w:szCs w:val="24"/>
        </w:rPr>
        <w:lastRenderedPageBreak/>
        <w:t>PRIORYTET IX ZDROWIE I REKREACJA</w:t>
      </w:r>
    </w:p>
    <w:p w14:paraId="64C73B54" w14:textId="6248AE39" w:rsidR="00294948" w:rsidRPr="00294948" w:rsidRDefault="00294948" w:rsidP="00294948">
      <w:pPr>
        <w:pStyle w:val="Akapitzlist"/>
        <w:ind w:left="360"/>
        <w:jc w:val="both"/>
        <w:rPr>
          <w:b/>
          <w:bCs/>
          <w:color w:val="0070C0"/>
          <w:szCs w:val="24"/>
        </w:rPr>
      </w:pPr>
      <w:r>
        <w:rPr>
          <w:noProof/>
        </w:rPr>
        <w:drawing>
          <wp:inline distT="0" distB="0" distL="0" distR="0" wp14:anchorId="1950A8B6" wp14:editId="3AEADBAA">
            <wp:extent cx="5727700" cy="2173856"/>
            <wp:effectExtent l="0" t="0" r="6350" b="0"/>
            <wp:docPr id="38918" name="Symbol zastępczy obrazu 6" descr="Piekary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8" name="Symbol zastępczy obrazu 6" descr="Piekary 01.jpg"/>
                    <pic:cNvPicPr>
                      <a:picLocks noChangeAspect="1"/>
                    </pic:cNvPicPr>
                  </pic:nvPicPr>
                  <pic:blipFill>
                    <a:blip r:embed="rId110">
                      <a:extLst>
                        <a:ext uri="{28A0092B-C50C-407E-A947-70E740481C1C}">
                          <a14:useLocalDpi xmlns:a14="http://schemas.microsoft.com/office/drawing/2010/main" val="0"/>
                        </a:ext>
                      </a:extLst>
                    </a:blip>
                    <a:srcRect t="12115" b="12115"/>
                    <a:stretch>
                      <a:fillRect/>
                    </a:stretch>
                  </pic:blipFill>
                  <pic:spPr bwMode="auto">
                    <a:xfrm>
                      <a:off x="0" y="0"/>
                      <a:ext cx="5735843" cy="2176946"/>
                    </a:xfrm>
                    <a:prstGeom prst="rect">
                      <a:avLst/>
                    </a:prstGeom>
                    <a:noFill/>
                    <a:ln>
                      <a:noFill/>
                    </a:ln>
                    <a:extLst/>
                  </pic:spPr>
                </pic:pic>
              </a:graphicData>
            </a:graphic>
          </wp:inline>
        </w:drawing>
      </w:r>
    </w:p>
    <w:p w14:paraId="27341C0F" w14:textId="77777777" w:rsidR="00435E27" w:rsidRPr="0094320D" w:rsidRDefault="00435E27" w:rsidP="0094320D">
      <w:pPr>
        <w:keepNext/>
        <w:keepLines/>
        <w:shd w:val="clear" w:color="auto" w:fill="FFFFFF"/>
        <w:tabs>
          <w:tab w:val="left" w:pos="1560"/>
        </w:tabs>
        <w:spacing w:before="240" w:after="120"/>
        <w:jc w:val="both"/>
        <w:outlineLvl w:val="0"/>
        <w:rPr>
          <w:b/>
          <w:bCs/>
          <w:szCs w:val="24"/>
        </w:rPr>
      </w:pPr>
    </w:p>
    <w:p w14:paraId="1525211A" w14:textId="77777777" w:rsidR="00EA03E6" w:rsidRPr="0094320D" w:rsidRDefault="00B413D6" w:rsidP="004914D8">
      <w:pPr>
        <w:pStyle w:val="Akapitzlist"/>
        <w:numPr>
          <w:ilvl w:val="2"/>
          <w:numId w:val="50"/>
        </w:numPr>
        <w:jc w:val="both"/>
        <w:rPr>
          <w:b/>
          <w:bCs/>
          <w:szCs w:val="24"/>
        </w:rPr>
      </w:pPr>
      <w:bookmarkStart w:id="539" w:name="_Toc423351817"/>
      <w:r w:rsidRPr="0094320D">
        <w:rPr>
          <w:b/>
          <w:bCs/>
          <w:szCs w:val="24"/>
        </w:rPr>
        <w:t>OSIĄGNIĘCIE CELÓW I ANALIZA POSTĘPÓW</w:t>
      </w:r>
      <w:bookmarkEnd w:id="527"/>
      <w:bookmarkEnd w:id="528"/>
      <w:bookmarkEnd w:id="529"/>
      <w:bookmarkEnd w:id="539"/>
    </w:p>
    <w:p w14:paraId="4C73AF06" w14:textId="35E9BE5C" w:rsidR="00EA03E6" w:rsidRPr="0094320D" w:rsidRDefault="00294948" w:rsidP="0094320D">
      <w:pPr>
        <w:jc w:val="both"/>
        <w:rPr>
          <w:b/>
          <w:szCs w:val="24"/>
        </w:rPr>
      </w:pPr>
      <w:r w:rsidRPr="0094320D">
        <w:rPr>
          <w:b/>
          <w:szCs w:val="24"/>
        </w:rPr>
        <w:t>Informacje ogólne</w:t>
      </w:r>
    </w:p>
    <w:p w14:paraId="0D0E4516" w14:textId="6CE2FD0B" w:rsidR="00EA03E6" w:rsidRPr="0094320D" w:rsidRDefault="00EA03E6" w:rsidP="0094320D">
      <w:pPr>
        <w:spacing w:before="240" w:after="120"/>
        <w:jc w:val="both"/>
        <w:rPr>
          <w:szCs w:val="24"/>
        </w:rPr>
      </w:pPr>
      <w:r w:rsidRPr="0094320D">
        <w:rPr>
          <w:szCs w:val="24"/>
        </w:rPr>
        <w:t xml:space="preserve">Celem głównym priorytetu </w:t>
      </w:r>
      <w:r w:rsidR="00D11E52">
        <w:rPr>
          <w:szCs w:val="24"/>
        </w:rPr>
        <w:t>była</w:t>
      </w:r>
      <w:r w:rsidRPr="0094320D">
        <w:rPr>
          <w:szCs w:val="24"/>
        </w:rPr>
        <w:t xml:space="preserve"> </w:t>
      </w:r>
      <w:r w:rsidRPr="0094320D">
        <w:rPr>
          <w:i/>
          <w:iCs/>
          <w:szCs w:val="24"/>
        </w:rPr>
        <w:t>poprawa stanu zdrowia mieszkańców regionu</w:t>
      </w:r>
      <w:r w:rsidRPr="0094320D">
        <w:rPr>
          <w:szCs w:val="24"/>
        </w:rPr>
        <w:t xml:space="preserve">. W ramach priorytetu wspierane </w:t>
      </w:r>
      <w:r w:rsidR="00D11E52">
        <w:rPr>
          <w:szCs w:val="24"/>
        </w:rPr>
        <w:t>były</w:t>
      </w:r>
      <w:r w:rsidRPr="0094320D">
        <w:rPr>
          <w:szCs w:val="24"/>
        </w:rPr>
        <w:t xml:space="preserve"> działania w zakresie lecznictwa zamkniętego i otwartego oraz lokalnej infrastruktury sportowej.</w:t>
      </w:r>
    </w:p>
    <w:p w14:paraId="777D108A" w14:textId="77777777" w:rsidR="00EA03E6" w:rsidRPr="0094320D" w:rsidRDefault="00EA03E6" w:rsidP="0094320D">
      <w:pPr>
        <w:spacing w:after="0"/>
        <w:jc w:val="both"/>
        <w:rPr>
          <w:szCs w:val="24"/>
        </w:rPr>
      </w:pPr>
      <w:r w:rsidRPr="0094320D">
        <w:rPr>
          <w:szCs w:val="24"/>
        </w:rPr>
        <w:t>Realizacji priorytetu służyć mają trzy działania:</w:t>
      </w:r>
    </w:p>
    <w:p w14:paraId="13F07D24" w14:textId="77777777" w:rsidR="00EA03E6" w:rsidRPr="0094320D" w:rsidRDefault="00EA03E6" w:rsidP="0021401A">
      <w:pPr>
        <w:numPr>
          <w:ilvl w:val="0"/>
          <w:numId w:val="35"/>
        </w:numPr>
        <w:spacing w:after="0"/>
        <w:contextualSpacing/>
        <w:jc w:val="both"/>
        <w:rPr>
          <w:i/>
          <w:szCs w:val="24"/>
        </w:rPr>
      </w:pPr>
      <w:r w:rsidRPr="0094320D">
        <w:rPr>
          <w:i/>
          <w:szCs w:val="24"/>
        </w:rPr>
        <w:t xml:space="preserve">9.1 Infrastruktura lecznictwa zamkniętego, </w:t>
      </w:r>
    </w:p>
    <w:p w14:paraId="0BFD7D10" w14:textId="77777777" w:rsidR="00EA03E6" w:rsidRPr="0094320D" w:rsidRDefault="00EA03E6" w:rsidP="0021401A">
      <w:pPr>
        <w:numPr>
          <w:ilvl w:val="0"/>
          <w:numId w:val="35"/>
        </w:numPr>
        <w:spacing w:after="0"/>
        <w:contextualSpacing/>
        <w:jc w:val="both"/>
        <w:rPr>
          <w:i/>
          <w:szCs w:val="24"/>
        </w:rPr>
      </w:pPr>
      <w:r w:rsidRPr="0094320D">
        <w:rPr>
          <w:i/>
          <w:szCs w:val="24"/>
        </w:rPr>
        <w:t xml:space="preserve">9.2 Infrastruktura lecznictwa otwartego, </w:t>
      </w:r>
    </w:p>
    <w:p w14:paraId="16B37E05" w14:textId="77777777" w:rsidR="00EA03E6" w:rsidRPr="0094320D" w:rsidRDefault="00EA03E6" w:rsidP="0021401A">
      <w:pPr>
        <w:numPr>
          <w:ilvl w:val="0"/>
          <w:numId w:val="35"/>
        </w:numPr>
        <w:spacing w:after="0"/>
        <w:contextualSpacing/>
        <w:jc w:val="both"/>
        <w:rPr>
          <w:i/>
          <w:szCs w:val="24"/>
        </w:rPr>
      </w:pPr>
      <w:r w:rsidRPr="0094320D">
        <w:rPr>
          <w:i/>
          <w:szCs w:val="24"/>
        </w:rPr>
        <w:t>9.3 Lokalna infrastruktura sportowa.</w:t>
      </w:r>
    </w:p>
    <w:p w14:paraId="7EF649EC" w14:textId="77777777" w:rsidR="00EA03E6" w:rsidRPr="0094320D" w:rsidRDefault="00EA03E6" w:rsidP="0094320D">
      <w:pPr>
        <w:spacing w:before="240" w:after="0"/>
        <w:jc w:val="both"/>
        <w:rPr>
          <w:i/>
          <w:szCs w:val="24"/>
        </w:rPr>
      </w:pPr>
      <w:r w:rsidRPr="0094320D">
        <w:rPr>
          <w:szCs w:val="24"/>
        </w:rPr>
        <w:t>Na realizację priorytetu IX alokowano 57 75</w:t>
      </w:r>
      <w:r w:rsidR="00B413D6" w:rsidRPr="0094320D">
        <w:rPr>
          <w:szCs w:val="24"/>
        </w:rPr>
        <w:t xml:space="preserve">9 000 EUR </w:t>
      </w:r>
      <w:r w:rsidRPr="0094320D">
        <w:rPr>
          <w:szCs w:val="24"/>
        </w:rPr>
        <w:t xml:space="preserve">pochodzących z EFRR, co stanowi 3,3% wartości </w:t>
      </w:r>
      <w:r w:rsidRPr="0094320D">
        <w:rPr>
          <w:i/>
          <w:szCs w:val="24"/>
        </w:rPr>
        <w:t>Programu.</w:t>
      </w:r>
    </w:p>
    <w:p w14:paraId="497EE735" w14:textId="77777777" w:rsidR="00EA03E6" w:rsidRPr="0094320D" w:rsidRDefault="00EA03E6" w:rsidP="0094320D">
      <w:pPr>
        <w:spacing w:before="240" w:after="0"/>
        <w:jc w:val="both"/>
        <w:rPr>
          <w:szCs w:val="24"/>
        </w:rPr>
      </w:pPr>
      <w:r w:rsidRPr="0094320D">
        <w:rPr>
          <w:szCs w:val="24"/>
        </w:rPr>
        <w:t xml:space="preserve">Opis wkładu priorytetu w promowanie równości szans kobiet i mężczyzn znajduje się w pkt. 2.2.1 </w:t>
      </w:r>
      <w:r w:rsidRPr="0094320D">
        <w:rPr>
          <w:i/>
          <w:szCs w:val="24"/>
        </w:rPr>
        <w:t>Sprawozdania.</w:t>
      </w:r>
    </w:p>
    <w:p w14:paraId="63389B8C" w14:textId="3F3CBD25" w:rsidR="00294948" w:rsidRPr="00294948" w:rsidRDefault="007B6B45" w:rsidP="00294948">
      <w:pPr>
        <w:spacing w:after="120"/>
        <w:jc w:val="both"/>
        <w:rPr>
          <w:i/>
          <w:szCs w:val="24"/>
        </w:rPr>
      </w:pPr>
      <w:r>
        <w:rPr>
          <w:szCs w:val="24"/>
        </w:rPr>
        <w:t>W ramach priorytetu nie przewidziano dofinasowania krzyżowego.</w:t>
      </w:r>
    </w:p>
    <w:p w14:paraId="7E0A18AA" w14:textId="55EF377D" w:rsidR="00EA03E6" w:rsidRDefault="00294948" w:rsidP="0094320D">
      <w:pPr>
        <w:widowControl w:val="0"/>
        <w:autoSpaceDE w:val="0"/>
        <w:autoSpaceDN w:val="0"/>
        <w:adjustRightInd w:val="0"/>
        <w:spacing w:after="120"/>
        <w:ind w:right="-23"/>
        <w:jc w:val="both"/>
        <w:rPr>
          <w:b/>
          <w:szCs w:val="24"/>
        </w:rPr>
      </w:pPr>
      <w:r w:rsidRPr="0094320D">
        <w:rPr>
          <w:b/>
          <w:szCs w:val="24"/>
        </w:rPr>
        <w:t>Analiza postępu finansowego</w:t>
      </w:r>
    </w:p>
    <w:p w14:paraId="34E3DF70" w14:textId="70AAD91B" w:rsidR="00294948" w:rsidRPr="00294948" w:rsidRDefault="00294948" w:rsidP="00294948">
      <w:pPr>
        <w:widowControl w:val="0"/>
        <w:autoSpaceDE w:val="0"/>
        <w:autoSpaceDN w:val="0"/>
        <w:adjustRightInd w:val="0"/>
        <w:spacing w:after="120"/>
        <w:ind w:right="-23"/>
        <w:jc w:val="both"/>
        <w:rPr>
          <w:szCs w:val="24"/>
        </w:rPr>
      </w:pPr>
      <w:r w:rsidRPr="00294948">
        <w:rPr>
          <w:szCs w:val="24"/>
        </w:rPr>
        <w:t xml:space="preserve">W ramach priorytetu IX </w:t>
      </w:r>
      <w:r w:rsidR="00D11E52">
        <w:rPr>
          <w:szCs w:val="24"/>
        </w:rPr>
        <w:t>realizowana była</w:t>
      </w:r>
      <w:r w:rsidRPr="00294948">
        <w:rPr>
          <w:szCs w:val="24"/>
        </w:rPr>
        <w:t xml:space="preserve"> wyłącznie konkursowa procedura oceny i wyboru projektów.</w:t>
      </w:r>
    </w:p>
    <w:p w14:paraId="7A4DCDF3" w14:textId="6DBBBECE" w:rsidR="00294948" w:rsidRPr="00294948" w:rsidRDefault="00294948" w:rsidP="00294948">
      <w:pPr>
        <w:spacing w:after="120"/>
        <w:jc w:val="both"/>
        <w:rPr>
          <w:szCs w:val="24"/>
        </w:rPr>
      </w:pPr>
      <w:r w:rsidRPr="00294948">
        <w:rPr>
          <w:szCs w:val="24"/>
        </w:rPr>
        <w:t xml:space="preserve">W ramach przedmiotowego priorytetu </w:t>
      </w:r>
      <w:r w:rsidR="00D11E52">
        <w:rPr>
          <w:szCs w:val="24"/>
        </w:rPr>
        <w:t xml:space="preserve">złożono </w:t>
      </w:r>
      <w:r w:rsidRPr="00294948">
        <w:rPr>
          <w:szCs w:val="24"/>
        </w:rPr>
        <w:t xml:space="preserve">317 </w:t>
      </w:r>
      <w:r w:rsidR="00D11E52" w:rsidRPr="00294948">
        <w:rPr>
          <w:szCs w:val="24"/>
        </w:rPr>
        <w:t xml:space="preserve">poprawnych formalnie </w:t>
      </w:r>
      <w:r w:rsidRPr="00294948">
        <w:rPr>
          <w:szCs w:val="24"/>
        </w:rPr>
        <w:t xml:space="preserve">wniosków o dofinansowanie na kwotę wnioskowanego dofinansowania </w:t>
      </w:r>
      <w:r w:rsidR="009B461C">
        <w:rPr>
          <w:szCs w:val="24"/>
        </w:rPr>
        <w:t>135,24</w:t>
      </w:r>
      <w:r w:rsidRPr="00294948">
        <w:rPr>
          <w:szCs w:val="24"/>
        </w:rPr>
        <w:t xml:space="preserve"> mln EUR, co stanowi </w:t>
      </w:r>
      <w:r w:rsidR="009B461C">
        <w:rPr>
          <w:szCs w:val="24"/>
        </w:rPr>
        <w:t>234,18</w:t>
      </w:r>
      <w:r w:rsidRPr="00294948">
        <w:rPr>
          <w:szCs w:val="24"/>
        </w:rPr>
        <w:t xml:space="preserve"> % alokacji priorytetu. Do dofinansowania wybrano 183 projekty o łącznej wartości dofinansowania </w:t>
      </w:r>
      <w:r w:rsidR="009B461C">
        <w:rPr>
          <w:szCs w:val="24"/>
        </w:rPr>
        <w:t>62,17</w:t>
      </w:r>
      <w:r w:rsidRPr="00294948">
        <w:rPr>
          <w:szCs w:val="24"/>
        </w:rPr>
        <w:t xml:space="preserve"> mln EUR. </w:t>
      </w:r>
    </w:p>
    <w:p w14:paraId="3C91139B" w14:textId="3F723FA5" w:rsidR="00294948" w:rsidRPr="00294948" w:rsidRDefault="00294948" w:rsidP="00294948">
      <w:pPr>
        <w:spacing w:after="120"/>
        <w:contextualSpacing/>
        <w:jc w:val="both"/>
        <w:rPr>
          <w:szCs w:val="24"/>
        </w:rPr>
      </w:pPr>
      <w:r w:rsidRPr="00294948">
        <w:rPr>
          <w:szCs w:val="24"/>
        </w:rPr>
        <w:t xml:space="preserve">Podpisano 177 umów o dofinansowanie. Łączna wartość dofinansowania umów wynosi </w:t>
      </w:r>
      <w:r w:rsidR="009B461C">
        <w:rPr>
          <w:szCs w:val="24"/>
        </w:rPr>
        <w:t>54,02</w:t>
      </w:r>
      <w:r w:rsidRPr="00294948">
        <w:rPr>
          <w:szCs w:val="24"/>
        </w:rPr>
        <w:t xml:space="preserve"> mln EUR, co stanowi 93,54 % alokacji na priorytet. </w:t>
      </w:r>
    </w:p>
    <w:p w14:paraId="3D2EE8D1" w14:textId="529122CE" w:rsidR="00294948" w:rsidRDefault="00294948" w:rsidP="00294948">
      <w:pPr>
        <w:spacing w:after="120"/>
        <w:jc w:val="both"/>
        <w:rPr>
          <w:szCs w:val="24"/>
        </w:rPr>
      </w:pPr>
      <w:r w:rsidRPr="00294948">
        <w:rPr>
          <w:szCs w:val="24"/>
        </w:rPr>
        <w:t xml:space="preserve">Na koniec 2016 roku certyfikowano wydatki na kwotę </w:t>
      </w:r>
      <w:r w:rsidR="009B461C">
        <w:rPr>
          <w:szCs w:val="24"/>
        </w:rPr>
        <w:t>56,8</w:t>
      </w:r>
      <w:r w:rsidR="00830FB1">
        <w:rPr>
          <w:szCs w:val="24"/>
        </w:rPr>
        <w:t>5</w:t>
      </w:r>
      <w:r w:rsidRPr="00294948">
        <w:rPr>
          <w:szCs w:val="24"/>
        </w:rPr>
        <w:t xml:space="preserve"> mln </w:t>
      </w:r>
      <w:r w:rsidR="009B461C" w:rsidRPr="00294948">
        <w:rPr>
          <w:szCs w:val="24"/>
        </w:rPr>
        <w:t>EUR, co</w:t>
      </w:r>
      <w:r w:rsidRPr="00294948">
        <w:rPr>
          <w:szCs w:val="24"/>
        </w:rPr>
        <w:t xml:space="preserve"> </w:t>
      </w:r>
      <w:r w:rsidR="009B461C" w:rsidRPr="00294948">
        <w:rPr>
          <w:szCs w:val="24"/>
        </w:rPr>
        <w:t>stanowi 98,4</w:t>
      </w:r>
      <w:r w:rsidR="00F74234">
        <w:rPr>
          <w:szCs w:val="24"/>
        </w:rPr>
        <w:t>4</w:t>
      </w:r>
      <w:r w:rsidR="009B461C" w:rsidRPr="00294948">
        <w:rPr>
          <w:szCs w:val="24"/>
        </w:rPr>
        <w:t>% dostępnej</w:t>
      </w:r>
      <w:r w:rsidRPr="00294948">
        <w:rPr>
          <w:szCs w:val="24"/>
        </w:rPr>
        <w:t xml:space="preserve"> alokacji. </w:t>
      </w:r>
    </w:p>
    <w:p w14:paraId="531FA519" w14:textId="24F11B4B" w:rsidR="005E6831" w:rsidRDefault="005E6831" w:rsidP="005E6831">
      <w:pPr>
        <w:spacing w:after="0"/>
        <w:jc w:val="both"/>
        <w:rPr>
          <w:szCs w:val="24"/>
        </w:rPr>
      </w:pPr>
      <w:r>
        <w:rPr>
          <w:szCs w:val="24"/>
        </w:rPr>
        <w:lastRenderedPageBreak/>
        <w:t>Na poniższym wykresie przedstawiono ogólną informację dot. postępu realizacji priorytetu I</w:t>
      </w:r>
      <w:r w:rsidR="00746B23">
        <w:rPr>
          <w:szCs w:val="24"/>
        </w:rPr>
        <w:t>X</w:t>
      </w:r>
      <w:r>
        <w:rPr>
          <w:szCs w:val="24"/>
        </w:rPr>
        <w:t xml:space="preserve"> na koniec 2016 roku oraz poziom wykorzystania alokacji.</w:t>
      </w:r>
    </w:p>
    <w:p w14:paraId="64274F72" w14:textId="2BF766B7" w:rsidR="005E6831" w:rsidRDefault="00156625" w:rsidP="00294948">
      <w:pPr>
        <w:spacing w:after="120"/>
        <w:jc w:val="both"/>
        <w:rPr>
          <w:szCs w:val="24"/>
        </w:rPr>
      </w:pPr>
      <w:r>
        <w:rPr>
          <w:noProof/>
        </w:rPr>
        <w:drawing>
          <wp:inline distT="0" distB="0" distL="0" distR="0" wp14:anchorId="4D2C3D77" wp14:editId="599511AD">
            <wp:extent cx="5759450" cy="3743325"/>
            <wp:effectExtent l="0" t="0" r="0" b="0"/>
            <wp:docPr id="42" name="Wykres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1DD5F9FB" w14:textId="11B9B769" w:rsidR="00294948" w:rsidRDefault="004D7598" w:rsidP="00E97B31">
      <w:pPr>
        <w:spacing w:after="120"/>
        <w:jc w:val="both"/>
        <w:rPr>
          <w:i/>
          <w:sz w:val="20"/>
          <w:szCs w:val="20"/>
        </w:rPr>
      </w:pPr>
      <w:bookmarkStart w:id="540" w:name="_Toc476832976"/>
      <w:r w:rsidRPr="003A31E7">
        <w:t xml:space="preserve">Rysunek </w:t>
      </w:r>
      <w:r w:rsidR="004361E1">
        <w:fldChar w:fldCharType="begin"/>
      </w:r>
      <w:r w:rsidR="004361E1">
        <w:instrText xml:space="preserve"> SEQ Rysunek \* ARABIC </w:instrText>
      </w:r>
      <w:r w:rsidR="004361E1">
        <w:fldChar w:fldCharType="separate"/>
      </w:r>
      <w:r w:rsidR="0050297D">
        <w:rPr>
          <w:noProof/>
        </w:rPr>
        <w:t>58</w:t>
      </w:r>
      <w:r w:rsidR="004361E1">
        <w:rPr>
          <w:noProof/>
        </w:rPr>
        <w:fldChar w:fldCharType="end"/>
      </w:r>
      <w:r>
        <w:t xml:space="preserve"> </w:t>
      </w:r>
      <w:r w:rsidR="005E6831" w:rsidRPr="005E6831">
        <w:rPr>
          <w:b/>
          <w:i/>
          <w:sz w:val="20"/>
          <w:szCs w:val="20"/>
        </w:rPr>
        <w:t xml:space="preserve">Postęp </w:t>
      </w:r>
      <w:r w:rsidR="005D38A0">
        <w:rPr>
          <w:b/>
          <w:i/>
          <w:sz w:val="20"/>
          <w:szCs w:val="20"/>
        </w:rPr>
        <w:t>finansowy</w:t>
      </w:r>
      <w:r w:rsidR="005E6831" w:rsidRPr="005E6831">
        <w:rPr>
          <w:b/>
          <w:i/>
          <w:sz w:val="20"/>
          <w:szCs w:val="20"/>
        </w:rPr>
        <w:t xml:space="preserve"> priorytetu</w:t>
      </w:r>
      <w:r w:rsidR="005D38A0">
        <w:rPr>
          <w:b/>
          <w:i/>
          <w:sz w:val="20"/>
          <w:szCs w:val="20"/>
        </w:rPr>
        <w:t xml:space="preserve"> IX</w:t>
      </w:r>
      <w:bookmarkEnd w:id="540"/>
    </w:p>
    <w:p w14:paraId="6C4CCD68" w14:textId="61728A0E" w:rsidR="005E6831" w:rsidRPr="005E6831" w:rsidRDefault="005E6831" w:rsidP="005E6831">
      <w:r>
        <w:t>Poniżej przedstawiono postęp realizacji priorytetu w podziale na działania</w:t>
      </w:r>
    </w:p>
    <w:p w14:paraId="59710FA8" w14:textId="71CBA048" w:rsidR="005E6831" w:rsidRPr="003E508E" w:rsidRDefault="004D7598" w:rsidP="004D7598">
      <w:pPr>
        <w:pStyle w:val="Legenda"/>
        <w:rPr>
          <w:color w:val="auto"/>
          <w:sz w:val="20"/>
          <w:szCs w:val="20"/>
        </w:rPr>
      </w:pPr>
      <w:bookmarkStart w:id="541" w:name="_Toc476131820"/>
      <w:r w:rsidRPr="003A31E7">
        <w:rPr>
          <w:color w:val="auto"/>
        </w:rPr>
        <w:t xml:space="preserve">Tabela </w:t>
      </w:r>
      <w:r w:rsidR="00A44293" w:rsidRPr="003A31E7">
        <w:rPr>
          <w:color w:val="auto"/>
        </w:rPr>
        <w:fldChar w:fldCharType="begin"/>
      </w:r>
      <w:r w:rsidR="00A44293" w:rsidRPr="003A31E7">
        <w:rPr>
          <w:color w:val="auto"/>
        </w:rPr>
        <w:instrText xml:space="preserve"> SEQ Tabela \* ARABIC </w:instrText>
      </w:r>
      <w:r w:rsidR="00A44293" w:rsidRPr="003A31E7">
        <w:rPr>
          <w:color w:val="auto"/>
        </w:rPr>
        <w:fldChar w:fldCharType="separate"/>
      </w:r>
      <w:r w:rsidR="0050297D">
        <w:rPr>
          <w:noProof/>
          <w:color w:val="auto"/>
        </w:rPr>
        <w:t>37</w:t>
      </w:r>
      <w:r w:rsidR="00A44293" w:rsidRPr="003A31E7">
        <w:rPr>
          <w:noProof/>
          <w:color w:val="auto"/>
        </w:rPr>
        <w:fldChar w:fldCharType="end"/>
      </w:r>
      <w:r w:rsidRPr="003A31E7">
        <w:rPr>
          <w:color w:val="auto"/>
        </w:rPr>
        <w:t xml:space="preserve"> </w:t>
      </w:r>
      <w:r w:rsidR="005E6831" w:rsidRPr="003E508E">
        <w:rPr>
          <w:b w:val="0"/>
          <w:i/>
          <w:color w:val="auto"/>
          <w:sz w:val="20"/>
          <w:szCs w:val="20"/>
        </w:rPr>
        <w:t xml:space="preserve">Postęp </w:t>
      </w:r>
      <w:r w:rsidR="005D38A0">
        <w:rPr>
          <w:b w:val="0"/>
          <w:i/>
          <w:color w:val="auto"/>
          <w:sz w:val="20"/>
          <w:szCs w:val="20"/>
        </w:rPr>
        <w:t>finansowy</w:t>
      </w:r>
      <w:r w:rsidR="005E6831" w:rsidRPr="003E508E">
        <w:rPr>
          <w:b w:val="0"/>
          <w:i/>
          <w:color w:val="auto"/>
          <w:sz w:val="20"/>
          <w:szCs w:val="20"/>
        </w:rPr>
        <w:t xml:space="preserve"> priorytetu</w:t>
      </w:r>
      <w:r w:rsidR="005D38A0">
        <w:rPr>
          <w:b w:val="0"/>
          <w:i/>
          <w:color w:val="auto"/>
          <w:sz w:val="20"/>
          <w:szCs w:val="20"/>
        </w:rPr>
        <w:t xml:space="preserve"> IX</w:t>
      </w:r>
      <w:r w:rsidR="005E6831" w:rsidRPr="003E508E">
        <w:rPr>
          <w:b w:val="0"/>
          <w:i/>
          <w:color w:val="auto"/>
          <w:sz w:val="20"/>
          <w:szCs w:val="20"/>
        </w:rPr>
        <w:t xml:space="preserve"> w podziale na działania</w:t>
      </w:r>
      <w:bookmarkEnd w:id="541"/>
    </w:p>
    <w:tbl>
      <w:tblPr>
        <w:tblStyle w:val="Tabelalisty3akcent6"/>
        <w:tblW w:w="10905" w:type="dxa"/>
        <w:jc w:val="center"/>
        <w:tblLook w:val="04A0" w:firstRow="1" w:lastRow="0" w:firstColumn="1" w:lastColumn="0" w:noHBand="0" w:noVBand="1"/>
      </w:tblPr>
      <w:tblGrid>
        <w:gridCol w:w="1120"/>
        <w:gridCol w:w="1120"/>
        <w:gridCol w:w="1120"/>
        <w:gridCol w:w="1120"/>
        <w:gridCol w:w="1120"/>
        <w:gridCol w:w="1120"/>
        <w:gridCol w:w="1120"/>
        <w:gridCol w:w="939"/>
        <w:gridCol w:w="992"/>
        <w:gridCol w:w="1134"/>
      </w:tblGrid>
      <w:tr w:rsidR="000D4BE4" w:rsidRPr="000D4BE4" w14:paraId="44DF3F6E" w14:textId="77777777" w:rsidTr="00BB152A">
        <w:trPr>
          <w:cnfStyle w:val="100000000000" w:firstRow="1" w:lastRow="0" w:firstColumn="0" w:lastColumn="0" w:oddVBand="0" w:evenVBand="0" w:oddHBand="0" w:evenHBand="0" w:firstRowFirstColumn="0" w:firstRowLastColumn="0" w:lastRowFirstColumn="0" w:lastRowLastColumn="0"/>
          <w:trHeight w:val="1770"/>
          <w:jc w:val="center"/>
        </w:trPr>
        <w:tc>
          <w:tcPr>
            <w:cnfStyle w:val="001000000100" w:firstRow="0" w:lastRow="0" w:firstColumn="1" w:lastColumn="0" w:oddVBand="0" w:evenVBand="0" w:oddHBand="0" w:evenHBand="0" w:firstRowFirstColumn="1" w:firstRowLastColumn="0" w:lastRowFirstColumn="0" w:lastRowLastColumn="0"/>
            <w:tcW w:w="1120" w:type="dxa"/>
            <w:vMerge w:val="restart"/>
            <w:noWrap/>
            <w:textDirection w:val="btLr"/>
            <w:vAlign w:val="center"/>
            <w:hideMark/>
          </w:tcPr>
          <w:p w14:paraId="1A7B69C7" w14:textId="26A8A153" w:rsidR="000D4BE4" w:rsidRPr="00BB152A" w:rsidRDefault="001D040C" w:rsidP="00BB152A">
            <w:pPr>
              <w:spacing w:after="0" w:line="240" w:lineRule="auto"/>
              <w:ind w:left="113" w:right="113"/>
              <w:jc w:val="center"/>
              <w:rPr>
                <w:bCs w:val="0"/>
                <w:color w:val="000000"/>
                <w:sz w:val="20"/>
                <w:szCs w:val="20"/>
              </w:rPr>
            </w:pPr>
            <w:r w:rsidRPr="00BB152A">
              <w:rPr>
                <w:bCs w:val="0"/>
                <w:color w:val="000000"/>
                <w:sz w:val="20"/>
                <w:szCs w:val="20"/>
              </w:rPr>
              <w:t>DZIAŁANIE</w:t>
            </w:r>
          </w:p>
        </w:tc>
        <w:tc>
          <w:tcPr>
            <w:tcW w:w="1120" w:type="dxa"/>
            <w:vMerge w:val="restart"/>
            <w:textDirection w:val="btLr"/>
            <w:vAlign w:val="center"/>
            <w:hideMark/>
          </w:tcPr>
          <w:p w14:paraId="0B95A454" w14:textId="2703EEEE" w:rsidR="000D4BE4" w:rsidRPr="00BB152A" w:rsidRDefault="001D040C" w:rsidP="00BB152A">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ALOKACJA MLN EUR</w:t>
            </w:r>
          </w:p>
        </w:tc>
        <w:tc>
          <w:tcPr>
            <w:tcW w:w="2240" w:type="dxa"/>
            <w:gridSpan w:val="2"/>
            <w:vAlign w:val="center"/>
            <w:hideMark/>
          </w:tcPr>
          <w:p w14:paraId="06CDE45D" w14:textId="7B6A1BAC" w:rsidR="000D4BE4"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WNIOSKI WYBRANE DO DOFINANSOWANIA</w:t>
            </w:r>
          </w:p>
        </w:tc>
        <w:tc>
          <w:tcPr>
            <w:tcW w:w="2240" w:type="dxa"/>
            <w:gridSpan w:val="2"/>
            <w:vAlign w:val="center"/>
            <w:hideMark/>
          </w:tcPr>
          <w:p w14:paraId="23BE7FF4" w14:textId="18588FDC" w:rsidR="000D4BE4"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KONTRAKTACJA</w:t>
            </w:r>
          </w:p>
        </w:tc>
        <w:tc>
          <w:tcPr>
            <w:tcW w:w="2059" w:type="dxa"/>
            <w:gridSpan w:val="2"/>
            <w:noWrap/>
            <w:vAlign w:val="center"/>
            <w:hideMark/>
          </w:tcPr>
          <w:p w14:paraId="5E3F8802" w14:textId="752FFE32" w:rsidR="000D4BE4"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PŁATNOŚCI</w:t>
            </w:r>
          </w:p>
        </w:tc>
        <w:tc>
          <w:tcPr>
            <w:tcW w:w="2126" w:type="dxa"/>
            <w:gridSpan w:val="2"/>
            <w:noWrap/>
            <w:vAlign w:val="center"/>
            <w:hideMark/>
          </w:tcPr>
          <w:p w14:paraId="4651A2CC" w14:textId="6B78A9BB" w:rsidR="000D4BE4"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CERTYFIKACJA</w:t>
            </w:r>
          </w:p>
        </w:tc>
      </w:tr>
      <w:tr w:rsidR="000D4BE4" w:rsidRPr="000D4BE4" w14:paraId="463A492E" w14:textId="77777777" w:rsidTr="00BB152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20" w:type="dxa"/>
            <w:vMerge/>
            <w:vAlign w:val="center"/>
            <w:hideMark/>
          </w:tcPr>
          <w:p w14:paraId="43913833" w14:textId="77777777" w:rsidR="000D4BE4" w:rsidRPr="000D4BE4" w:rsidRDefault="000D4BE4" w:rsidP="00BB152A">
            <w:pPr>
              <w:spacing w:after="0" w:line="240" w:lineRule="auto"/>
              <w:jc w:val="center"/>
              <w:rPr>
                <w:b w:val="0"/>
                <w:bCs w:val="0"/>
                <w:color w:val="000000"/>
                <w:sz w:val="20"/>
                <w:szCs w:val="20"/>
              </w:rPr>
            </w:pPr>
          </w:p>
        </w:tc>
        <w:tc>
          <w:tcPr>
            <w:tcW w:w="1120" w:type="dxa"/>
            <w:vMerge/>
            <w:vAlign w:val="center"/>
            <w:hideMark/>
          </w:tcPr>
          <w:p w14:paraId="3525E32E"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1120" w:type="dxa"/>
            <w:vAlign w:val="center"/>
            <w:hideMark/>
          </w:tcPr>
          <w:p w14:paraId="09892FB6"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mln EUR</w:t>
            </w:r>
          </w:p>
        </w:tc>
        <w:tc>
          <w:tcPr>
            <w:tcW w:w="1120" w:type="dxa"/>
            <w:vAlign w:val="center"/>
            <w:hideMark/>
          </w:tcPr>
          <w:p w14:paraId="6EF7FDFB"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w:t>
            </w:r>
          </w:p>
        </w:tc>
        <w:tc>
          <w:tcPr>
            <w:tcW w:w="1120" w:type="dxa"/>
            <w:vAlign w:val="center"/>
            <w:hideMark/>
          </w:tcPr>
          <w:p w14:paraId="3AD76E1C"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mln EUR</w:t>
            </w:r>
          </w:p>
        </w:tc>
        <w:tc>
          <w:tcPr>
            <w:tcW w:w="1120" w:type="dxa"/>
            <w:vAlign w:val="center"/>
            <w:hideMark/>
          </w:tcPr>
          <w:p w14:paraId="75A7FF9C"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w:t>
            </w:r>
          </w:p>
        </w:tc>
        <w:tc>
          <w:tcPr>
            <w:tcW w:w="1120" w:type="dxa"/>
            <w:vAlign w:val="center"/>
            <w:hideMark/>
          </w:tcPr>
          <w:p w14:paraId="490602E6"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mln EUR</w:t>
            </w:r>
          </w:p>
        </w:tc>
        <w:tc>
          <w:tcPr>
            <w:tcW w:w="939" w:type="dxa"/>
            <w:vAlign w:val="center"/>
            <w:hideMark/>
          </w:tcPr>
          <w:p w14:paraId="06AA1BE2"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w:t>
            </w:r>
          </w:p>
        </w:tc>
        <w:tc>
          <w:tcPr>
            <w:tcW w:w="992" w:type="dxa"/>
            <w:vAlign w:val="center"/>
            <w:hideMark/>
          </w:tcPr>
          <w:p w14:paraId="46FC56E9"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mln EUR</w:t>
            </w:r>
          </w:p>
        </w:tc>
        <w:tc>
          <w:tcPr>
            <w:tcW w:w="1134" w:type="dxa"/>
            <w:vAlign w:val="center"/>
            <w:hideMark/>
          </w:tcPr>
          <w:p w14:paraId="599F101F"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0D4BE4">
              <w:rPr>
                <w:b/>
                <w:bCs/>
                <w:color w:val="000000"/>
                <w:sz w:val="20"/>
                <w:szCs w:val="20"/>
              </w:rPr>
              <w:t>%</w:t>
            </w:r>
          </w:p>
        </w:tc>
      </w:tr>
      <w:tr w:rsidR="000D4BE4" w:rsidRPr="000D4BE4" w14:paraId="088C97EB" w14:textId="77777777" w:rsidTr="00BB152A">
        <w:trPr>
          <w:trHeight w:val="300"/>
          <w:jc w:val="center"/>
        </w:trPr>
        <w:tc>
          <w:tcPr>
            <w:cnfStyle w:val="001000000000" w:firstRow="0" w:lastRow="0" w:firstColumn="1" w:lastColumn="0" w:oddVBand="0" w:evenVBand="0" w:oddHBand="0" w:evenHBand="0" w:firstRowFirstColumn="0" w:firstRowLastColumn="0" w:lastRowFirstColumn="0" w:lastRowLastColumn="0"/>
            <w:tcW w:w="1120" w:type="dxa"/>
            <w:noWrap/>
            <w:vAlign w:val="center"/>
            <w:hideMark/>
          </w:tcPr>
          <w:p w14:paraId="45165455" w14:textId="77777777" w:rsidR="000D4BE4" w:rsidRPr="000D4BE4" w:rsidRDefault="000D4BE4" w:rsidP="00BB152A">
            <w:pPr>
              <w:spacing w:after="0" w:line="240" w:lineRule="auto"/>
              <w:jc w:val="center"/>
              <w:rPr>
                <w:color w:val="000000"/>
                <w:sz w:val="20"/>
                <w:szCs w:val="20"/>
              </w:rPr>
            </w:pPr>
            <w:r w:rsidRPr="000D4BE4">
              <w:rPr>
                <w:color w:val="000000"/>
                <w:sz w:val="20"/>
                <w:szCs w:val="20"/>
              </w:rPr>
              <w:t>9.1</w:t>
            </w:r>
          </w:p>
        </w:tc>
        <w:tc>
          <w:tcPr>
            <w:tcW w:w="1120" w:type="dxa"/>
            <w:noWrap/>
            <w:vAlign w:val="center"/>
            <w:hideMark/>
          </w:tcPr>
          <w:p w14:paraId="04AE2CEE" w14:textId="2B9A8122"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D4BE4">
              <w:rPr>
                <w:sz w:val="20"/>
                <w:szCs w:val="20"/>
              </w:rPr>
              <w:t>24,5</w:t>
            </w:r>
            <w:r w:rsidR="00F64529">
              <w:rPr>
                <w:sz w:val="20"/>
                <w:szCs w:val="20"/>
              </w:rPr>
              <w:t>9</w:t>
            </w:r>
          </w:p>
        </w:tc>
        <w:tc>
          <w:tcPr>
            <w:tcW w:w="1120" w:type="dxa"/>
            <w:noWrap/>
            <w:vAlign w:val="center"/>
            <w:hideMark/>
          </w:tcPr>
          <w:p w14:paraId="28FE5717"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D4BE4">
              <w:rPr>
                <w:color w:val="000000"/>
                <w:sz w:val="20"/>
                <w:szCs w:val="20"/>
              </w:rPr>
              <w:t>25,67</w:t>
            </w:r>
          </w:p>
        </w:tc>
        <w:tc>
          <w:tcPr>
            <w:tcW w:w="1120" w:type="dxa"/>
            <w:noWrap/>
            <w:vAlign w:val="center"/>
            <w:hideMark/>
          </w:tcPr>
          <w:p w14:paraId="405FE2C6" w14:textId="5C2AB2E3"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104,43</w:t>
            </w:r>
          </w:p>
        </w:tc>
        <w:tc>
          <w:tcPr>
            <w:tcW w:w="1120" w:type="dxa"/>
            <w:noWrap/>
            <w:vAlign w:val="center"/>
            <w:hideMark/>
          </w:tcPr>
          <w:p w14:paraId="398BA278"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D4BE4">
              <w:rPr>
                <w:color w:val="000000"/>
                <w:sz w:val="20"/>
                <w:szCs w:val="20"/>
              </w:rPr>
              <w:t>23,22</w:t>
            </w:r>
          </w:p>
        </w:tc>
        <w:tc>
          <w:tcPr>
            <w:tcW w:w="1120" w:type="dxa"/>
            <w:noWrap/>
            <w:vAlign w:val="center"/>
            <w:hideMark/>
          </w:tcPr>
          <w:p w14:paraId="3CE49595" w14:textId="03E82CB2"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94,47</w:t>
            </w:r>
          </w:p>
        </w:tc>
        <w:tc>
          <w:tcPr>
            <w:tcW w:w="1120" w:type="dxa"/>
            <w:noWrap/>
            <w:vAlign w:val="center"/>
            <w:hideMark/>
          </w:tcPr>
          <w:p w14:paraId="284B539E"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D4BE4">
              <w:rPr>
                <w:color w:val="000000"/>
                <w:sz w:val="20"/>
                <w:szCs w:val="20"/>
              </w:rPr>
              <w:t>23,07</w:t>
            </w:r>
          </w:p>
        </w:tc>
        <w:tc>
          <w:tcPr>
            <w:tcW w:w="939" w:type="dxa"/>
            <w:noWrap/>
            <w:vAlign w:val="center"/>
            <w:hideMark/>
          </w:tcPr>
          <w:p w14:paraId="6CD389BF" w14:textId="518B75D9"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93,86</w:t>
            </w:r>
          </w:p>
        </w:tc>
        <w:tc>
          <w:tcPr>
            <w:tcW w:w="992" w:type="dxa"/>
            <w:noWrap/>
            <w:vAlign w:val="center"/>
            <w:hideMark/>
          </w:tcPr>
          <w:p w14:paraId="0A584AD1"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D4BE4">
              <w:rPr>
                <w:sz w:val="20"/>
                <w:szCs w:val="20"/>
              </w:rPr>
              <w:t>24,57</w:t>
            </w:r>
          </w:p>
        </w:tc>
        <w:tc>
          <w:tcPr>
            <w:tcW w:w="1134" w:type="dxa"/>
            <w:noWrap/>
            <w:vAlign w:val="center"/>
            <w:hideMark/>
          </w:tcPr>
          <w:p w14:paraId="783AF316" w14:textId="6158C84C"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99,9</w:t>
            </w:r>
            <w:r w:rsidR="00F64529">
              <w:rPr>
                <w:color w:val="000000"/>
                <w:sz w:val="20"/>
                <w:szCs w:val="20"/>
              </w:rPr>
              <w:t>2</w:t>
            </w:r>
          </w:p>
        </w:tc>
      </w:tr>
      <w:tr w:rsidR="000D4BE4" w:rsidRPr="000D4BE4" w14:paraId="305FD4E7" w14:textId="77777777" w:rsidTr="00BB152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120" w:type="dxa"/>
            <w:noWrap/>
            <w:vAlign w:val="center"/>
            <w:hideMark/>
          </w:tcPr>
          <w:p w14:paraId="14ACCED7" w14:textId="77777777" w:rsidR="000D4BE4" w:rsidRPr="000D4BE4" w:rsidRDefault="000D4BE4" w:rsidP="00BB152A">
            <w:pPr>
              <w:spacing w:after="0" w:line="240" w:lineRule="auto"/>
              <w:jc w:val="center"/>
              <w:rPr>
                <w:color w:val="000000"/>
                <w:sz w:val="20"/>
                <w:szCs w:val="20"/>
              </w:rPr>
            </w:pPr>
            <w:r w:rsidRPr="000D4BE4">
              <w:rPr>
                <w:color w:val="000000"/>
                <w:sz w:val="20"/>
                <w:szCs w:val="20"/>
              </w:rPr>
              <w:t>9.2</w:t>
            </w:r>
          </w:p>
        </w:tc>
        <w:tc>
          <w:tcPr>
            <w:tcW w:w="1120" w:type="dxa"/>
            <w:noWrap/>
            <w:vAlign w:val="center"/>
            <w:hideMark/>
          </w:tcPr>
          <w:p w14:paraId="4487D7FC" w14:textId="2608E85F"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D4BE4">
              <w:rPr>
                <w:sz w:val="20"/>
                <w:szCs w:val="20"/>
              </w:rPr>
              <w:t>11,7</w:t>
            </w:r>
            <w:r w:rsidR="00F64529">
              <w:rPr>
                <w:sz w:val="20"/>
                <w:szCs w:val="20"/>
              </w:rPr>
              <w:t>3</w:t>
            </w:r>
          </w:p>
        </w:tc>
        <w:tc>
          <w:tcPr>
            <w:tcW w:w="1120" w:type="dxa"/>
            <w:noWrap/>
            <w:vAlign w:val="center"/>
            <w:hideMark/>
          </w:tcPr>
          <w:p w14:paraId="2A75BC22"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D4BE4">
              <w:rPr>
                <w:color w:val="000000"/>
                <w:sz w:val="20"/>
                <w:szCs w:val="20"/>
              </w:rPr>
              <w:t>12,08</w:t>
            </w:r>
          </w:p>
        </w:tc>
        <w:tc>
          <w:tcPr>
            <w:tcW w:w="1120" w:type="dxa"/>
            <w:noWrap/>
            <w:vAlign w:val="center"/>
            <w:hideMark/>
          </w:tcPr>
          <w:p w14:paraId="01BF392D" w14:textId="233C106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103,07</w:t>
            </w:r>
          </w:p>
        </w:tc>
        <w:tc>
          <w:tcPr>
            <w:tcW w:w="1120" w:type="dxa"/>
            <w:noWrap/>
            <w:vAlign w:val="center"/>
            <w:hideMark/>
          </w:tcPr>
          <w:p w14:paraId="20011824"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D4BE4">
              <w:rPr>
                <w:color w:val="000000"/>
                <w:sz w:val="20"/>
                <w:szCs w:val="20"/>
              </w:rPr>
              <w:t>10,84</w:t>
            </w:r>
          </w:p>
        </w:tc>
        <w:tc>
          <w:tcPr>
            <w:tcW w:w="1120" w:type="dxa"/>
            <w:noWrap/>
            <w:vAlign w:val="center"/>
            <w:hideMark/>
          </w:tcPr>
          <w:p w14:paraId="6507D7AC" w14:textId="1D8C2C95"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92,49</w:t>
            </w:r>
          </w:p>
        </w:tc>
        <w:tc>
          <w:tcPr>
            <w:tcW w:w="1120" w:type="dxa"/>
            <w:noWrap/>
            <w:vAlign w:val="center"/>
            <w:hideMark/>
          </w:tcPr>
          <w:p w14:paraId="78E9D3F9"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0D4BE4">
              <w:rPr>
                <w:color w:val="000000"/>
                <w:sz w:val="20"/>
                <w:szCs w:val="20"/>
              </w:rPr>
              <w:t>10,82</w:t>
            </w:r>
          </w:p>
        </w:tc>
        <w:tc>
          <w:tcPr>
            <w:tcW w:w="939" w:type="dxa"/>
            <w:noWrap/>
            <w:vAlign w:val="center"/>
            <w:hideMark/>
          </w:tcPr>
          <w:p w14:paraId="3D75E647" w14:textId="7F1F0803"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92,32</w:t>
            </w:r>
          </w:p>
        </w:tc>
        <w:tc>
          <w:tcPr>
            <w:tcW w:w="992" w:type="dxa"/>
            <w:noWrap/>
            <w:vAlign w:val="center"/>
            <w:hideMark/>
          </w:tcPr>
          <w:p w14:paraId="6F0FFE24" w14:textId="3EC75968"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D4BE4">
              <w:rPr>
                <w:sz w:val="20"/>
                <w:szCs w:val="20"/>
              </w:rPr>
              <w:t>11,7</w:t>
            </w:r>
            <w:r w:rsidR="00F64529">
              <w:rPr>
                <w:sz w:val="20"/>
                <w:szCs w:val="20"/>
              </w:rPr>
              <w:t>3</w:t>
            </w:r>
          </w:p>
        </w:tc>
        <w:tc>
          <w:tcPr>
            <w:tcW w:w="1134" w:type="dxa"/>
            <w:noWrap/>
            <w:vAlign w:val="center"/>
            <w:hideMark/>
          </w:tcPr>
          <w:p w14:paraId="5395AECD" w14:textId="264955C4"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100,00</w:t>
            </w:r>
          </w:p>
        </w:tc>
      </w:tr>
      <w:tr w:rsidR="000D4BE4" w:rsidRPr="000D4BE4" w14:paraId="3C56CB74" w14:textId="77777777" w:rsidTr="00BB152A">
        <w:trPr>
          <w:trHeight w:val="315"/>
          <w:jc w:val="center"/>
        </w:trPr>
        <w:tc>
          <w:tcPr>
            <w:cnfStyle w:val="001000000000" w:firstRow="0" w:lastRow="0" w:firstColumn="1" w:lastColumn="0" w:oddVBand="0" w:evenVBand="0" w:oddHBand="0" w:evenHBand="0" w:firstRowFirstColumn="0" w:firstRowLastColumn="0" w:lastRowFirstColumn="0" w:lastRowLastColumn="0"/>
            <w:tcW w:w="1120" w:type="dxa"/>
            <w:noWrap/>
            <w:vAlign w:val="center"/>
            <w:hideMark/>
          </w:tcPr>
          <w:p w14:paraId="67776101" w14:textId="77777777" w:rsidR="000D4BE4" w:rsidRPr="000D4BE4" w:rsidRDefault="000D4BE4" w:rsidP="00BB152A">
            <w:pPr>
              <w:spacing w:after="0" w:line="240" w:lineRule="auto"/>
              <w:jc w:val="center"/>
              <w:rPr>
                <w:color w:val="000000"/>
                <w:sz w:val="20"/>
                <w:szCs w:val="20"/>
              </w:rPr>
            </w:pPr>
            <w:r w:rsidRPr="000D4BE4">
              <w:rPr>
                <w:color w:val="000000"/>
                <w:sz w:val="20"/>
                <w:szCs w:val="20"/>
              </w:rPr>
              <w:t>9.3</w:t>
            </w:r>
          </w:p>
        </w:tc>
        <w:tc>
          <w:tcPr>
            <w:tcW w:w="1120" w:type="dxa"/>
            <w:noWrap/>
            <w:vAlign w:val="center"/>
            <w:hideMark/>
          </w:tcPr>
          <w:p w14:paraId="69D16151"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D4BE4">
              <w:rPr>
                <w:sz w:val="20"/>
                <w:szCs w:val="20"/>
              </w:rPr>
              <w:t>21,44</w:t>
            </w:r>
          </w:p>
        </w:tc>
        <w:tc>
          <w:tcPr>
            <w:tcW w:w="1120" w:type="dxa"/>
            <w:noWrap/>
            <w:vAlign w:val="center"/>
            <w:hideMark/>
          </w:tcPr>
          <w:p w14:paraId="208F473B"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D4BE4">
              <w:rPr>
                <w:color w:val="000000"/>
                <w:sz w:val="20"/>
                <w:szCs w:val="20"/>
              </w:rPr>
              <w:t>24,41</w:t>
            </w:r>
          </w:p>
        </w:tc>
        <w:tc>
          <w:tcPr>
            <w:tcW w:w="1120" w:type="dxa"/>
            <w:noWrap/>
            <w:vAlign w:val="center"/>
            <w:hideMark/>
          </w:tcPr>
          <w:p w14:paraId="33AC5E01" w14:textId="178DDD46"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113,85</w:t>
            </w:r>
          </w:p>
        </w:tc>
        <w:tc>
          <w:tcPr>
            <w:tcW w:w="1120" w:type="dxa"/>
            <w:noWrap/>
            <w:vAlign w:val="center"/>
            <w:hideMark/>
          </w:tcPr>
          <w:p w14:paraId="769F0F59"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D4BE4">
              <w:rPr>
                <w:color w:val="000000"/>
                <w:sz w:val="20"/>
                <w:szCs w:val="20"/>
              </w:rPr>
              <w:t>19,95</w:t>
            </w:r>
          </w:p>
        </w:tc>
        <w:tc>
          <w:tcPr>
            <w:tcW w:w="1120" w:type="dxa"/>
            <w:noWrap/>
            <w:vAlign w:val="center"/>
            <w:hideMark/>
          </w:tcPr>
          <w:p w14:paraId="4F1CB202" w14:textId="2E5818A3"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93,05</w:t>
            </w:r>
          </w:p>
        </w:tc>
        <w:tc>
          <w:tcPr>
            <w:tcW w:w="1120" w:type="dxa"/>
            <w:noWrap/>
            <w:vAlign w:val="center"/>
            <w:hideMark/>
          </w:tcPr>
          <w:p w14:paraId="1AE5C721"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0D4BE4">
              <w:rPr>
                <w:color w:val="000000"/>
                <w:sz w:val="20"/>
                <w:szCs w:val="20"/>
              </w:rPr>
              <w:t>19,13</w:t>
            </w:r>
          </w:p>
        </w:tc>
        <w:tc>
          <w:tcPr>
            <w:tcW w:w="939" w:type="dxa"/>
            <w:noWrap/>
            <w:vAlign w:val="center"/>
            <w:hideMark/>
          </w:tcPr>
          <w:p w14:paraId="7C14ECA4" w14:textId="1EDC17CA"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89,23</w:t>
            </w:r>
          </w:p>
        </w:tc>
        <w:tc>
          <w:tcPr>
            <w:tcW w:w="992" w:type="dxa"/>
            <w:noWrap/>
            <w:vAlign w:val="center"/>
            <w:hideMark/>
          </w:tcPr>
          <w:p w14:paraId="49C73D7F"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D4BE4">
              <w:rPr>
                <w:sz w:val="20"/>
                <w:szCs w:val="20"/>
              </w:rPr>
              <w:t>20,55</w:t>
            </w:r>
          </w:p>
        </w:tc>
        <w:tc>
          <w:tcPr>
            <w:tcW w:w="1134" w:type="dxa"/>
            <w:noWrap/>
            <w:vAlign w:val="center"/>
            <w:hideMark/>
          </w:tcPr>
          <w:p w14:paraId="7B8F1CF5" w14:textId="770ECABA"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95,85</w:t>
            </w:r>
          </w:p>
        </w:tc>
      </w:tr>
    </w:tbl>
    <w:p w14:paraId="7246E831" w14:textId="77777777" w:rsidR="005E6831" w:rsidRPr="005E6831" w:rsidRDefault="005E6831" w:rsidP="000D4BE4">
      <w:pPr>
        <w:jc w:val="center"/>
      </w:pPr>
    </w:p>
    <w:p w14:paraId="3BA36E53" w14:textId="77777777" w:rsidR="00EA03E6" w:rsidRPr="0094320D" w:rsidRDefault="00EA03E6" w:rsidP="0094320D">
      <w:pPr>
        <w:spacing w:after="120"/>
        <w:contextualSpacing/>
        <w:jc w:val="both"/>
        <w:rPr>
          <w:b/>
          <w:szCs w:val="24"/>
          <w:lang w:eastAsia="ar-SA"/>
        </w:rPr>
      </w:pPr>
      <w:r w:rsidRPr="0094320D">
        <w:rPr>
          <w:b/>
          <w:szCs w:val="24"/>
          <w:lang w:eastAsia="ar-SA"/>
        </w:rPr>
        <w:t>Projekty kluczowe</w:t>
      </w:r>
    </w:p>
    <w:p w14:paraId="07CC3D5F" w14:textId="7E0978F4" w:rsidR="00EA03E6" w:rsidRPr="0094320D" w:rsidRDefault="00EA03E6" w:rsidP="0094320D">
      <w:pPr>
        <w:spacing w:after="120"/>
        <w:contextualSpacing/>
        <w:jc w:val="both"/>
        <w:rPr>
          <w:b/>
          <w:color w:val="00B050"/>
          <w:szCs w:val="24"/>
        </w:rPr>
      </w:pPr>
      <w:r w:rsidRPr="0094320D">
        <w:rPr>
          <w:szCs w:val="24"/>
          <w:lang w:eastAsia="ar-SA"/>
        </w:rPr>
        <w:t xml:space="preserve">W ramach priorytetu nie </w:t>
      </w:r>
      <w:r w:rsidR="00D11E52">
        <w:rPr>
          <w:szCs w:val="24"/>
          <w:lang w:eastAsia="ar-SA"/>
        </w:rPr>
        <w:t>były</w:t>
      </w:r>
      <w:r w:rsidRPr="0094320D">
        <w:rPr>
          <w:szCs w:val="24"/>
          <w:lang w:eastAsia="ar-SA"/>
        </w:rPr>
        <w:t xml:space="preserve"> realizowane projekty kluczowe.</w:t>
      </w:r>
    </w:p>
    <w:p w14:paraId="415B2979" w14:textId="77777777" w:rsidR="00DD02E1" w:rsidRPr="0094320D" w:rsidRDefault="00DD02E1" w:rsidP="0094320D">
      <w:pPr>
        <w:spacing w:after="120"/>
        <w:contextualSpacing/>
        <w:jc w:val="both"/>
        <w:rPr>
          <w:b/>
          <w:szCs w:val="24"/>
          <w:lang w:eastAsia="ar-SA"/>
        </w:rPr>
      </w:pPr>
    </w:p>
    <w:p w14:paraId="6152D721" w14:textId="77777777" w:rsidR="00EA03E6" w:rsidRPr="0094320D" w:rsidRDefault="00EA03E6" w:rsidP="0094320D">
      <w:pPr>
        <w:spacing w:after="120"/>
        <w:contextualSpacing/>
        <w:jc w:val="both"/>
        <w:rPr>
          <w:b/>
          <w:szCs w:val="24"/>
          <w:lang w:eastAsia="ar-SA"/>
        </w:rPr>
      </w:pPr>
      <w:r w:rsidRPr="0094320D">
        <w:rPr>
          <w:b/>
          <w:szCs w:val="24"/>
          <w:lang w:eastAsia="ar-SA"/>
        </w:rPr>
        <w:t>Harmonogram konkursów</w:t>
      </w:r>
    </w:p>
    <w:p w14:paraId="4213F477" w14:textId="0554E41E" w:rsidR="00EA03E6" w:rsidRDefault="00D11E52" w:rsidP="0094320D">
      <w:pPr>
        <w:spacing w:after="0"/>
        <w:jc w:val="both"/>
        <w:rPr>
          <w:szCs w:val="24"/>
          <w:lang w:eastAsia="ar-SA"/>
        </w:rPr>
      </w:pPr>
      <w:r>
        <w:rPr>
          <w:szCs w:val="24"/>
          <w:lang w:eastAsia="ar-SA"/>
        </w:rPr>
        <w:t>W</w:t>
      </w:r>
      <w:r w:rsidR="00EA03E6" w:rsidRPr="0094320D">
        <w:rPr>
          <w:szCs w:val="24"/>
          <w:lang w:eastAsia="ar-SA"/>
        </w:rPr>
        <w:t xml:space="preserve"> ramach priorytetu IX odbyło się 5 konkursów na łączną kwotę 57,75 mln EUR.</w:t>
      </w:r>
      <w:r w:rsidR="00EA03E6" w:rsidRPr="0094320D">
        <w:rPr>
          <w:szCs w:val="24"/>
        </w:rPr>
        <w:t xml:space="preserve"> </w:t>
      </w:r>
    </w:p>
    <w:p w14:paraId="24C00806" w14:textId="77777777" w:rsidR="00D11E52" w:rsidRDefault="00D11E52" w:rsidP="004E6046">
      <w:pPr>
        <w:spacing w:before="120" w:after="240"/>
        <w:contextualSpacing/>
        <w:jc w:val="both"/>
        <w:rPr>
          <w:b/>
          <w:szCs w:val="24"/>
          <w:lang w:eastAsia="ar-SA"/>
        </w:rPr>
      </w:pPr>
    </w:p>
    <w:p w14:paraId="430BF669" w14:textId="77777777" w:rsidR="001D040C" w:rsidRDefault="001D040C" w:rsidP="004E6046">
      <w:pPr>
        <w:spacing w:before="120" w:after="240"/>
        <w:contextualSpacing/>
        <w:jc w:val="both"/>
        <w:rPr>
          <w:b/>
          <w:szCs w:val="24"/>
          <w:lang w:eastAsia="ar-SA"/>
        </w:rPr>
      </w:pPr>
    </w:p>
    <w:p w14:paraId="792B0281" w14:textId="77777777" w:rsidR="004E6046" w:rsidRDefault="004E6046" w:rsidP="004E6046">
      <w:pPr>
        <w:spacing w:before="120" w:after="240"/>
        <w:contextualSpacing/>
        <w:jc w:val="both"/>
        <w:rPr>
          <w:b/>
          <w:szCs w:val="24"/>
          <w:lang w:eastAsia="ar-SA"/>
        </w:rPr>
      </w:pPr>
      <w:r w:rsidRPr="0094320D">
        <w:rPr>
          <w:b/>
          <w:szCs w:val="24"/>
          <w:lang w:eastAsia="ar-SA"/>
        </w:rPr>
        <w:lastRenderedPageBreak/>
        <w:t>Rozkład projektów</w:t>
      </w:r>
    </w:p>
    <w:p w14:paraId="59F65B1B" w14:textId="77777777" w:rsidR="00E45AD5" w:rsidRDefault="004E6046" w:rsidP="00E45AD5">
      <w:pPr>
        <w:pStyle w:val="Akapitzlist"/>
        <w:spacing w:before="120" w:after="240"/>
        <w:ind w:left="0"/>
        <w:jc w:val="both"/>
        <w:rPr>
          <w:szCs w:val="24"/>
          <w:lang w:eastAsia="ar-SA"/>
        </w:rPr>
      </w:pPr>
      <w:r>
        <w:rPr>
          <w:szCs w:val="24"/>
          <w:lang w:eastAsia="ar-SA"/>
        </w:rPr>
        <w:t>Poniżej zaprezentowano rozkład</w:t>
      </w:r>
      <w:r w:rsidRPr="00D90934">
        <w:rPr>
          <w:szCs w:val="24"/>
          <w:lang w:eastAsia="ar-SA"/>
        </w:rPr>
        <w:t xml:space="preserve"> projektów (wartość w mln EUR i liczbę) w podziale na różne obszary tematyczne. Postęp realizacji RPO WSL oparty został na danych z KSI (SIMIK 07-13) dot. </w:t>
      </w:r>
      <w:r>
        <w:rPr>
          <w:szCs w:val="24"/>
          <w:lang w:eastAsia="ar-SA"/>
        </w:rPr>
        <w:t xml:space="preserve">kontraktacji na koniec 2016 </w:t>
      </w:r>
      <w:r w:rsidRPr="00D90934">
        <w:rPr>
          <w:szCs w:val="24"/>
          <w:lang w:eastAsia="ar-SA"/>
        </w:rPr>
        <w:t>r., w przypadkach braku danych w KS</w:t>
      </w:r>
      <w:r>
        <w:rPr>
          <w:szCs w:val="24"/>
          <w:lang w:eastAsia="ar-SA"/>
        </w:rPr>
        <w:t>I dane pochodzą z LSI.</w:t>
      </w:r>
    </w:p>
    <w:p w14:paraId="5C3C4675" w14:textId="77777777" w:rsidR="00E45AD5" w:rsidRDefault="00E45AD5" w:rsidP="00E45AD5">
      <w:pPr>
        <w:pStyle w:val="Akapitzlist"/>
        <w:spacing w:before="120" w:after="240"/>
        <w:ind w:left="0"/>
        <w:jc w:val="both"/>
        <w:rPr>
          <w:szCs w:val="24"/>
          <w:lang w:eastAsia="ar-SA"/>
        </w:rPr>
      </w:pPr>
    </w:p>
    <w:p w14:paraId="22FB78E3" w14:textId="5B11FDA3" w:rsidR="004E6046" w:rsidRPr="00E45AD5" w:rsidRDefault="004E6046" w:rsidP="00BB152A">
      <w:pPr>
        <w:pStyle w:val="Akapitzlist"/>
        <w:numPr>
          <w:ilvl w:val="0"/>
          <w:numId w:val="112"/>
        </w:numPr>
        <w:spacing w:before="120" w:after="240"/>
        <w:jc w:val="both"/>
        <w:rPr>
          <w:szCs w:val="24"/>
          <w:lang w:eastAsia="ar-SA"/>
        </w:rPr>
      </w:pPr>
      <w:r w:rsidRPr="004E6046">
        <w:rPr>
          <w:b/>
          <w:szCs w:val="24"/>
          <w:lang w:eastAsia="ar-SA"/>
        </w:rPr>
        <w:t>Projekty w podziale na sektory gospodarki</w:t>
      </w:r>
    </w:p>
    <w:p w14:paraId="245972A3" w14:textId="3B52DEFE" w:rsidR="004E6046" w:rsidRPr="0005532E" w:rsidRDefault="004E6046" w:rsidP="004E6046">
      <w:pPr>
        <w:spacing w:before="240" w:after="240"/>
        <w:contextualSpacing/>
        <w:jc w:val="both"/>
        <w:rPr>
          <w:szCs w:val="24"/>
          <w:lang w:eastAsia="ar-SA"/>
        </w:rPr>
      </w:pPr>
      <w:r>
        <w:rPr>
          <w:szCs w:val="24"/>
          <w:lang w:eastAsia="ar-SA"/>
        </w:rPr>
        <w:t>W ramach przedmiotowego priorytetu, nie są realizowane pro</w:t>
      </w:r>
      <w:r w:rsidR="00E45AD5">
        <w:rPr>
          <w:szCs w:val="24"/>
          <w:lang w:eastAsia="ar-SA"/>
        </w:rPr>
        <w:t>jekty, które można podzielić na </w:t>
      </w:r>
      <w:r>
        <w:rPr>
          <w:szCs w:val="24"/>
          <w:lang w:eastAsia="ar-SA"/>
        </w:rPr>
        <w:t>sektory gospodarki.</w:t>
      </w:r>
    </w:p>
    <w:p w14:paraId="5332F5F7" w14:textId="77777777" w:rsidR="000D4BE4" w:rsidRDefault="000D4BE4" w:rsidP="000D4BE4">
      <w:pPr>
        <w:spacing w:after="120"/>
        <w:contextualSpacing/>
        <w:jc w:val="both"/>
        <w:rPr>
          <w:b/>
          <w:szCs w:val="24"/>
          <w:lang w:eastAsia="ar-SA"/>
        </w:rPr>
      </w:pPr>
    </w:p>
    <w:p w14:paraId="3A314BFD" w14:textId="77777777" w:rsidR="000D4BE4" w:rsidRPr="00BB152A" w:rsidRDefault="000D4BE4" w:rsidP="00BB152A">
      <w:pPr>
        <w:pStyle w:val="Akapitzlist"/>
        <w:numPr>
          <w:ilvl w:val="0"/>
          <w:numId w:val="112"/>
        </w:numPr>
        <w:spacing w:after="120"/>
        <w:jc w:val="both"/>
        <w:rPr>
          <w:b/>
          <w:szCs w:val="24"/>
          <w:lang w:eastAsia="ar-SA"/>
        </w:rPr>
      </w:pPr>
      <w:r w:rsidRPr="00BB152A">
        <w:rPr>
          <w:b/>
          <w:szCs w:val="24"/>
          <w:lang w:eastAsia="ar-SA"/>
        </w:rPr>
        <w:t>Projekty w podziale na formy prawne beneficjentów</w:t>
      </w:r>
    </w:p>
    <w:p w14:paraId="103CF44B" w14:textId="36383326" w:rsidR="000D4BE4" w:rsidRPr="000D4BE4" w:rsidRDefault="000D4BE4" w:rsidP="000D4BE4">
      <w:pPr>
        <w:autoSpaceDE w:val="0"/>
        <w:autoSpaceDN w:val="0"/>
        <w:adjustRightInd w:val="0"/>
        <w:spacing w:after="0"/>
        <w:jc w:val="both"/>
        <w:rPr>
          <w:rFonts w:eastAsia="Calibri"/>
          <w:szCs w:val="24"/>
        </w:rPr>
      </w:pPr>
      <w:r w:rsidRPr="000D4BE4">
        <w:rPr>
          <w:rFonts w:eastAsia="Calibri"/>
          <w:szCs w:val="24"/>
        </w:rPr>
        <w:t>Analizując rozkład udzielonego wsparcia według typu beneficjentów, najszersze grono odbiorców zarówno pod względem liczby projektów, które otrzymały dofinansowanie</w:t>
      </w:r>
      <w:r w:rsidR="00D11E52">
        <w:rPr>
          <w:rFonts w:eastAsia="Calibri"/>
          <w:szCs w:val="24"/>
        </w:rPr>
        <w:t>,</w:t>
      </w:r>
      <w:r w:rsidRPr="000D4BE4">
        <w:rPr>
          <w:rFonts w:eastAsia="Calibri"/>
          <w:szCs w:val="24"/>
        </w:rPr>
        <w:t xml:space="preserve"> jak również wartości</w:t>
      </w:r>
      <w:r w:rsidR="00D11E52">
        <w:rPr>
          <w:rFonts w:eastAsia="Calibri"/>
          <w:szCs w:val="24"/>
        </w:rPr>
        <w:t>,</w:t>
      </w:r>
      <w:r w:rsidRPr="000D4BE4">
        <w:rPr>
          <w:rFonts w:eastAsia="Calibri"/>
          <w:szCs w:val="24"/>
        </w:rPr>
        <w:t xml:space="preserve"> stanowią JST</w:t>
      </w:r>
      <w:r>
        <w:rPr>
          <w:rFonts w:eastAsia="Calibri"/>
          <w:bCs/>
          <w:szCs w:val="24"/>
        </w:rPr>
        <w:t xml:space="preserve"> na poziomie 28,31 mln EUR, co stanowi 52,40</w:t>
      </w:r>
      <w:r w:rsidRPr="000D4BE4">
        <w:rPr>
          <w:rFonts w:eastAsia="Calibri"/>
          <w:bCs/>
          <w:szCs w:val="24"/>
        </w:rPr>
        <w:t>% wszystkich podpisanych umów o dofinansowanie</w:t>
      </w:r>
      <w:r w:rsidRPr="000D4BE4">
        <w:rPr>
          <w:rFonts w:eastAsia="Calibri"/>
          <w:szCs w:val="24"/>
        </w:rPr>
        <w:t xml:space="preserve">. </w:t>
      </w:r>
      <w:r w:rsidRPr="000D4BE4">
        <w:rPr>
          <w:rFonts w:eastAsia="Calibri"/>
        </w:rPr>
        <w:t>Na drugim</w:t>
      </w:r>
      <w:r w:rsidRPr="000D4BE4">
        <w:rPr>
          <w:rFonts w:eastAsia="Calibri"/>
          <w:szCs w:val="24"/>
        </w:rPr>
        <w:t xml:space="preserve"> miejscu w kategorii </w:t>
      </w:r>
      <w:r w:rsidR="00D11E52">
        <w:rPr>
          <w:rFonts w:eastAsia="Calibri"/>
          <w:szCs w:val="24"/>
        </w:rPr>
        <w:t>„</w:t>
      </w:r>
      <w:r w:rsidRPr="000D4BE4">
        <w:rPr>
          <w:rFonts w:eastAsia="Calibri"/>
          <w:szCs w:val="24"/>
        </w:rPr>
        <w:t>inne</w:t>
      </w:r>
      <w:r w:rsidR="00D11E52">
        <w:rPr>
          <w:rFonts w:eastAsia="Calibri"/>
          <w:szCs w:val="24"/>
        </w:rPr>
        <w:t>”</w:t>
      </w:r>
      <w:r w:rsidRPr="000D4BE4">
        <w:rPr>
          <w:rFonts w:eastAsia="Calibri"/>
          <w:szCs w:val="24"/>
        </w:rPr>
        <w:t xml:space="preserve"> znajdują się publiczne i niepubliczne zakłady opieki zdrowotnej oraz spółdzielnie, kt</w:t>
      </w:r>
      <w:r>
        <w:rPr>
          <w:rFonts w:eastAsia="Calibri"/>
          <w:szCs w:val="24"/>
        </w:rPr>
        <w:t>órych dofinansowanie wyniosło 21,66</w:t>
      </w:r>
      <w:r w:rsidRPr="000D4BE4">
        <w:rPr>
          <w:rFonts w:eastAsia="Calibri"/>
          <w:szCs w:val="24"/>
        </w:rPr>
        <w:t xml:space="preserve"> mln EUR. W ramach przedmiotowego priorytetu przedsiębiorstwa oznaczają podmioty, w których większość udziałów lub akcji posiadają jednostki samorządu terytorialnego lub ich związki i stowarzyszenia, prowadzące działalność w publicznym systemie ochrony zdrowia.</w:t>
      </w:r>
    </w:p>
    <w:p w14:paraId="0D748A63" w14:textId="408633CE" w:rsidR="000D4BE4" w:rsidRPr="000D4BE4" w:rsidRDefault="000D4BE4" w:rsidP="000D4BE4">
      <w:pPr>
        <w:spacing w:after="120"/>
        <w:contextualSpacing/>
        <w:jc w:val="both"/>
        <w:rPr>
          <w:rFonts w:eastAsia="Calibri"/>
          <w:szCs w:val="24"/>
        </w:rPr>
      </w:pPr>
      <w:r>
        <w:rPr>
          <w:noProof/>
        </w:rPr>
        <w:drawing>
          <wp:inline distT="0" distB="0" distL="0" distR="0" wp14:anchorId="777E4225" wp14:editId="310E9DCB">
            <wp:extent cx="6047117" cy="3347720"/>
            <wp:effectExtent l="0" t="0" r="0" b="5080"/>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45DDD425" w14:textId="4D69DC78" w:rsidR="000D4BE4" w:rsidRPr="008E3AFF" w:rsidRDefault="004D7598" w:rsidP="004D7598">
      <w:pPr>
        <w:pStyle w:val="Legenda"/>
        <w:rPr>
          <w:b w:val="0"/>
          <w:color w:val="auto"/>
          <w:sz w:val="20"/>
          <w:szCs w:val="20"/>
          <w:lang w:eastAsia="ar-SA"/>
        </w:rPr>
      </w:pPr>
      <w:bookmarkStart w:id="542" w:name="_Toc476832977"/>
      <w:r w:rsidRPr="003A31E7">
        <w:rPr>
          <w:color w:val="auto"/>
        </w:rPr>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59</w:t>
      </w:r>
      <w:r w:rsidR="00A44293" w:rsidRPr="003A31E7">
        <w:rPr>
          <w:noProof/>
          <w:color w:val="auto"/>
        </w:rPr>
        <w:fldChar w:fldCharType="end"/>
      </w:r>
      <w:r>
        <w:t xml:space="preserve"> </w:t>
      </w:r>
      <w:r w:rsidR="008E3AFF" w:rsidRPr="008E3AFF">
        <w:rPr>
          <w:b w:val="0"/>
          <w:i/>
          <w:color w:val="auto"/>
          <w:sz w:val="20"/>
          <w:szCs w:val="20"/>
        </w:rPr>
        <w:t xml:space="preserve">Rozkład projektów </w:t>
      </w:r>
      <w:r w:rsidR="005D38A0">
        <w:rPr>
          <w:b w:val="0"/>
          <w:i/>
          <w:color w:val="auto"/>
          <w:sz w:val="20"/>
          <w:szCs w:val="20"/>
        </w:rPr>
        <w:t xml:space="preserve">w ramach priorytetu IX </w:t>
      </w:r>
      <w:r w:rsidR="008E3AFF" w:rsidRPr="008E3AFF">
        <w:rPr>
          <w:b w:val="0"/>
          <w:i/>
          <w:color w:val="auto"/>
          <w:sz w:val="20"/>
          <w:szCs w:val="20"/>
        </w:rPr>
        <w:t>w podziale na beneficjenta</w:t>
      </w:r>
      <w:bookmarkEnd w:id="542"/>
    </w:p>
    <w:p w14:paraId="4AEDA0BA" w14:textId="77777777" w:rsidR="000D4BE4" w:rsidRPr="00BB152A" w:rsidRDefault="000D4BE4" w:rsidP="00BB152A">
      <w:pPr>
        <w:pStyle w:val="Akapitzlist"/>
        <w:numPr>
          <w:ilvl w:val="0"/>
          <w:numId w:val="112"/>
        </w:numPr>
        <w:spacing w:after="120"/>
        <w:jc w:val="both"/>
        <w:rPr>
          <w:b/>
          <w:szCs w:val="24"/>
          <w:lang w:eastAsia="ar-SA"/>
        </w:rPr>
      </w:pPr>
      <w:r w:rsidRPr="00BB152A">
        <w:rPr>
          <w:b/>
          <w:szCs w:val="24"/>
          <w:lang w:eastAsia="ar-SA"/>
        </w:rPr>
        <w:t>Projekty w podziale na rozkład terytorialny</w:t>
      </w:r>
    </w:p>
    <w:p w14:paraId="193BD238" w14:textId="67E887C3" w:rsidR="000D4BE4" w:rsidRPr="000D4BE4" w:rsidRDefault="000D4BE4" w:rsidP="000D4BE4">
      <w:pPr>
        <w:autoSpaceDE w:val="0"/>
        <w:autoSpaceDN w:val="0"/>
        <w:adjustRightInd w:val="0"/>
        <w:spacing w:after="0"/>
        <w:jc w:val="both"/>
        <w:rPr>
          <w:rFonts w:eastAsia="Calibri"/>
          <w:szCs w:val="24"/>
        </w:rPr>
      </w:pPr>
      <w:r w:rsidRPr="000D4BE4">
        <w:rPr>
          <w:rFonts w:eastAsia="Calibri"/>
          <w:szCs w:val="24"/>
        </w:rPr>
        <w:t xml:space="preserve">Ponad </w:t>
      </w:r>
      <w:r w:rsidRPr="004C61C1">
        <w:rPr>
          <w:rFonts w:eastAsia="Calibri"/>
          <w:bCs/>
          <w:szCs w:val="24"/>
        </w:rPr>
        <w:t>78%</w:t>
      </w:r>
      <w:r w:rsidRPr="000D4BE4">
        <w:rPr>
          <w:rFonts w:eastAsia="Calibri"/>
          <w:b/>
          <w:bCs/>
          <w:szCs w:val="24"/>
        </w:rPr>
        <w:t xml:space="preserve"> </w:t>
      </w:r>
      <w:r w:rsidRPr="000D4BE4">
        <w:rPr>
          <w:rFonts w:eastAsia="Calibri"/>
          <w:szCs w:val="24"/>
        </w:rPr>
        <w:t xml:space="preserve">środków skierowanych zostało na realizacje inwestycji na obszarach miejskich, natomiast </w:t>
      </w:r>
      <w:r w:rsidR="008E3AFF" w:rsidRPr="004C61C1">
        <w:rPr>
          <w:rFonts w:eastAsia="Calibri"/>
          <w:bCs/>
          <w:szCs w:val="24"/>
        </w:rPr>
        <w:t>19</w:t>
      </w:r>
      <w:r w:rsidRPr="004C61C1">
        <w:rPr>
          <w:rFonts w:eastAsia="Calibri"/>
          <w:bCs/>
          <w:szCs w:val="24"/>
        </w:rPr>
        <w:t>%</w:t>
      </w:r>
      <w:r w:rsidRPr="000D4BE4">
        <w:rPr>
          <w:rFonts w:eastAsia="Calibri"/>
          <w:b/>
          <w:bCs/>
          <w:szCs w:val="24"/>
        </w:rPr>
        <w:t xml:space="preserve"> </w:t>
      </w:r>
      <w:r w:rsidRPr="000D4BE4">
        <w:rPr>
          <w:rFonts w:eastAsia="Calibri"/>
          <w:szCs w:val="24"/>
        </w:rPr>
        <w:t>na terenach wiejskich.</w:t>
      </w:r>
    </w:p>
    <w:p w14:paraId="26FC6F3C" w14:textId="77777777" w:rsidR="000D4BE4" w:rsidRPr="000D4BE4" w:rsidRDefault="000D4BE4" w:rsidP="000D4BE4">
      <w:pPr>
        <w:autoSpaceDE w:val="0"/>
        <w:autoSpaceDN w:val="0"/>
        <w:adjustRightInd w:val="0"/>
        <w:spacing w:after="0"/>
        <w:jc w:val="both"/>
        <w:rPr>
          <w:rFonts w:eastAsia="Calibri"/>
          <w:szCs w:val="24"/>
        </w:rPr>
      </w:pPr>
    </w:p>
    <w:p w14:paraId="3D440FD0" w14:textId="1F39CD33" w:rsidR="000D4BE4" w:rsidRPr="000D4BE4" w:rsidRDefault="004D7598" w:rsidP="004D7598">
      <w:pPr>
        <w:pStyle w:val="Legenda"/>
        <w:rPr>
          <w:i/>
          <w:color w:val="auto"/>
          <w:sz w:val="20"/>
          <w:szCs w:val="20"/>
        </w:rPr>
      </w:pPr>
      <w:bookmarkStart w:id="543" w:name="_Toc476131821"/>
      <w:r w:rsidRPr="003A31E7">
        <w:rPr>
          <w:color w:val="auto"/>
        </w:rPr>
        <w:lastRenderedPageBreak/>
        <w:t xml:space="preserve">Tabela </w:t>
      </w:r>
      <w:r w:rsidR="00A44293" w:rsidRPr="003A31E7">
        <w:rPr>
          <w:color w:val="auto"/>
        </w:rPr>
        <w:fldChar w:fldCharType="begin"/>
      </w:r>
      <w:r w:rsidR="00A44293" w:rsidRPr="003A31E7">
        <w:rPr>
          <w:color w:val="auto"/>
        </w:rPr>
        <w:instrText xml:space="preserve"> SEQ Tabela \* ARABIC </w:instrText>
      </w:r>
      <w:r w:rsidR="00A44293" w:rsidRPr="003A31E7">
        <w:rPr>
          <w:color w:val="auto"/>
        </w:rPr>
        <w:fldChar w:fldCharType="separate"/>
      </w:r>
      <w:r w:rsidR="0050297D">
        <w:rPr>
          <w:noProof/>
          <w:color w:val="auto"/>
        </w:rPr>
        <w:t>38</w:t>
      </w:r>
      <w:r w:rsidR="00A44293" w:rsidRPr="003A31E7">
        <w:rPr>
          <w:noProof/>
          <w:color w:val="auto"/>
        </w:rPr>
        <w:fldChar w:fldCharType="end"/>
      </w:r>
      <w:r>
        <w:t xml:space="preserve"> </w:t>
      </w:r>
      <w:r w:rsidR="000D4BE4" w:rsidRPr="000D4BE4">
        <w:rPr>
          <w:b w:val="0"/>
          <w:i/>
          <w:color w:val="auto"/>
          <w:sz w:val="20"/>
          <w:szCs w:val="20"/>
        </w:rPr>
        <w:t>Rozkład projektów w ramach priorytetu IX w podziale na obszary</w:t>
      </w:r>
      <w:bookmarkEnd w:id="543"/>
      <w:r w:rsidR="000D4BE4" w:rsidRPr="000D4BE4">
        <w:rPr>
          <w:b w:val="0"/>
          <w:i/>
          <w:color w:val="auto"/>
          <w:sz w:val="20"/>
          <w:szCs w:val="20"/>
        </w:rPr>
        <w:t xml:space="preserve"> </w:t>
      </w:r>
    </w:p>
    <w:tbl>
      <w:tblPr>
        <w:tblStyle w:val="Jasnalistaakcent6"/>
        <w:tblpPr w:leftFromText="141" w:rightFromText="141" w:vertAnchor="text" w:tblpXSpec="center" w:tblpY="1"/>
        <w:tblW w:w="5420" w:type="dxa"/>
        <w:tblLook w:val="04A0" w:firstRow="1" w:lastRow="0" w:firstColumn="1" w:lastColumn="0" w:noHBand="0" w:noVBand="1"/>
      </w:tblPr>
      <w:tblGrid>
        <w:gridCol w:w="1560"/>
        <w:gridCol w:w="1308"/>
        <w:gridCol w:w="2552"/>
      </w:tblGrid>
      <w:tr w:rsidR="000D4BE4" w:rsidRPr="000D4BE4" w14:paraId="3B18648B" w14:textId="77777777" w:rsidTr="00BB152A">
        <w:trPr>
          <w:cnfStyle w:val="100000000000" w:firstRow="1" w:lastRow="0" w:firstColumn="0" w:lastColumn="0" w:oddVBand="0" w:evenVBand="0" w:oddHBand="0"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771F6F2F" w14:textId="77777777" w:rsidR="000D4BE4" w:rsidRPr="000D4BE4" w:rsidRDefault="000D4BE4" w:rsidP="00BB152A">
            <w:pPr>
              <w:spacing w:after="0" w:line="240" w:lineRule="auto"/>
              <w:jc w:val="center"/>
              <w:rPr>
                <w:color w:val="auto"/>
                <w:sz w:val="20"/>
              </w:rPr>
            </w:pPr>
            <w:r w:rsidRPr="000D4BE4">
              <w:rPr>
                <w:color w:val="auto"/>
                <w:sz w:val="20"/>
              </w:rPr>
              <w:t>OBSZAR</w:t>
            </w:r>
          </w:p>
        </w:tc>
        <w:tc>
          <w:tcPr>
            <w:tcW w:w="1308" w:type="dxa"/>
            <w:vAlign w:val="center"/>
            <w:hideMark/>
          </w:tcPr>
          <w:p w14:paraId="0BF94900" w14:textId="77777777" w:rsidR="000D4BE4" w:rsidRPr="000D4BE4" w:rsidRDefault="000D4BE4"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0D4BE4">
              <w:rPr>
                <w:color w:val="auto"/>
                <w:sz w:val="20"/>
              </w:rPr>
              <w:t>LICZBA</w:t>
            </w:r>
          </w:p>
        </w:tc>
        <w:tc>
          <w:tcPr>
            <w:tcW w:w="2552" w:type="dxa"/>
            <w:vAlign w:val="center"/>
            <w:hideMark/>
          </w:tcPr>
          <w:p w14:paraId="75724044" w14:textId="77777777" w:rsidR="000D4BE4" w:rsidRPr="000D4BE4" w:rsidRDefault="000D4BE4"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 w:val="20"/>
              </w:rPr>
            </w:pPr>
            <w:r w:rsidRPr="000D4BE4">
              <w:rPr>
                <w:color w:val="auto"/>
                <w:sz w:val="20"/>
              </w:rPr>
              <w:t>DOFINANSOWANIE UE</w:t>
            </w:r>
          </w:p>
        </w:tc>
      </w:tr>
      <w:tr w:rsidR="000D4BE4" w:rsidRPr="000D4BE4" w14:paraId="46A3A4B3" w14:textId="77777777" w:rsidTr="00BB152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31D5FB71" w14:textId="231FE2C5" w:rsidR="000D4BE4" w:rsidRPr="001D040C" w:rsidRDefault="001D040C" w:rsidP="00BB152A">
            <w:pPr>
              <w:spacing w:after="0" w:line="240" w:lineRule="auto"/>
              <w:jc w:val="center"/>
              <w:rPr>
                <w:b w:val="0"/>
                <w:sz w:val="20"/>
              </w:rPr>
            </w:pPr>
            <w:r w:rsidRPr="001D040C">
              <w:rPr>
                <w:b w:val="0"/>
                <w:sz w:val="20"/>
              </w:rPr>
              <w:t>Miejski</w:t>
            </w:r>
          </w:p>
        </w:tc>
        <w:tc>
          <w:tcPr>
            <w:tcW w:w="1308" w:type="dxa"/>
            <w:vAlign w:val="center"/>
          </w:tcPr>
          <w:p w14:paraId="791BFACF" w14:textId="77F82663"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125</w:t>
            </w:r>
          </w:p>
        </w:tc>
        <w:tc>
          <w:tcPr>
            <w:tcW w:w="2552" w:type="dxa"/>
            <w:vAlign w:val="center"/>
          </w:tcPr>
          <w:p w14:paraId="4171D275" w14:textId="3F27CD5B"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42,15</w:t>
            </w:r>
          </w:p>
        </w:tc>
      </w:tr>
      <w:tr w:rsidR="000D4BE4" w:rsidRPr="000D4BE4" w14:paraId="79359AE7" w14:textId="77777777" w:rsidTr="00BB152A">
        <w:trPr>
          <w:trHeight w:val="505"/>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0EF24AD6" w14:textId="7AAF13CD" w:rsidR="000D4BE4" w:rsidRPr="001D040C" w:rsidRDefault="001D040C" w:rsidP="00BB152A">
            <w:pPr>
              <w:spacing w:after="0" w:line="240" w:lineRule="auto"/>
              <w:jc w:val="center"/>
              <w:rPr>
                <w:b w:val="0"/>
                <w:sz w:val="20"/>
              </w:rPr>
            </w:pPr>
            <w:r w:rsidRPr="001D040C">
              <w:rPr>
                <w:b w:val="0"/>
                <w:sz w:val="20"/>
              </w:rPr>
              <w:t>Wiejski</w:t>
            </w:r>
          </w:p>
        </w:tc>
        <w:tc>
          <w:tcPr>
            <w:tcW w:w="1308" w:type="dxa"/>
            <w:vAlign w:val="center"/>
          </w:tcPr>
          <w:p w14:paraId="002DA520" w14:textId="77777777"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sidRPr="000D4BE4">
              <w:rPr>
                <w:sz w:val="20"/>
              </w:rPr>
              <w:t>46</w:t>
            </w:r>
          </w:p>
        </w:tc>
        <w:tc>
          <w:tcPr>
            <w:tcW w:w="2552" w:type="dxa"/>
            <w:vAlign w:val="center"/>
          </w:tcPr>
          <w:p w14:paraId="722464A2" w14:textId="4B0C2A0A" w:rsidR="000D4BE4" w:rsidRPr="000D4BE4" w:rsidRDefault="000D4BE4"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rPr>
            </w:pPr>
            <w:r>
              <w:rPr>
                <w:sz w:val="20"/>
              </w:rPr>
              <w:t>10,43</w:t>
            </w:r>
          </w:p>
        </w:tc>
      </w:tr>
      <w:tr w:rsidR="000D4BE4" w:rsidRPr="000D4BE4" w14:paraId="3CC7B96A" w14:textId="77777777" w:rsidTr="00BB152A">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560" w:type="dxa"/>
            <w:vAlign w:val="center"/>
            <w:hideMark/>
          </w:tcPr>
          <w:p w14:paraId="1884887B" w14:textId="38A1C3EC" w:rsidR="000D4BE4" w:rsidRPr="001D040C" w:rsidRDefault="001D040C" w:rsidP="00BB152A">
            <w:pPr>
              <w:spacing w:after="0" w:line="240" w:lineRule="auto"/>
              <w:jc w:val="center"/>
              <w:rPr>
                <w:b w:val="0"/>
                <w:sz w:val="20"/>
              </w:rPr>
            </w:pPr>
            <w:r w:rsidRPr="001D040C">
              <w:rPr>
                <w:b w:val="0"/>
                <w:sz w:val="20"/>
              </w:rPr>
              <w:t>Górski</w:t>
            </w:r>
          </w:p>
        </w:tc>
        <w:tc>
          <w:tcPr>
            <w:tcW w:w="1308" w:type="dxa"/>
            <w:vAlign w:val="center"/>
          </w:tcPr>
          <w:p w14:paraId="2F749433" w14:textId="77777777"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sidRPr="000D4BE4">
              <w:rPr>
                <w:sz w:val="20"/>
              </w:rPr>
              <w:t>6</w:t>
            </w:r>
          </w:p>
        </w:tc>
        <w:tc>
          <w:tcPr>
            <w:tcW w:w="2552" w:type="dxa"/>
            <w:vAlign w:val="center"/>
          </w:tcPr>
          <w:p w14:paraId="2666473D" w14:textId="507BA736" w:rsidR="000D4BE4" w:rsidRPr="000D4BE4" w:rsidRDefault="000D4BE4"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1,44</w:t>
            </w:r>
          </w:p>
        </w:tc>
      </w:tr>
    </w:tbl>
    <w:p w14:paraId="5520F192" w14:textId="77777777" w:rsidR="000D4BE4" w:rsidRPr="000D4BE4" w:rsidRDefault="000D4BE4" w:rsidP="000D4BE4">
      <w:pPr>
        <w:tabs>
          <w:tab w:val="left" w:pos="1276"/>
        </w:tabs>
        <w:autoSpaceDE w:val="0"/>
        <w:autoSpaceDN w:val="0"/>
        <w:adjustRightInd w:val="0"/>
        <w:spacing w:after="120"/>
        <w:jc w:val="both"/>
        <w:rPr>
          <w:szCs w:val="24"/>
        </w:rPr>
      </w:pPr>
      <w:r w:rsidRPr="000D4BE4">
        <w:rPr>
          <w:szCs w:val="24"/>
        </w:rPr>
        <w:br w:type="textWrapping" w:clear="all"/>
      </w:r>
    </w:p>
    <w:p w14:paraId="6BE0549D" w14:textId="47F4318C" w:rsidR="000D4BE4" w:rsidRDefault="000D4BE4" w:rsidP="000D4BE4">
      <w:pPr>
        <w:tabs>
          <w:tab w:val="left" w:pos="1276"/>
        </w:tabs>
        <w:autoSpaceDE w:val="0"/>
        <w:autoSpaceDN w:val="0"/>
        <w:adjustRightInd w:val="0"/>
        <w:spacing w:after="120"/>
        <w:jc w:val="both"/>
        <w:rPr>
          <w:szCs w:val="24"/>
        </w:rPr>
      </w:pPr>
      <w:r w:rsidRPr="000D4BE4">
        <w:rPr>
          <w:szCs w:val="24"/>
        </w:rPr>
        <w:t>Wsparcie w ramach priorytetu IX pozyskali głównie beneficjenci z centrum i południa województwa. W podziale na powi</w:t>
      </w:r>
      <w:r w:rsidR="008E3AFF">
        <w:rPr>
          <w:szCs w:val="24"/>
        </w:rPr>
        <w:t xml:space="preserve">aty ziemskie najwięcej środków </w:t>
      </w:r>
      <w:r w:rsidRPr="000D4BE4">
        <w:rPr>
          <w:szCs w:val="24"/>
        </w:rPr>
        <w:t>zostało przeznaczonych na powiat cieszyński, gdzie łączna kwota dofinansowania UE wynosi 4,</w:t>
      </w:r>
      <w:r w:rsidR="008E3AFF">
        <w:rPr>
          <w:szCs w:val="24"/>
        </w:rPr>
        <w:t>30</w:t>
      </w:r>
      <w:r w:rsidRPr="000D4BE4">
        <w:rPr>
          <w:szCs w:val="24"/>
        </w:rPr>
        <w:t xml:space="preserve"> mln EUR. W ramach powiatów grodzkich (miasta na prawach powiatu) największe dofinansowanie otrzymało Miasto </w:t>
      </w:r>
      <w:r w:rsidR="008E3AFF">
        <w:rPr>
          <w:szCs w:val="24"/>
        </w:rPr>
        <w:t>Katowice</w:t>
      </w:r>
      <w:r w:rsidRPr="000D4BE4">
        <w:rPr>
          <w:szCs w:val="24"/>
        </w:rPr>
        <w:t xml:space="preserve"> tj. </w:t>
      </w:r>
      <w:r w:rsidR="008E3AFF">
        <w:rPr>
          <w:szCs w:val="24"/>
        </w:rPr>
        <w:t>3,25</w:t>
      </w:r>
      <w:r w:rsidRPr="000D4BE4">
        <w:rPr>
          <w:szCs w:val="24"/>
        </w:rPr>
        <w:t xml:space="preserve"> mln EUR ora</w:t>
      </w:r>
      <w:r w:rsidR="008E3AFF">
        <w:rPr>
          <w:szCs w:val="24"/>
        </w:rPr>
        <w:t>z Miasto Piekary Śląskie tj. 3,</w:t>
      </w:r>
      <w:r w:rsidRPr="000D4BE4">
        <w:rPr>
          <w:szCs w:val="24"/>
        </w:rPr>
        <w:t>3</w:t>
      </w:r>
      <w:r w:rsidR="008E3AFF">
        <w:rPr>
          <w:szCs w:val="24"/>
        </w:rPr>
        <w:t>5</w:t>
      </w:r>
      <w:r w:rsidRPr="000D4BE4">
        <w:rPr>
          <w:szCs w:val="24"/>
        </w:rPr>
        <w:t xml:space="preserve"> mln EUR.</w:t>
      </w:r>
    </w:p>
    <w:p w14:paraId="74715572" w14:textId="77777777" w:rsidR="007B6B45" w:rsidRDefault="007B6B45" w:rsidP="007B6B45">
      <w:pPr>
        <w:tabs>
          <w:tab w:val="left" w:pos="1276"/>
        </w:tabs>
        <w:autoSpaceDE w:val="0"/>
        <w:autoSpaceDN w:val="0"/>
        <w:adjustRightInd w:val="0"/>
        <w:spacing w:after="120"/>
        <w:jc w:val="both"/>
        <w:rPr>
          <w:rFonts w:eastAsia="Calibri"/>
          <w:szCs w:val="24"/>
          <w:lang w:eastAsia="en-US"/>
        </w:rPr>
      </w:pPr>
      <w:r w:rsidRPr="00DA639A">
        <w:rPr>
          <w:rFonts w:eastAsia="Calibri"/>
          <w:szCs w:val="24"/>
          <w:lang w:eastAsia="en-US"/>
        </w:rPr>
        <w:t>Poniżej na mapie przedstawiono rozkład projektów realizowanych w ramach przedmiotowego priorytetu na powiaty.</w:t>
      </w:r>
    </w:p>
    <w:p w14:paraId="0145F915" w14:textId="77777777" w:rsidR="007B6B45" w:rsidRPr="000D4BE4" w:rsidRDefault="007B6B45" w:rsidP="000D4BE4">
      <w:pPr>
        <w:tabs>
          <w:tab w:val="left" w:pos="1276"/>
        </w:tabs>
        <w:autoSpaceDE w:val="0"/>
        <w:autoSpaceDN w:val="0"/>
        <w:adjustRightInd w:val="0"/>
        <w:spacing w:after="120"/>
        <w:jc w:val="both"/>
        <w:rPr>
          <w:szCs w:val="24"/>
        </w:rPr>
      </w:pPr>
    </w:p>
    <w:p w14:paraId="181AFE6D" w14:textId="7400152E" w:rsidR="000D4BE4" w:rsidRDefault="008E3AFF" w:rsidP="000D4BE4">
      <w:pPr>
        <w:tabs>
          <w:tab w:val="left" w:pos="1276"/>
        </w:tabs>
        <w:autoSpaceDE w:val="0"/>
        <w:autoSpaceDN w:val="0"/>
        <w:adjustRightInd w:val="0"/>
        <w:spacing w:after="120"/>
        <w:jc w:val="both"/>
        <w:rPr>
          <w:szCs w:val="24"/>
        </w:rPr>
      </w:pPr>
      <w:r w:rsidRPr="008E3AFF">
        <w:rPr>
          <w:noProof/>
          <w:szCs w:val="24"/>
        </w:rPr>
        <w:lastRenderedPageBreak/>
        <w:drawing>
          <wp:inline distT="0" distB="0" distL="0" distR="0" wp14:anchorId="2E88794A" wp14:editId="1991391B">
            <wp:extent cx="5758815" cy="7049068"/>
            <wp:effectExtent l="0" t="0" r="0" b="0"/>
            <wp:docPr id="19" name="Obraz 19" descr="W:\RRF\!Zespół ds monitoringu\Perspektywa 2007-2013\Sprawozdanie końcowe\Piotr\mapki\P9\P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RRF\!Zespół ds monitoringu\Perspektywa 2007-2013\Sprawozdanie końcowe\Piotr\mapki\P9\P9.jpe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62841" cy="7053996"/>
                    </a:xfrm>
                    <a:prstGeom prst="rect">
                      <a:avLst/>
                    </a:prstGeom>
                    <a:noFill/>
                    <a:ln>
                      <a:noFill/>
                    </a:ln>
                  </pic:spPr>
                </pic:pic>
              </a:graphicData>
            </a:graphic>
          </wp:inline>
        </w:drawing>
      </w:r>
    </w:p>
    <w:p w14:paraId="193CCB2B" w14:textId="7348830B" w:rsidR="008E3AFF" w:rsidRPr="008E3AFF" w:rsidRDefault="004D7598" w:rsidP="004D7598">
      <w:pPr>
        <w:pStyle w:val="Legenda"/>
        <w:rPr>
          <w:color w:val="auto"/>
          <w:sz w:val="20"/>
          <w:szCs w:val="20"/>
        </w:rPr>
      </w:pPr>
      <w:bookmarkStart w:id="544" w:name="_Toc476832978"/>
      <w:r w:rsidRPr="003A31E7">
        <w:rPr>
          <w:color w:val="auto"/>
        </w:rPr>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60</w:t>
      </w:r>
      <w:r w:rsidR="00A44293" w:rsidRPr="003A31E7">
        <w:rPr>
          <w:noProof/>
          <w:color w:val="auto"/>
        </w:rPr>
        <w:fldChar w:fldCharType="end"/>
      </w:r>
      <w:r w:rsidRPr="003A31E7">
        <w:rPr>
          <w:color w:val="auto"/>
        </w:rPr>
        <w:t xml:space="preserve"> </w:t>
      </w:r>
      <w:r w:rsidR="008E3AFF" w:rsidRPr="008E3AFF">
        <w:rPr>
          <w:b w:val="0"/>
          <w:i/>
          <w:color w:val="auto"/>
          <w:sz w:val="20"/>
          <w:szCs w:val="20"/>
        </w:rPr>
        <w:t xml:space="preserve">Rozkład projektów </w:t>
      </w:r>
      <w:r w:rsidR="005D38A0">
        <w:rPr>
          <w:b w:val="0"/>
          <w:i/>
          <w:color w:val="auto"/>
          <w:sz w:val="20"/>
          <w:szCs w:val="20"/>
        </w:rPr>
        <w:t xml:space="preserve">w ramach priorytetu IX </w:t>
      </w:r>
      <w:r w:rsidR="008E3AFF" w:rsidRPr="008E3AFF">
        <w:rPr>
          <w:b w:val="0"/>
          <w:i/>
          <w:color w:val="auto"/>
          <w:sz w:val="20"/>
          <w:szCs w:val="20"/>
        </w:rPr>
        <w:t>w podziale na powiaty</w:t>
      </w:r>
      <w:bookmarkEnd w:id="544"/>
    </w:p>
    <w:p w14:paraId="5E9F6AF2" w14:textId="77777777" w:rsidR="000D4BE4" w:rsidRPr="000D4BE4" w:rsidRDefault="000D4BE4" w:rsidP="000D4BE4">
      <w:pPr>
        <w:spacing w:after="120"/>
        <w:contextualSpacing/>
        <w:jc w:val="both"/>
        <w:rPr>
          <w:b/>
          <w:szCs w:val="24"/>
          <w:lang w:eastAsia="ar-SA"/>
        </w:rPr>
      </w:pPr>
      <w:r w:rsidRPr="000D4BE4">
        <w:rPr>
          <w:b/>
          <w:szCs w:val="24"/>
          <w:lang w:eastAsia="ar-SA"/>
        </w:rPr>
        <w:t>Projekty w podziale na obszary wsparcia</w:t>
      </w:r>
    </w:p>
    <w:p w14:paraId="24D6AD78" w14:textId="1BB26F52" w:rsidR="000D4BE4" w:rsidRPr="000D4BE4" w:rsidRDefault="000D4BE4" w:rsidP="000D4BE4">
      <w:pPr>
        <w:shd w:val="clear" w:color="auto" w:fill="FFFFFF"/>
        <w:tabs>
          <w:tab w:val="left" w:pos="1276"/>
        </w:tabs>
        <w:autoSpaceDE w:val="0"/>
        <w:autoSpaceDN w:val="0"/>
        <w:adjustRightInd w:val="0"/>
        <w:spacing w:after="120"/>
        <w:jc w:val="both"/>
        <w:rPr>
          <w:szCs w:val="24"/>
          <w:lang w:eastAsia="ar-SA"/>
        </w:rPr>
      </w:pPr>
      <w:r w:rsidRPr="000D4BE4">
        <w:rPr>
          <w:szCs w:val="24"/>
          <w:lang w:eastAsia="ar-SA"/>
        </w:rPr>
        <w:t xml:space="preserve">W priorytecie IX większość projektów realizowana </w:t>
      </w:r>
      <w:r w:rsidR="00BB152A">
        <w:rPr>
          <w:szCs w:val="24"/>
          <w:lang w:eastAsia="ar-SA"/>
        </w:rPr>
        <w:t>była</w:t>
      </w:r>
      <w:r w:rsidRPr="000D4BE4">
        <w:rPr>
          <w:szCs w:val="24"/>
          <w:lang w:eastAsia="ar-SA"/>
        </w:rPr>
        <w:t xml:space="preserve"> w zakresie obszarze infrastruktura społeczna (ochrona zdrowia). Działania podejmowane w ramach priorytetu są powiązane z działaniami realizowanymi w ramach Programu Operacyjnego Kapitał Ludzi, </w:t>
      </w:r>
      <w:r w:rsidR="00DC3BE3">
        <w:rPr>
          <w:szCs w:val="24"/>
          <w:lang w:eastAsia="ar-SA"/>
        </w:rPr>
        <w:t xml:space="preserve">PO </w:t>
      </w:r>
      <w:r w:rsidRPr="000D4BE4">
        <w:rPr>
          <w:szCs w:val="24"/>
          <w:lang w:eastAsia="ar-SA"/>
        </w:rPr>
        <w:t>Infrastruktura i Środowisko oraz Programu Rozwoju Obszarów Wiejskich (komplementarność międzyprogramowa).</w:t>
      </w:r>
    </w:p>
    <w:p w14:paraId="12964D27" w14:textId="77777777" w:rsidR="00EA03E6" w:rsidRPr="0094320D" w:rsidRDefault="00EA03E6" w:rsidP="0094320D">
      <w:pPr>
        <w:spacing w:after="0"/>
        <w:jc w:val="both"/>
        <w:rPr>
          <w:szCs w:val="24"/>
          <w:lang w:eastAsia="ar-SA"/>
        </w:rPr>
      </w:pPr>
    </w:p>
    <w:p w14:paraId="0332D964" w14:textId="754187CB" w:rsidR="003D2653" w:rsidRDefault="000D4BE4" w:rsidP="0094320D">
      <w:pPr>
        <w:tabs>
          <w:tab w:val="left" w:pos="1276"/>
        </w:tabs>
        <w:autoSpaceDE w:val="0"/>
        <w:autoSpaceDN w:val="0"/>
        <w:adjustRightInd w:val="0"/>
        <w:spacing w:after="120"/>
        <w:jc w:val="both"/>
        <w:rPr>
          <w:b/>
          <w:szCs w:val="24"/>
        </w:rPr>
      </w:pPr>
      <w:bookmarkStart w:id="545" w:name="_Toc386571860"/>
      <w:bookmarkStart w:id="546" w:name="_Toc386572285"/>
      <w:r w:rsidRPr="00F4486F">
        <w:rPr>
          <w:b/>
          <w:szCs w:val="24"/>
        </w:rPr>
        <w:lastRenderedPageBreak/>
        <w:t>Analiza postępu rzeczowego</w:t>
      </w:r>
      <w:r w:rsidRPr="0094320D">
        <w:rPr>
          <w:b/>
          <w:szCs w:val="24"/>
        </w:rPr>
        <w:t xml:space="preserve"> </w:t>
      </w:r>
    </w:p>
    <w:p w14:paraId="36C12DBD" w14:textId="0E045698" w:rsidR="00F4486F" w:rsidRPr="00D90934" w:rsidRDefault="00F4486F" w:rsidP="00F4486F">
      <w:pPr>
        <w:pStyle w:val="Nagwek2"/>
        <w:numPr>
          <w:ilvl w:val="0"/>
          <w:numId w:val="0"/>
        </w:numPr>
        <w:spacing w:before="0" w:beforeAutospacing="0" w:after="120" w:afterAutospacing="0" w:line="276" w:lineRule="auto"/>
        <w:jc w:val="both"/>
        <w:rPr>
          <w:b w:val="0"/>
          <w:sz w:val="24"/>
          <w:szCs w:val="24"/>
        </w:rPr>
      </w:pPr>
      <w:bookmarkStart w:id="547" w:name="_Toc473117345"/>
      <w:bookmarkStart w:id="548" w:name="_Toc477779785"/>
      <w:r w:rsidRPr="00D90934">
        <w:rPr>
          <w:b w:val="0"/>
          <w:sz w:val="24"/>
          <w:szCs w:val="24"/>
        </w:rPr>
        <w:t xml:space="preserve">W </w:t>
      </w:r>
      <w:r w:rsidRPr="00F4486F">
        <w:rPr>
          <w:b w:val="0"/>
          <w:sz w:val="24"/>
          <w:szCs w:val="24"/>
        </w:rPr>
        <w:t>załączniku nr IV</w:t>
      </w:r>
      <w:r w:rsidRPr="00D90934">
        <w:rPr>
          <w:b w:val="0"/>
          <w:sz w:val="24"/>
          <w:szCs w:val="24"/>
        </w:rPr>
        <w:t xml:space="preserve"> do niniejszego </w:t>
      </w:r>
      <w:r w:rsidRPr="00D90934">
        <w:rPr>
          <w:b w:val="0"/>
          <w:i/>
          <w:sz w:val="24"/>
          <w:szCs w:val="24"/>
        </w:rPr>
        <w:t>Sprawozdania</w:t>
      </w:r>
      <w:r w:rsidRPr="00D90934">
        <w:rPr>
          <w:b w:val="0"/>
          <w:sz w:val="24"/>
          <w:szCs w:val="24"/>
        </w:rPr>
        <w:t xml:space="preserve"> zostały przedstawione programowe wskaźniki produktu i rezultatu dla </w:t>
      </w:r>
      <w:r>
        <w:rPr>
          <w:b w:val="0"/>
          <w:sz w:val="24"/>
          <w:szCs w:val="24"/>
        </w:rPr>
        <w:t>P</w:t>
      </w:r>
      <w:r w:rsidRPr="00D90934">
        <w:rPr>
          <w:b w:val="0"/>
          <w:sz w:val="24"/>
          <w:szCs w:val="24"/>
        </w:rPr>
        <w:t xml:space="preserve">riorytetu </w:t>
      </w:r>
      <w:r>
        <w:rPr>
          <w:b w:val="0"/>
          <w:sz w:val="24"/>
          <w:szCs w:val="24"/>
        </w:rPr>
        <w:t>IX</w:t>
      </w:r>
      <w:r w:rsidRPr="00D90934">
        <w:rPr>
          <w:b w:val="0"/>
          <w:sz w:val="24"/>
          <w:szCs w:val="24"/>
        </w:rPr>
        <w:t>, dla kolejnych lat w ujęciu kumulatywnym. Przedstawione informacje prezento</w:t>
      </w:r>
      <w:r>
        <w:rPr>
          <w:b w:val="0"/>
          <w:sz w:val="24"/>
          <w:szCs w:val="24"/>
        </w:rPr>
        <w:t>wane według stanu na koniec 2016</w:t>
      </w:r>
      <w:r w:rsidRPr="00D90934">
        <w:rPr>
          <w:b w:val="0"/>
          <w:sz w:val="24"/>
          <w:szCs w:val="24"/>
        </w:rPr>
        <w:t xml:space="preserve"> roku</w:t>
      </w:r>
      <w:r>
        <w:rPr>
          <w:b w:val="0"/>
          <w:sz w:val="24"/>
          <w:szCs w:val="24"/>
        </w:rPr>
        <w:t xml:space="preserve"> i zostały</w:t>
      </w:r>
      <w:r w:rsidRPr="00D90934">
        <w:rPr>
          <w:b w:val="0"/>
          <w:sz w:val="24"/>
          <w:szCs w:val="24"/>
        </w:rPr>
        <w:t xml:space="preserve"> oparte </w:t>
      </w:r>
      <w:r>
        <w:rPr>
          <w:b w:val="0"/>
          <w:sz w:val="24"/>
          <w:szCs w:val="24"/>
        </w:rPr>
        <w:t xml:space="preserve">na </w:t>
      </w:r>
      <w:r w:rsidRPr="00D90934">
        <w:rPr>
          <w:b w:val="0"/>
          <w:sz w:val="24"/>
          <w:szCs w:val="24"/>
        </w:rPr>
        <w:t>danych dotyczących operacji zakończonych. Określone zostały wartości doce</w:t>
      </w:r>
      <w:r>
        <w:rPr>
          <w:b w:val="0"/>
          <w:sz w:val="24"/>
          <w:szCs w:val="24"/>
        </w:rPr>
        <w:t>lowe dla 2010, 2013 i 2015 roku.</w:t>
      </w:r>
      <w:r w:rsidRPr="00D90934">
        <w:rPr>
          <w:b w:val="0"/>
          <w:sz w:val="24"/>
          <w:szCs w:val="24"/>
        </w:rPr>
        <w:t xml:space="preserve"> Przedstawiono także wskaźniki przedmiotowego priorytetu w podziale na działania i poddziałania.</w:t>
      </w:r>
      <w:bookmarkEnd w:id="547"/>
      <w:bookmarkEnd w:id="548"/>
    </w:p>
    <w:p w14:paraId="2C0476E4" w14:textId="4AC367D0" w:rsidR="00F4486F" w:rsidRPr="00141245" w:rsidRDefault="00F4486F" w:rsidP="00F4486F">
      <w:pPr>
        <w:jc w:val="both"/>
        <w:rPr>
          <w:szCs w:val="24"/>
        </w:rPr>
      </w:pPr>
      <w:r w:rsidRPr="006D71C7">
        <w:t xml:space="preserve">W </w:t>
      </w:r>
      <w:r>
        <w:t>p</w:t>
      </w:r>
      <w:r w:rsidRPr="006D71C7">
        <w:t xml:space="preserve">riorytecie IX </w:t>
      </w:r>
      <w:r>
        <w:t xml:space="preserve">swojej wartości docelowej nie osiągnął </w:t>
      </w:r>
      <w:r>
        <w:rPr>
          <w:szCs w:val="24"/>
        </w:rPr>
        <w:t xml:space="preserve">wskaźnik </w:t>
      </w:r>
      <w:r w:rsidRPr="00F4486F">
        <w:rPr>
          <w:i/>
        </w:rPr>
        <w:t>Liczba projektów z zakresu ochrony zdrowia</w:t>
      </w:r>
      <w:r>
        <w:t>,</w:t>
      </w:r>
      <w:r w:rsidRPr="00795B4C">
        <w:t xml:space="preserve"> </w:t>
      </w:r>
      <w:r>
        <w:t xml:space="preserve">co wiązać należy </w:t>
      </w:r>
      <w:r w:rsidRPr="00795B4C">
        <w:t xml:space="preserve">ze </w:t>
      </w:r>
      <w:r>
        <w:t xml:space="preserve">zbyt dużą </w:t>
      </w:r>
      <w:r w:rsidRPr="00795B4C">
        <w:rPr>
          <w:szCs w:val="24"/>
        </w:rPr>
        <w:t xml:space="preserve">średnią wartością dofinansowanych w ramach </w:t>
      </w:r>
      <w:r>
        <w:rPr>
          <w:szCs w:val="24"/>
        </w:rPr>
        <w:t>działania 9.1 i 9.2</w:t>
      </w:r>
      <w:r w:rsidRPr="00795B4C">
        <w:rPr>
          <w:szCs w:val="24"/>
        </w:rPr>
        <w:t xml:space="preserve"> projektów, która </w:t>
      </w:r>
      <w:r>
        <w:rPr>
          <w:szCs w:val="24"/>
        </w:rPr>
        <w:t>była wyższa niż</w:t>
      </w:r>
      <w:r w:rsidRPr="00795B4C">
        <w:rPr>
          <w:szCs w:val="24"/>
        </w:rPr>
        <w:t xml:space="preserve"> </w:t>
      </w:r>
      <w:r w:rsidR="00005EF5">
        <w:rPr>
          <w:szCs w:val="24"/>
        </w:rPr>
        <w:t>założono to w</w:t>
      </w:r>
      <w:r w:rsidR="00005EF5" w:rsidRPr="00795B4C">
        <w:rPr>
          <w:szCs w:val="24"/>
        </w:rPr>
        <w:t xml:space="preserve"> </w:t>
      </w:r>
      <w:r w:rsidRPr="00795B4C">
        <w:rPr>
          <w:szCs w:val="24"/>
        </w:rPr>
        <w:t>wartoś</w:t>
      </w:r>
      <w:r w:rsidR="00005EF5">
        <w:rPr>
          <w:szCs w:val="24"/>
        </w:rPr>
        <w:t>ci</w:t>
      </w:r>
      <w:r>
        <w:rPr>
          <w:szCs w:val="24"/>
        </w:rPr>
        <w:t xml:space="preserve"> docelow</w:t>
      </w:r>
      <w:r w:rsidR="00005EF5">
        <w:rPr>
          <w:szCs w:val="24"/>
        </w:rPr>
        <w:t>ej</w:t>
      </w:r>
      <w:r>
        <w:rPr>
          <w:szCs w:val="24"/>
        </w:rPr>
        <w:t xml:space="preserve"> </w:t>
      </w:r>
      <w:r w:rsidR="00005EF5">
        <w:rPr>
          <w:szCs w:val="24"/>
        </w:rPr>
        <w:t>wskaźnika dla 2015 r.</w:t>
      </w:r>
      <w:r>
        <w:rPr>
          <w:szCs w:val="24"/>
        </w:rPr>
        <w:t xml:space="preserve"> To skutecznie uniemożliwiło zrealizowanie wymaganej liczby projektów zdrowotnych w RPO WSL, co spowodowało, że nie udało się również osiągnąć wartości docelowej</w:t>
      </w:r>
      <w:r w:rsidRPr="00795B4C">
        <w:t xml:space="preserve"> wskaźników produktu </w:t>
      </w:r>
      <w:r w:rsidRPr="00F4486F">
        <w:rPr>
          <w:i/>
        </w:rPr>
        <w:t xml:space="preserve">Liczba projektów z zakresu ochrony zdrowia, w tym dotyczących wyłącznie zakupu aparatury i sprzętu medycznego, Liczba projektów dot. infrastruktury społeczeństwa informacyjnego oraz </w:t>
      </w:r>
      <w:r w:rsidRPr="00F4486F">
        <w:rPr>
          <w:i/>
          <w:iCs/>
          <w:szCs w:val="24"/>
        </w:rPr>
        <w:t>Liczba ośrodków zdrowia, w których przeprowadzono prace remontowe/ modernizacyjne lub zakupiono/ zmodernizowano sprzęt medyczny</w:t>
      </w:r>
      <w:r>
        <w:rPr>
          <w:iCs/>
          <w:szCs w:val="24"/>
        </w:rPr>
        <w:t>.</w:t>
      </w:r>
      <w:r w:rsidRPr="00795B4C">
        <w:t xml:space="preserve"> </w:t>
      </w:r>
      <w:r>
        <w:t>Ten ostatni wskaźnik</w:t>
      </w:r>
      <w:r w:rsidRPr="00795B4C">
        <w:rPr>
          <w:szCs w:val="24"/>
        </w:rPr>
        <w:t xml:space="preserve"> został </w:t>
      </w:r>
      <w:r>
        <w:rPr>
          <w:szCs w:val="24"/>
        </w:rPr>
        <w:t xml:space="preserve">jednak </w:t>
      </w:r>
      <w:r w:rsidRPr="00795B4C">
        <w:rPr>
          <w:szCs w:val="24"/>
        </w:rPr>
        <w:t>zrealizowany w największym</w:t>
      </w:r>
      <w:r w:rsidR="00005EF5" w:rsidRPr="00005EF5">
        <w:rPr>
          <w:szCs w:val="24"/>
        </w:rPr>
        <w:t xml:space="preserve"> </w:t>
      </w:r>
      <w:r w:rsidR="00005EF5">
        <w:rPr>
          <w:szCs w:val="24"/>
        </w:rPr>
        <w:t>spośród wszystkich produktów</w:t>
      </w:r>
      <w:r>
        <w:rPr>
          <w:szCs w:val="24"/>
        </w:rPr>
        <w:t xml:space="preserve"> stopniu</w:t>
      </w:r>
      <w:r w:rsidRPr="00795B4C">
        <w:rPr>
          <w:szCs w:val="24"/>
        </w:rPr>
        <w:t xml:space="preserve"> wynoszącym 7</w:t>
      </w:r>
      <w:r>
        <w:rPr>
          <w:szCs w:val="24"/>
        </w:rPr>
        <w:t>1</w:t>
      </w:r>
      <w:r w:rsidRPr="00795B4C">
        <w:rPr>
          <w:szCs w:val="24"/>
        </w:rPr>
        <w:t>,</w:t>
      </w:r>
      <w:r>
        <w:rPr>
          <w:szCs w:val="24"/>
        </w:rPr>
        <w:t>76</w:t>
      </w:r>
      <w:r w:rsidRPr="00795B4C">
        <w:rPr>
          <w:szCs w:val="24"/>
        </w:rPr>
        <w:t>% wartości docelowej dla 2015 roku.</w:t>
      </w:r>
    </w:p>
    <w:p w14:paraId="4251CA64" w14:textId="70CA2DEC" w:rsidR="00F4486F" w:rsidRPr="00B4289F" w:rsidRDefault="00F4486F" w:rsidP="00F4486F">
      <w:pPr>
        <w:jc w:val="both"/>
      </w:pPr>
      <w:r>
        <w:t xml:space="preserve">Wśród wskaźników rezultatu jeden wskaźnik tj. </w:t>
      </w:r>
      <w:r w:rsidRPr="00F4486F">
        <w:rPr>
          <w:i/>
        </w:rPr>
        <w:t xml:space="preserve">Liczba osób korzystających z infrastruktury sportowej objętej wsparciem </w:t>
      </w:r>
      <w:r>
        <w:t>znacznie przekroczył zaplanowaną wartość docelową i związany był z działaniem</w:t>
      </w:r>
      <w:r w:rsidRPr="005B01B7">
        <w:t xml:space="preserve"> 9.3</w:t>
      </w:r>
      <w:r w:rsidRPr="006D71C7">
        <w:t>, któr</w:t>
      </w:r>
      <w:r>
        <w:t>y realizowany był przez każdy z 67 projektów działania 9.3.</w:t>
      </w:r>
      <w:r w:rsidRPr="006D71C7">
        <w:t xml:space="preserve"> </w:t>
      </w:r>
      <w:r>
        <w:t xml:space="preserve">W efekcie wsparcia z RPO WSL </w:t>
      </w:r>
      <w:r w:rsidRPr="006D71C7">
        <w:t>realizacja</w:t>
      </w:r>
      <w:r>
        <w:t xml:space="preserve"> wskaźnika</w:t>
      </w:r>
      <w:r w:rsidRPr="006D71C7">
        <w:t xml:space="preserve"> </w:t>
      </w:r>
      <w:r>
        <w:t>prawie</w:t>
      </w:r>
      <w:r w:rsidRPr="006D71C7">
        <w:t xml:space="preserve"> </w:t>
      </w:r>
      <w:r>
        <w:t>czterokrotnie</w:t>
      </w:r>
      <w:r w:rsidRPr="006D71C7">
        <w:t xml:space="preserve"> przekroczyła wartość docelową </w:t>
      </w:r>
      <w:r>
        <w:t>dla 2015 roku, a liczba 1,599 mln osób, które skorzystały ze wspartych obiektów oznacza, że p</w:t>
      </w:r>
      <w:r w:rsidRPr="00301334">
        <w:t>rzy założeniu, że czę</w:t>
      </w:r>
      <w:r w:rsidRPr="005E2843">
        <w:t>ść tych osób może się pokrywać</w:t>
      </w:r>
      <w:r>
        <w:t>,</w:t>
      </w:r>
      <w:r w:rsidRPr="00301334">
        <w:t xml:space="preserve"> z obiektów skorzystała mniej więcej 1/3 mieszkańców</w:t>
      </w:r>
      <w:r>
        <w:t xml:space="preserve"> województwa śląskiego, co obrazuje wpływ jaki w tej dziedzinie miały inwestycje sfinansowane z Programu.</w:t>
      </w:r>
      <w:r w:rsidRPr="006D71C7">
        <w:t xml:space="preserve"> </w:t>
      </w:r>
    </w:p>
    <w:p w14:paraId="43514C4B" w14:textId="77777777" w:rsidR="00F4486F" w:rsidRPr="00271A6D" w:rsidRDefault="00F4486F" w:rsidP="00F4486F">
      <w:pPr>
        <w:jc w:val="both"/>
      </w:pPr>
      <w:r>
        <w:t>Poniżej na wykresie zaprezentowano podział wskaźników ze względu na procent realizacji wartości docelowej.</w:t>
      </w:r>
    </w:p>
    <w:p w14:paraId="4537BF3E" w14:textId="77777777" w:rsidR="00F4486F" w:rsidRDefault="00F4486F" w:rsidP="00F4486F">
      <w:pPr>
        <w:jc w:val="both"/>
      </w:pPr>
      <w:r>
        <w:rPr>
          <w:noProof/>
        </w:rPr>
        <w:drawing>
          <wp:inline distT="0" distB="0" distL="0" distR="0" wp14:anchorId="1D19C024" wp14:editId="37E8048D">
            <wp:extent cx="5610225" cy="2552700"/>
            <wp:effectExtent l="0" t="0" r="0" b="0"/>
            <wp:docPr id="145" name="Wykres 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06B095C1" w14:textId="0C3927A8" w:rsidR="00F4486F" w:rsidRDefault="004D7598" w:rsidP="004D7598">
      <w:pPr>
        <w:pStyle w:val="Legenda"/>
        <w:rPr>
          <w:b w:val="0"/>
          <w:i/>
          <w:color w:val="auto"/>
          <w:sz w:val="20"/>
          <w:szCs w:val="20"/>
        </w:rPr>
      </w:pPr>
      <w:bookmarkStart w:id="549" w:name="_Toc386571487"/>
      <w:bookmarkStart w:id="550" w:name="_Toc476832979"/>
      <w:r w:rsidRPr="003A31E7">
        <w:rPr>
          <w:color w:val="auto"/>
        </w:rPr>
        <w:lastRenderedPageBreak/>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61</w:t>
      </w:r>
      <w:r w:rsidR="00A44293" w:rsidRPr="003A31E7">
        <w:rPr>
          <w:noProof/>
          <w:color w:val="auto"/>
        </w:rPr>
        <w:fldChar w:fldCharType="end"/>
      </w:r>
      <w:r w:rsidRPr="003A31E7">
        <w:rPr>
          <w:color w:val="auto"/>
        </w:rPr>
        <w:t xml:space="preserve"> </w:t>
      </w:r>
      <w:r w:rsidR="005D38A0">
        <w:rPr>
          <w:b w:val="0"/>
          <w:i/>
          <w:color w:val="auto"/>
          <w:sz w:val="20"/>
          <w:szCs w:val="20"/>
        </w:rPr>
        <w:t xml:space="preserve">Osiągnięty poziom wartości docelowej </w:t>
      </w:r>
      <w:r w:rsidR="00F4486F" w:rsidRPr="009076A7">
        <w:rPr>
          <w:b w:val="0"/>
          <w:i/>
          <w:color w:val="auto"/>
          <w:sz w:val="20"/>
          <w:szCs w:val="20"/>
        </w:rPr>
        <w:t>wskaźników w ramach priorytetu I</w:t>
      </w:r>
      <w:r w:rsidR="00F4486F">
        <w:rPr>
          <w:b w:val="0"/>
          <w:i/>
          <w:color w:val="auto"/>
          <w:sz w:val="20"/>
          <w:szCs w:val="20"/>
        </w:rPr>
        <w:t>X</w:t>
      </w:r>
      <w:bookmarkEnd w:id="549"/>
      <w:bookmarkEnd w:id="550"/>
    </w:p>
    <w:p w14:paraId="73E33D54" w14:textId="77777777" w:rsidR="005D38A0" w:rsidRPr="00B4289F" w:rsidRDefault="005D38A0" w:rsidP="005D38A0">
      <w:pPr>
        <w:jc w:val="both"/>
      </w:pPr>
      <w:r w:rsidRPr="00B4289F">
        <w:t xml:space="preserve">Postęp wskaźnika </w:t>
      </w:r>
      <w:r w:rsidRPr="00F4486F">
        <w:rPr>
          <w:rFonts w:eastAsia="Arial" w:cs="Arial"/>
          <w:i/>
        </w:rPr>
        <w:t>Liczba ośrodków zdrowia</w:t>
      </w:r>
      <w:r w:rsidRPr="00B4289F">
        <w:rPr>
          <w:rFonts w:eastAsia="Arial" w:cs="Arial"/>
        </w:rPr>
        <w:t xml:space="preserve"> </w:t>
      </w:r>
      <w:r w:rsidRPr="00F4486F">
        <w:rPr>
          <w:rFonts w:eastAsia="Arial" w:cs="Arial"/>
          <w:i/>
        </w:rPr>
        <w:t>których przeprowadzono prace remontowe/ modernizacyjne lub zakupiono/ zmodernizowano sprzęt medycznym</w:t>
      </w:r>
      <w:r w:rsidRPr="00B4289F">
        <w:rPr>
          <w:rFonts w:eastAsia="Arial" w:cs="Arial"/>
        </w:rPr>
        <w:t xml:space="preserve"> </w:t>
      </w:r>
      <w:r w:rsidRPr="00B4289F">
        <w:t>stanowi odpowiedź na wskazaną w analizie SWOT słabą stronę „niedoinwestowanie i zły stan infrastruktury zdrowotnej”. W chwili obecnej poziom realizacji wskaźnika kształtuje się na poziomie 120 sztuk.</w:t>
      </w:r>
    </w:p>
    <w:p w14:paraId="3F6DB3A0" w14:textId="52528B25" w:rsidR="00F4486F" w:rsidRDefault="00F4486F" w:rsidP="00F4486F">
      <w:pPr>
        <w:jc w:val="both"/>
      </w:pPr>
      <w:r>
        <w:t xml:space="preserve">Korelację pomiędzy wskaźnikami w ramach </w:t>
      </w:r>
      <w:r w:rsidR="005D38A0">
        <w:t>priorytetu IX</w:t>
      </w:r>
      <w:r>
        <w:t xml:space="preserve"> a Strategią UE 2020 (inicjatywami flagowymi) przedstawiono poniżej.</w:t>
      </w:r>
    </w:p>
    <w:p w14:paraId="6E90E8E6" w14:textId="30BBB24C" w:rsidR="00F4486F" w:rsidRPr="00D61E5A" w:rsidRDefault="004D7598" w:rsidP="004D7598">
      <w:pPr>
        <w:pStyle w:val="Legenda"/>
        <w:rPr>
          <w:b w:val="0"/>
          <w:i/>
          <w:color w:val="auto"/>
        </w:rPr>
      </w:pPr>
      <w:bookmarkStart w:id="551" w:name="_Toc476131822"/>
      <w:r w:rsidRPr="003A31E7">
        <w:rPr>
          <w:color w:val="auto"/>
        </w:rPr>
        <w:t xml:space="preserve">Tabela </w:t>
      </w:r>
      <w:r w:rsidR="00A44293" w:rsidRPr="003A31E7">
        <w:rPr>
          <w:color w:val="auto"/>
        </w:rPr>
        <w:fldChar w:fldCharType="begin"/>
      </w:r>
      <w:r w:rsidR="00A44293" w:rsidRPr="003A31E7">
        <w:rPr>
          <w:color w:val="auto"/>
        </w:rPr>
        <w:instrText xml:space="preserve"> SEQ Tabela \* ARABIC </w:instrText>
      </w:r>
      <w:r w:rsidR="00A44293" w:rsidRPr="003A31E7">
        <w:rPr>
          <w:color w:val="auto"/>
        </w:rPr>
        <w:fldChar w:fldCharType="separate"/>
      </w:r>
      <w:r w:rsidR="0050297D">
        <w:rPr>
          <w:noProof/>
          <w:color w:val="auto"/>
        </w:rPr>
        <w:t>39</w:t>
      </w:r>
      <w:r w:rsidR="00A44293" w:rsidRPr="003A31E7">
        <w:rPr>
          <w:noProof/>
          <w:color w:val="auto"/>
        </w:rPr>
        <w:fldChar w:fldCharType="end"/>
      </w:r>
      <w:r w:rsidRPr="003A31E7">
        <w:rPr>
          <w:color w:val="auto"/>
        </w:rPr>
        <w:t xml:space="preserve"> </w:t>
      </w:r>
      <w:r w:rsidR="00D61E5A" w:rsidRPr="00D61E5A">
        <w:rPr>
          <w:b w:val="0"/>
          <w:i/>
          <w:color w:val="auto"/>
        </w:rPr>
        <w:t xml:space="preserve">Korelację pomiędzy wskaźnikami w ramach </w:t>
      </w:r>
      <w:r w:rsidR="005D38A0">
        <w:rPr>
          <w:b w:val="0"/>
          <w:i/>
          <w:color w:val="auto"/>
        </w:rPr>
        <w:t>priorytetu IX</w:t>
      </w:r>
      <w:r w:rsidR="00D61E5A" w:rsidRPr="00D61E5A">
        <w:rPr>
          <w:b w:val="0"/>
          <w:i/>
          <w:color w:val="auto"/>
        </w:rPr>
        <w:t xml:space="preserve"> a Strategią UE 2020</w:t>
      </w:r>
      <w:bookmarkEnd w:id="551"/>
    </w:p>
    <w:tbl>
      <w:tblPr>
        <w:tblStyle w:val="Tabelalisty3akcent6"/>
        <w:tblW w:w="0" w:type="auto"/>
        <w:tblLook w:val="04A0" w:firstRow="1" w:lastRow="0" w:firstColumn="1" w:lastColumn="0" w:noHBand="0" w:noVBand="1"/>
      </w:tblPr>
      <w:tblGrid>
        <w:gridCol w:w="4530"/>
        <w:gridCol w:w="4530"/>
      </w:tblGrid>
      <w:tr w:rsidR="00F4486F" w:rsidRPr="00F4486F" w14:paraId="20DECEDF" w14:textId="77777777" w:rsidTr="00BB152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0" w:type="dxa"/>
            <w:vAlign w:val="center"/>
          </w:tcPr>
          <w:p w14:paraId="5A6B4B05" w14:textId="2F2FF153" w:rsidR="00F4486F" w:rsidRPr="00D61E5A" w:rsidRDefault="00BB152A" w:rsidP="00BB152A">
            <w:pPr>
              <w:jc w:val="center"/>
              <w:rPr>
                <w:color w:val="auto"/>
                <w:sz w:val="20"/>
                <w:szCs w:val="20"/>
              </w:rPr>
            </w:pPr>
            <w:r w:rsidRPr="00D61E5A">
              <w:rPr>
                <w:color w:val="auto"/>
                <w:sz w:val="20"/>
                <w:szCs w:val="20"/>
              </w:rPr>
              <w:t>INICJATYWA FLAGOWA</w:t>
            </w:r>
          </w:p>
        </w:tc>
        <w:tc>
          <w:tcPr>
            <w:tcW w:w="4530" w:type="dxa"/>
            <w:vAlign w:val="center"/>
          </w:tcPr>
          <w:p w14:paraId="6129EFBB" w14:textId="70E70CB0" w:rsidR="00F4486F" w:rsidRPr="00D61E5A" w:rsidRDefault="00BB152A" w:rsidP="00BB152A">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D61E5A">
              <w:rPr>
                <w:color w:val="auto"/>
                <w:sz w:val="20"/>
                <w:szCs w:val="20"/>
              </w:rPr>
              <w:t>WSKAŹNIK</w:t>
            </w:r>
          </w:p>
        </w:tc>
      </w:tr>
      <w:tr w:rsidR="00F4486F" w:rsidRPr="00F4486F" w14:paraId="6C2CE581" w14:textId="77777777" w:rsidTr="00BB1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3C923467" w14:textId="77777777" w:rsidR="00650483" w:rsidRPr="00BB152A" w:rsidRDefault="00650483" w:rsidP="00BB152A">
            <w:pPr>
              <w:spacing w:after="0" w:line="240" w:lineRule="auto"/>
              <w:contextualSpacing/>
              <w:rPr>
                <w:rFonts w:eastAsia="+mn-ea"/>
                <w:b w:val="0"/>
                <w:sz w:val="20"/>
                <w:szCs w:val="20"/>
              </w:rPr>
            </w:pPr>
          </w:p>
          <w:p w14:paraId="61485952" w14:textId="77777777" w:rsidR="00F4486F" w:rsidRPr="00BB152A" w:rsidRDefault="00F4486F" w:rsidP="00BB152A">
            <w:pPr>
              <w:spacing w:after="0" w:line="240" w:lineRule="auto"/>
              <w:contextualSpacing/>
              <w:rPr>
                <w:b w:val="0"/>
                <w:sz w:val="20"/>
                <w:szCs w:val="20"/>
              </w:rPr>
            </w:pPr>
            <w:r w:rsidRPr="00BB152A">
              <w:rPr>
                <w:rFonts w:eastAsia="+mn-ea"/>
                <w:b w:val="0"/>
                <w:sz w:val="20"/>
                <w:szCs w:val="20"/>
              </w:rPr>
              <w:t>Europejska Agenda Cyfrowa</w:t>
            </w:r>
          </w:p>
          <w:p w14:paraId="1EB3171B" w14:textId="77777777" w:rsidR="00F4486F" w:rsidRPr="00BB152A" w:rsidRDefault="00F4486F" w:rsidP="00BB152A">
            <w:pPr>
              <w:rPr>
                <w:b w:val="0"/>
                <w:sz w:val="20"/>
                <w:szCs w:val="20"/>
              </w:rPr>
            </w:pPr>
          </w:p>
        </w:tc>
        <w:tc>
          <w:tcPr>
            <w:tcW w:w="4530" w:type="dxa"/>
            <w:vAlign w:val="center"/>
          </w:tcPr>
          <w:p w14:paraId="578A3555" w14:textId="5255B1C8" w:rsidR="00F4486F" w:rsidRPr="00BB152A" w:rsidRDefault="00F4486F" w:rsidP="00BB152A">
            <w:p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rPr>
            </w:pPr>
            <w:r w:rsidRPr="00BB152A">
              <w:rPr>
                <w:rFonts w:eastAsia="+mn-ea"/>
                <w:iCs/>
                <w:sz w:val="20"/>
                <w:szCs w:val="20"/>
              </w:rPr>
              <w:t>Liczba projektów dot. infrastruktury społeczeństwa informacyjnego</w:t>
            </w:r>
          </w:p>
        </w:tc>
      </w:tr>
      <w:tr w:rsidR="00F4486F" w:rsidRPr="00F4486F" w14:paraId="471C973F" w14:textId="77777777" w:rsidTr="00BB152A">
        <w:trPr>
          <w:trHeight w:val="3364"/>
        </w:trPr>
        <w:tc>
          <w:tcPr>
            <w:cnfStyle w:val="001000000000" w:firstRow="0" w:lastRow="0" w:firstColumn="1" w:lastColumn="0" w:oddVBand="0" w:evenVBand="0" w:oddHBand="0" w:evenHBand="0" w:firstRowFirstColumn="0" w:firstRowLastColumn="0" w:lastRowFirstColumn="0" w:lastRowLastColumn="0"/>
            <w:tcW w:w="4530" w:type="dxa"/>
            <w:vAlign w:val="center"/>
          </w:tcPr>
          <w:p w14:paraId="6FC7D08D" w14:textId="77777777" w:rsidR="00F4486F" w:rsidRPr="00BB152A" w:rsidRDefault="00F4486F" w:rsidP="00BB152A">
            <w:pPr>
              <w:spacing w:after="0" w:line="240" w:lineRule="auto"/>
              <w:contextualSpacing/>
              <w:rPr>
                <w:rFonts w:eastAsia="+mn-ea"/>
                <w:b w:val="0"/>
                <w:sz w:val="20"/>
                <w:szCs w:val="20"/>
              </w:rPr>
            </w:pPr>
          </w:p>
          <w:p w14:paraId="5124F43F" w14:textId="77777777" w:rsidR="00F4486F" w:rsidRPr="00BB152A" w:rsidRDefault="00F4486F" w:rsidP="00BB152A">
            <w:pPr>
              <w:spacing w:after="0" w:line="240" w:lineRule="auto"/>
              <w:contextualSpacing/>
              <w:rPr>
                <w:b w:val="0"/>
                <w:sz w:val="20"/>
                <w:szCs w:val="20"/>
              </w:rPr>
            </w:pPr>
            <w:r w:rsidRPr="00BB152A">
              <w:rPr>
                <w:rFonts w:eastAsia="+mn-ea"/>
                <w:b w:val="0"/>
                <w:sz w:val="20"/>
                <w:szCs w:val="20"/>
              </w:rPr>
              <w:t>Europejski program walki z ubóstwem</w:t>
            </w:r>
          </w:p>
          <w:p w14:paraId="116D67B9" w14:textId="77777777" w:rsidR="00F4486F" w:rsidRPr="00BB152A" w:rsidRDefault="00F4486F" w:rsidP="00BB152A">
            <w:pPr>
              <w:rPr>
                <w:b w:val="0"/>
                <w:sz w:val="20"/>
                <w:szCs w:val="20"/>
              </w:rPr>
            </w:pPr>
          </w:p>
        </w:tc>
        <w:tc>
          <w:tcPr>
            <w:tcW w:w="4530" w:type="dxa"/>
            <w:vAlign w:val="center"/>
          </w:tcPr>
          <w:p w14:paraId="0EB4FE45" w14:textId="77777777" w:rsidR="00F4486F" w:rsidRPr="00BB152A" w:rsidRDefault="00F4486F" w:rsidP="00BB152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BB152A">
              <w:rPr>
                <w:rFonts w:eastAsia="+mn-ea"/>
                <w:iCs/>
                <w:sz w:val="20"/>
                <w:szCs w:val="20"/>
              </w:rPr>
              <w:t>Liczba projektów z zakresu ochrony zdrowia,</w:t>
            </w:r>
          </w:p>
          <w:p w14:paraId="508B4561" w14:textId="77777777" w:rsidR="00F4486F" w:rsidRPr="00BB152A" w:rsidRDefault="00F4486F" w:rsidP="00BB152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BB152A">
              <w:rPr>
                <w:rFonts w:eastAsia="+mn-ea"/>
                <w:iCs/>
                <w:sz w:val="20"/>
                <w:szCs w:val="20"/>
              </w:rPr>
              <w:t>Liczba ośrodków zdrowia, w których przeprowadzono prace remontowe/ modernizacyjne lub zakupiono/ zmodernizowano sprzęt medyczny</w:t>
            </w:r>
          </w:p>
          <w:p w14:paraId="09F16971" w14:textId="77777777" w:rsidR="00F4486F" w:rsidRPr="00BB152A" w:rsidRDefault="00F4486F" w:rsidP="00BB152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BB152A">
              <w:rPr>
                <w:rFonts w:eastAsia="+mn-ea"/>
                <w:iCs/>
                <w:sz w:val="20"/>
                <w:szCs w:val="20"/>
              </w:rPr>
              <w:t>Liczba porad udzielonych z wykorzystaniem infrastruktury ochrony zdrowia objętej wsparciem w ramach programu</w:t>
            </w:r>
          </w:p>
          <w:p w14:paraId="0D66C74E" w14:textId="77777777" w:rsidR="00F4486F" w:rsidRPr="00BB152A" w:rsidRDefault="00F4486F" w:rsidP="00BB152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BB152A">
              <w:rPr>
                <w:rFonts w:eastAsia="+mn-ea"/>
                <w:iCs/>
                <w:sz w:val="20"/>
                <w:szCs w:val="20"/>
              </w:rPr>
              <w:t>Potencjalna liczba badań specjalistycznych przeprowadzonych z wykorzystaniem infrastruktury ochrony zdrowia objętej wsparciem w ramach programu</w:t>
            </w:r>
          </w:p>
          <w:p w14:paraId="2D30E060" w14:textId="0F9CC246" w:rsidR="00F4486F" w:rsidRPr="00BB152A" w:rsidRDefault="00F4486F" w:rsidP="00BB152A">
            <w:pPr>
              <w:spacing w:after="0" w:line="240" w:lineRule="auto"/>
              <w:contextualSpacing/>
              <w:cnfStyle w:val="000000000000" w:firstRow="0" w:lastRow="0" w:firstColumn="0" w:lastColumn="0" w:oddVBand="0" w:evenVBand="0" w:oddHBand="0" w:evenHBand="0" w:firstRowFirstColumn="0" w:firstRowLastColumn="0" w:lastRowFirstColumn="0" w:lastRowLastColumn="0"/>
              <w:rPr>
                <w:sz w:val="20"/>
                <w:szCs w:val="20"/>
              </w:rPr>
            </w:pPr>
            <w:r w:rsidRPr="00BB152A">
              <w:rPr>
                <w:rFonts w:eastAsia="+mn-ea"/>
                <w:bCs/>
                <w:iCs/>
                <w:sz w:val="20"/>
                <w:szCs w:val="20"/>
              </w:rPr>
              <w:t>Liczba osób korzystających z infrastruktury sportowej objętej wsparciem</w:t>
            </w:r>
          </w:p>
        </w:tc>
      </w:tr>
    </w:tbl>
    <w:p w14:paraId="358ABD74" w14:textId="77777777" w:rsidR="00F4486F" w:rsidRDefault="00F4486F" w:rsidP="00F4486F">
      <w:pPr>
        <w:jc w:val="both"/>
      </w:pPr>
    </w:p>
    <w:p w14:paraId="6ADEC222" w14:textId="77777777" w:rsidR="00BB152A" w:rsidRPr="00BB152A" w:rsidRDefault="00F4486F" w:rsidP="00BB152A">
      <w:pPr>
        <w:spacing w:before="120" w:after="120"/>
        <w:jc w:val="both"/>
      </w:pPr>
      <w:r w:rsidRPr="00BB152A">
        <w:t xml:space="preserve">W ramach priorytetu realizowane były dwa wskaźniki Komisji Europejskiej tzw. core Indicators): </w:t>
      </w:r>
    </w:p>
    <w:p w14:paraId="387CD057" w14:textId="77777777" w:rsidR="00BB152A" w:rsidRPr="00BB152A" w:rsidRDefault="00F4486F" w:rsidP="00BB152A">
      <w:pPr>
        <w:pStyle w:val="Akapitzlist"/>
        <w:numPr>
          <w:ilvl w:val="0"/>
          <w:numId w:val="112"/>
        </w:numPr>
        <w:spacing w:before="120" w:after="120"/>
        <w:jc w:val="both"/>
      </w:pPr>
      <w:r w:rsidRPr="00BB152A">
        <w:rPr>
          <w:rFonts w:eastAsia="Arial" w:cs="Arial"/>
        </w:rPr>
        <w:t>Liczba projektów z zakresu ochrony zdrowia,</w:t>
      </w:r>
      <w:r w:rsidRPr="00BB152A">
        <w:t xml:space="preserve"> </w:t>
      </w:r>
    </w:p>
    <w:p w14:paraId="67AAC378" w14:textId="2751625D" w:rsidR="00F4486F" w:rsidRPr="00BB152A" w:rsidRDefault="00F4486F" w:rsidP="00BB152A">
      <w:pPr>
        <w:pStyle w:val="Akapitzlist"/>
        <w:numPr>
          <w:ilvl w:val="0"/>
          <w:numId w:val="112"/>
        </w:numPr>
        <w:spacing w:before="120" w:after="120"/>
        <w:jc w:val="both"/>
      </w:pPr>
      <w:r w:rsidRPr="00BB152A">
        <w:rPr>
          <w:rFonts w:eastAsia="Arial" w:cs="Arial"/>
        </w:rPr>
        <w:t>Liczba projektów dot. infrastruktury społeczeństwa informacyjnego.</w:t>
      </w:r>
    </w:p>
    <w:p w14:paraId="50CA7E22" w14:textId="61FC3C7E" w:rsidR="00BB5B49" w:rsidRDefault="000D4BE4" w:rsidP="0094320D">
      <w:pPr>
        <w:spacing w:after="120"/>
        <w:jc w:val="both"/>
        <w:rPr>
          <w:rFonts w:eastAsia="Calibri"/>
          <w:b/>
          <w:bCs/>
          <w:szCs w:val="24"/>
          <w:lang w:eastAsia="en-US"/>
        </w:rPr>
      </w:pPr>
      <w:r w:rsidRPr="0094320D">
        <w:rPr>
          <w:rFonts w:eastAsia="Calibri"/>
          <w:b/>
          <w:bCs/>
          <w:szCs w:val="24"/>
          <w:lang w:eastAsia="en-US"/>
        </w:rPr>
        <w:t>Realizacja ewentua</w:t>
      </w:r>
      <w:r>
        <w:rPr>
          <w:rFonts w:eastAsia="Calibri"/>
          <w:b/>
          <w:bCs/>
          <w:szCs w:val="24"/>
          <w:lang w:eastAsia="en-US"/>
        </w:rPr>
        <w:t>lnych zaleceń i rekomendacji KE</w:t>
      </w:r>
    </w:p>
    <w:p w14:paraId="5B300253" w14:textId="77777777" w:rsidR="00DB4A38" w:rsidRDefault="00DB4A38" w:rsidP="00DB4A38">
      <w:pPr>
        <w:spacing w:before="120" w:after="120"/>
        <w:jc w:val="both"/>
        <w:rPr>
          <w:lang w:eastAsia="ar-SA"/>
        </w:rPr>
      </w:pPr>
      <w:r w:rsidRPr="00BA2CDA">
        <w:rPr>
          <w:lang w:eastAsia="ar-SA"/>
        </w:rPr>
        <w:t xml:space="preserve">IZ RPO WSL </w:t>
      </w:r>
      <w:r>
        <w:rPr>
          <w:lang w:eastAsia="ar-SA"/>
        </w:rPr>
        <w:t>otrzymywała zalecenia/rekomendacje ze strony KE w ramach przedmiotowego priorytetu w zakresie doprecyzowania lub uzupełnienia</w:t>
      </w:r>
      <w:r w:rsidRPr="003A7E82">
        <w:rPr>
          <w:lang w:eastAsia="ar-SA"/>
        </w:rPr>
        <w:t xml:space="preserve"> </w:t>
      </w:r>
      <w:r>
        <w:rPr>
          <w:lang w:eastAsia="ar-SA"/>
        </w:rPr>
        <w:t>w kolejnych sprawozdaniach</w:t>
      </w:r>
      <w:r w:rsidRPr="009C6E3A">
        <w:rPr>
          <w:lang w:eastAsia="ar-SA"/>
        </w:rPr>
        <w:t xml:space="preserve"> </w:t>
      </w:r>
      <w:r>
        <w:rPr>
          <w:lang w:eastAsia="ar-SA"/>
        </w:rPr>
        <w:t>przedstawianych informacji dot. wdrażania priorytetu.</w:t>
      </w:r>
    </w:p>
    <w:p w14:paraId="3788CFFC" w14:textId="632513DC" w:rsidR="00194369" w:rsidRDefault="00194369" w:rsidP="00E45AD5">
      <w:pPr>
        <w:spacing w:after="120"/>
        <w:jc w:val="both"/>
        <w:rPr>
          <w:b/>
          <w:lang w:eastAsia="ar-SA"/>
        </w:rPr>
      </w:pPr>
      <w:r w:rsidRPr="00194369">
        <w:rPr>
          <w:b/>
          <w:lang w:eastAsia="ar-SA"/>
        </w:rPr>
        <w:t>Opis wkładu priorytetu w redukcję ubóstwa</w:t>
      </w:r>
    </w:p>
    <w:p w14:paraId="39C4918F" w14:textId="23ACA346" w:rsidR="00194369" w:rsidRDefault="00194369" w:rsidP="00B3038A">
      <w:pPr>
        <w:autoSpaceDE w:val="0"/>
        <w:autoSpaceDN w:val="0"/>
        <w:adjustRightInd w:val="0"/>
        <w:spacing w:after="0"/>
        <w:jc w:val="both"/>
        <w:rPr>
          <w:rFonts w:eastAsia="Calibri"/>
          <w:szCs w:val="24"/>
        </w:rPr>
      </w:pPr>
      <w:r>
        <w:rPr>
          <w:rFonts w:eastAsia="Calibri"/>
          <w:szCs w:val="24"/>
        </w:rPr>
        <w:t xml:space="preserve">W ramach priorytetu </w:t>
      </w:r>
      <w:r w:rsidR="00DC3BE3">
        <w:rPr>
          <w:rFonts w:eastAsia="Calibri"/>
          <w:szCs w:val="24"/>
        </w:rPr>
        <w:t>na</w:t>
      </w:r>
      <w:r>
        <w:rPr>
          <w:rFonts w:eastAsia="Calibri"/>
          <w:szCs w:val="24"/>
        </w:rPr>
        <w:t xml:space="preserve"> redukcję u</w:t>
      </w:r>
      <w:r w:rsidR="001F761A">
        <w:rPr>
          <w:rFonts w:eastAsia="Calibri"/>
          <w:szCs w:val="24"/>
        </w:rPr>
        <w:t>bóstwa zostało przeznaczonych 53,55</w:t>
      </w:r>
      <w:r>
        <w:rPr>
          <w:rFonts w:eastAsia="Calibri"/>
          <w:szCs w:val="24"/>
        </w:rPr>
        <w:t xml:space="preserve"> mln EUR</w:t>
      </w:r>
      <w:r w:rsidR="00DC3BE3">
        <w:rPr>
          <w:rFonts w:eastAsia="Calibri"/>
          <w:szCs w:val="24"/>
        </w:rPr>
        <w:t xml:space="preserve"> (w ramach kategorii interwencji 76 i 79)</w:t>
      </w:r>
      <w:r>
        <w:rPr>
          <w:rFonts w:eastAsia="Calibri"/>
          <w:szCs w:val="24"/>
        </w:rPr>
        <w:t>.</w:t>
      </w:r>
    </w:p>
    <w:p w14:paraId="37BEC5C3" w14:textId="1BE97EF2" w:rsidR="001F761A" w:rsidRDefault="00355475" w:rsidP="00367271">
      <w:pPr>
        <w:spacing w:before="120" w:after="0"/>
        <w:jc w:val="both"/>
        <w:rPr>
          <w:rFonts w:eastAsia="Calibri"/>
          <w:szCs w:val="24"/>
        </w:rPr>
      </w:pPr>
      <w:r>
        <w:rPr>
          <w:rFonts w:eastAsia="Calibri"/>
          <w:szCs w:val="24"/>
        </w:rPr>
        <w:t xml:space="preserve">Ubóstwo dotyka wiele wymiarów życia społecznego, często jednym z nich jest zdrowie. </w:t>
      </w:r>
      <w:r w:rsidR="00194369" w:rsidRPr="00194369">
        <w:rPr>
          <w:rFonts w:eastAsia="Calibri"/>
          <w:szCs w:val="24"/>
        </w:rPr>
        <w:t xml:space="preserve">Dostępność do usług zdrowotnych </w:t>
      </w:r>
      <w:r>
        <w:rPr>
          <w:rFonts w:eastAsia="Calibri"/>
          <w:szCs w:val="24"/>
        </w:rPr>
        <w:t xml:space="preserve">pozwala obniżyć skutki </w:t>
      </w:r>
      <w:r w:rsidR="00194369" w:rsidRPr="00194369">
        <w:rPr>
          <w:rFonts w:eastAsia="Calibri"/>
          <w:szCs w:val="24"/>
        </w:rPr>
        <w:t>pozostawania w ubóstwie, lub ogranicza ubóstwo w przyszłości.</w:t>
      </w:r>
      <w:r>
        <w:rPr>
          <w:rFonts w:eastAsia="Calibri"/>
          <w:szCs w:val="24"/>
        </w:rPr>
        <w:t xml:space="preserve"> Szczególnie istotne jest to w regionie</w:t>
      </w:r>
      <w:r w:rsidR="001F761A">
        <w:rPr>
          <w:rFonts w:eastAsia="Calibri"/>
          <w:szCs w:val="24"/>
        </w:rPr>
        <w:t xml:space="preserve"> śląskim</w:t>
      </w:r>
      <w:r>
        <w:rPr>
          <w:rFonts w:eastAsia="Calibri"/>
          <w:szCs w:val="24"/>
        </w:rPr>
        <w:t>, gdyż k</w:t>
      </w:r>
      <w:r w:rsidR="00194369">
        <w:rPr>
          <w:rFonts w:eastAsia="Calibri"/>
          <w:szCs w:val="24"/>
        </w:rPr>
        <w:t xml:space="preserve">ondycja </w:t>
      </w:r>
      <w:r w:rsidR="00194369">
        <w:rPr>
          <w:rFonts w:eastAsia="Calibri"/>
          <w:szCs w:val="24"/>
        </w:rPr>
        <w:lastRenderedPageBreak/>
        <w:t xml:space="preserve">zdrowotna mieszkańców województwa jest znacznie gorsza niż </w:t>
      </w:r>
      <w:r w:rsidR="00DC3BE3">
        <w:rPr>
          <w:rFonts w:eastAsia="Calibri"/>
          <w:szCs w:val="24"/>
        </w:rPr>
        <w:t xml:space="preserve">pozostałych </w:t>
      </w:r>
      <w:r w:rsidR="00194369">
        <w:rPr>
          <w:rFonts w:eastAsia="Calibri"/>
          <w:szCs w:val="24"/>
        </w:rPr>
        <w:t>mieszkańców kraju.</w:t>
      </w:r>
      <w:r>
        <w:rPr>
          <w:rFonts w:eastAsia="Calibri"/>
          <w:szCs w:val="24"/>
        </w:rPr>
        <w:t xml:space="preserve"> W</w:t>
      </w:r>
      <w:r w:rsidR="001F761A">
        <w:rPr>
          <w:rFonts w:eastAsia="Calibri"/>
          <w:szCs w:val="24"/>
        </w:rPr>
        <w:t> </w:t>
      </w:r>
      <w:r>
        <w:rPr>
          <w:rFonts w:eastAsia="Calibri"/>
          <w:szCs w:val="24"/>
        </w:rPr>
        <w:t>związku z powyższym</w:t>
      </w:r>
      <w:r w:rsidR="00850645">
        <w:rPr>
          <w:rFonts w:eastAsia="Calibri"/>
          <w:szCs w:val="24"/>
        </w:rPr>
        <w:t>,</w:t>
      </w:r>
      <w:r>
        <w:rPr>
          <w:rFonts w:eastAsia="Calibri"/>
          <w:szCs w:val="24"/>
        </w:rPr>
        <w:t xml:space="preserve"> </w:t>
      </w:r>
      <w:r w:rsidR="00850645">
        <w:rPr>
          <w:rFonts w:eastAsia="Calibri"/>
          <w:szCs w:val="24"/>
        </w:rPr>
        <w:t>głównym celem przedmiotowego priorytetu</w:t>
      </w:r>
      <w:r>
        <w:rPr>
          <w:rFonts w:eastAsia="Calibri"/>
          <w:szCs w:val="24"/>
        </w:rPr>
        <w:t xml:space="preserve"> </w:t>
      </w:r>
      <w:r w:rsidR="00850645">
        <w:rPr>
          <w:rFonts w:eastAsia="Calibri"/>
          <w:szCs w:val="24"/>
        </w:rPr>
        <w:t>była poprawa stanu zdrowia mieszkańców poprzez wzrost dostępności do usług medycznych oraz poprawę ich, jakości.</w:t>
      </w:r>
      <w:r w:rsidR="00CE70B6">
        <w:rPr>
          <w:rFonts w:eastAsia="Calibri"/>
          <w:szCs w:val="24"/>
        </w:rPr>
        <w:t xml:space="preserve"> </w:t>
      </w:r>
    </w:p>
    <w:p w14:paraId="24C725DB" w14:textId="24C45D9F" w:rsidR="007D7032" w:rsidRPr="00367271" w:rsidRDefault="007D7032" w:rsidP="00367271">
      <w:pPr>
        <w:spacing w:before="120" w:after="0"/>
        <w:jc w:val="both"/>
        <w:rPr>
          <w:rFonts w:eastAsia="Calibri"/>
          <w:szCs w:val="24"/>
        </w:rPr>
      </w:pPr>
      <w:r>
        <w:rPr>
          <w:rFonts w:eastAsia="Calibri"/>
          <w:szCs w:val="24"/>
        </w:rPr>
        <w:t xml:space="preserve">Pomimo </w:t>
      </w:r>
      <w:r w:rsidR="00733393">
        <w:rPr>
          <w:rFonts w:eastAsia="Calibri"/>
          <w:szCs w:val="24"/>
        </w:rPr>
        <w:t>bardzo wysokiej efektywności projektów realizowanych z RPO WSL</w:t>
      </w:r>
      <w:r w:rsidR="00F81ED7">
        <w:rPr>
          <w:rFonts w:eastAsia="Calibri"/>
          <w:szCs w:val="24"/>
        </w:rPr>
        <w:t>,</w:t>
      </w:r>
      <w:r w:rsidR="00733393">
        <w:rPr>
          <w:rFonts w:eastAsia="Calibri"/>
          <w:szCs w:val="24"/>
        </w:rPr>
        <w:t xml:space="preserve"> </w:t>
      </w:r>
      <w:r>
        <w:rPr>
          <w:rFonts w:eastAsia="Calibri"/>
          <w:szCs w:val="24"/>
        </w:rPr>
        <w:t>s</w:t>
      </w:r>
      <w:r w:rsidRPr="00367271">
        <w:rPr>
          <w:rFonts w:eastAsia="Calibri"/>
          <w:szCs w:val="24"/>
        </w:rPr>
        <w:t xml:space="preserve">tan </w:t>
      </w:r>
      <w:r w:rsidRPr="00B3038A">
        <w:rPr>
          <w:rFonts w:eastAsia="Calibri"/>
          <w:szCs w:val="24"/>
        </w:rPr>
        <w:t>zdrowia mieszkańców nie poprawi się z dnia na dzień</w:t>
      </w:r>
      <w:r w:rsidRPr="00367271">
        <w:rPr>
          <w:rFonts w:eastAsia="Calibri"/>
          <w:szCs w:val="24"/>
        </w:rPr>
        <w:t xml:space="preserve"> </w:t>
      </w:r>
      <w:r>
        <w:rPr>
          <w:rFonts w:eastAsia="Calibri"/>
          <w:szCs w:val="24"/>
        </w:rPr>
        <w:t>nawet przy dostępie</w:t>
      </w:r>
      <w:r w:rsidRPr="00367271">
        <w:rPr>
          <w:rFonts w:eastAsia="Calibri"/>
          <w:szCs w:val="24"/>
        </w:rPr>
        <w:t xml:space="preserve"> </w:t>
      </w:r>
      <w:r>
        <w:rPr>
          <w:rFonts w:eastAsia="Calibri"/>
          <w:szCs w:val="24"/>
        </w:rPr>
        <w:t>do</w:t>
      </w:r>
      <w:r w:rsidR="00F81ED7">
        <w:rPr>
          <w:rFonts w:eastAsia="Calibri"/>
          <w:szCs w:val="24"/>
        </w:rPr>
        <w:t xml:space="preserve"> </w:t>
      </w:r>
      <w:r w:rsidR="00733393">
        <w:rPr>
          <w:rFonts w:eastAsia="Calibri"/>
          <w:szCs w:val="24"/>
        </w:rPr>
        <w:t>ogólnie</w:t>
      </w:r>
      <w:r>
        <w:rPr>
          <w:rFonts w:eastAsia="Calibri"/>
          <w:szCs w:val="24"/>
        </w:rPr>
        <w:t xml:space="preserve"> </w:t>
      </w:r>
      <w:r w:rsidRPr="00367271">
        <w:rPr>
          <w:rFonts w:eastAsia="Calibri"/>
          <w:szCs w:val="24"/>
        </w:rPr>
        <w:t>dobrego stanu</w:t>
      </w:r>
      <w:r w:rsidR="00733393" w:rsidRPr="00B3038A">
        <w:rPr>
          <w:rFonts w:eastAsia="Calibri"/>
          <w:szCs w:val="24"/>
        </w:rPr>
        <w:t xml:space="preserve"> infrastruktury ochrony zdrowia. </w:t>
      </w:r>
      <w:r w:rsidRPr="00367271">
        <w:rPr>
          <w:rFonts w:eastAsia="Calibri"/>
          <w:szCs w:val="24"/>
        </w:rPr>
        <w:t xml:space="preserve">Konieczne </w:t>
      </w:r>
      <w:r w:rsidR="00733393" w:rsidRPr="00B3038A">
        <w:rPr>
          <w:rFonts w:eastAsia="Calibri"/>
          <w:szCs w:val="24"/>
        </w:rPr>
        <w:t>jest, zatem</w:t>
      </w:r>
      <w:r w:rsidRPr="00367271">
        <w:rPr>
          <w:rFonts w:eastAsia="Calibri"/>
          <w:szCs w:val="24"/>
        </w:rPr>
        <w:t xml:space="preserve"> dalsze wspieranie działań w tym zakresie, które nie tylko umożliwiają leczenie pacjentów, ale także przeciwdziałają pojawianiu się chorób.</w:t>
      </w:r>
    </w:p>
    <w:p w14:paraId="02F57203" w14:textId="332BC122" w:rsidR="00EC6F8A" w:rsidRPr="007D7032" w:rsidRDefault="007D7032" w:rsidP="00367271">
      <w:pPr>
        <w:spacing w:before="120" w:after="120"/>
        <w:jc w:val="both"/>
        <w:rPr>
          <w:rFonts w:eastAsia="Calibri"/>
          <w:szCs w:val="24"/>
        </w:rPr>
      </w:pPr>
      <w:r>
        <w:rPr>
          <w:rFonts w:eastAsia="Calibri"/>
          <w:szCs w:val="24"/>
        </w:rPr>
        <w:t xml:space="preserve">W ramach priorytetu </w:t>
      </w:r>
      <w:r w:rsidR="003649EC" w:rsidRPr="007D7032">
        <w:rPr>
          <w:rFonts w:eastAsia="Calibri"/>
          <w:szCs w:val="24"/>
        </w:rPr>
        <w:t>zrealizowano 112 projektów z zakresu ochrony zdrowia,</w:t>
      </w:r>
      <w:r>
        <w:rPr>
          <w:rFonts w:eastAsia="Calibri"/>
          <w:szCs w:val="24"/>
        </w:rPr>
        <w:t xml:space="preserve"> 122 ośrodki zdrowia zostały wyremontowane lub doposażone</w:t>
      </w:r>
      <w:r w:rsidR="003649EC" w:rsidRPr="007D7032">
        <w:rPr>
          <w:rFonts w:eastAsia="Calibri"/>
          <w:szCs w:val="24"/>
        </w:rPr>
        <w:t xml:space="preserve"> w sprzęt medyczny,</w:t>
      </w:r>
      <w:r>
        <w:rPr>
          <w:rFonts w:eastAsia="Calibri"/>
          <w:szCs w:val="24"/>
        </w:rPr>
        <w:t xml:space="preserve"> </w:t>
      </w:r>
      <w:r w:rsidR="003649EC" w:rsidRPr="007D7032">
        <w:rPr>
          <w:rFonts w:eastAsia="Calibri"/>
          <w:szCs w:val="24"/>
        </w:rPr>
        <w:t xml:space="preserve">udzielono </w:t>
      </w:r>
      <w:r w:rsidRPr="007D7032">
        <w:rPr>
          <w:rFonts w:eastAsia="Calibri"/>
          <w:szCs w:val="24"/>
        </w:rPr>
        <w:t>ponad 2,25 mln</w:t>
      </w:r>
      <w:r w:rsidR="003649EC" w:rsidRPr="007D7032">
        <w:rPr>
          <w:rFonts w:eastAsia="Calibri"/>
          <w:szCs w:val="24"/>
        </w:rPr>
        <w:t xml:space="preserve"> porad z wykorzystaniem infrastruktury ochrony zdrowia </w:t>
      </w:r>
      <w:r w:rsidRPr="007D7032">
        <w:rPr>
          <w:rFonts w:eastAsia="Calibri"/>
          <w:szCs w:val="24"/>
        </w:rPr>
        <w:t>objętym wsparciem</w:t>
      </w:r>
      <w:r w:rsidR="003649EC" w:rsidRPr="007D7032">
        <w:rPr>
          <w:rFonts w:eastAsia="Calibri"/>
          <w:szCs w:val="24"/>
        </w:rPr>
        <w:t xml:space="preserve"> w ramach programu.</w:t>
      </w:r>
    </w:p>
    <w:p w14:paraId="4B2DC37F" w14:textId="7D295301" w:rsidR="00EA03E6" w:rsidRDefault="000D4BE4" w:rsidP="00367271">
      <w:pPr>
        <w:spacing w:before="120" w:after="120" w:line="288" w:lineRule="auto"/>
        <w:jc w:val="both"/>
        <w:rPr>
          <w:b/>
          <w:szCs w:val="24"/>
        </w:rPr>
      </w:pPr>
      <w:bookmarkStart w:id="552" w:name="_Toc419180301"/>
      <w:bookmarkStart w:id="553" w:name="_Toc423351819"/>
      <w:bookmarkStart w:id="554" w:name="_Toc473117346"/>
      <w:r w:rsidRPr="0094320D">
        <w:rPr>
          <w:b/>
          <w:szCs w:val="24"/>
        </w:rPr>
        <w:t>Podsumowanie</w:t>
      </w:r>
      <w:bookmarkEnd w:id="545"/>
      <w:bookmarkEnd w:id="546"/>
      <w:bookmarkEnd w:id="552"/>
      <w:bookmarkEnd w:id="553"/>
      <w:bookmarkEnd w:id="554"/>
    </w:p>
    <w:p w14:paraId="572FC55F" w14:textId="5DA923C0" w:rsidR="00BE0E8F" w:rsidRPr="00BE0E8F" w:rsidRDefault="00BE0E8F" w:rsidP="00BE0E8F">
      <w:pPr>
        <w:jc w:val="both"/>
        <w:rPr>
          <w:szCs w:val="24"/>
        </w:rPr>
      </w:pPr>
      <w:r w:rsidRPr="00BE0E8F">
        <w:rPr>
          <w:szCs w:val="24"/>
        </w:rPr>
        <w:t xml:space="preserve">Jednym z priorytetów rozwoju województwa śląskiego </w:t>
      </w:r>
      <w:r>
        <w:rPr>
          <w:szCs w:val="24"/>
        </w:rPr>
        <w:t>są</w:t>
      </w:r>
      <w:r w:rsidRPr="00BE0E8F">
        <w:rPr>
          <w:szCs w:val="24"/>
        </w:rPr>
        <w:t xml:space="preserve"> działania dotyczące sfery zdrowia. Specyfika województwa m.in.: silna degradacja środowiska, a w efekcie: wyższy od średniej krajowej wskaźnik urodzeń przedwczesnych i wad wrodzonych, wyższa częstotliwość zapadania na choroby nowotworowe, schorzenia przewlekłe i zaburzenia psychiczne, warunki środowiskowe, a także wielkomiejska aglomeracja powoduj</w:t>
      </w:r>
      <w:r w:rsidR="00E45AD5">
        <w:rPr>
          <w:szCs w:val="24"/>
        </w:rPr>
        <w:t>ą, że mieszkańcy województwa są </w:t>
      </w:r>
      <w:r w:rsidRPr="00BE0E8F">
        <w:rPr>
          <w:szCs w:val="24"/>
        </w:rPr>
        <w:t>bardziej narażeni na skrócony okres życia w pełnym zdr</w:t>
      </w:r>
      <w:r w:rsidR="00E45AD5">
        <w:rPr>
          <w:szCs w:val="24"/>
        </w:rPr>
        <w:t>owiu i zwiększoną w stosunku do </w:t>
      </w:r>
      <w:r w:rsidRPr="00BE0E8F">
        <w:rPr>
          <w:szCs w:val="24"/>
        </w:rPr>
        <w:t xml:space="preserve">innych </w:t>
      </w:r>
      <w:r w:rsidR="00DC3BE3">
        <w:rPr>
          <w:szCs w:val="24"/>
        </w:rPr>
        <w:t>regionów kraju zachorowalnością. W</w:t>
      </w:r>
      <w:r w:rsidRPr="00BE0E8F">
        <w:rPr>
          <w:szCs w:val="24"/>
        </w:rPr>
        <w:t xml:space="preserve"> województwie śląskim notuje się także najtrudniejsze warunki pracy, co piąta osoba pracuje w warunkach zagrożenia życia. </w:t>
      </w:r>
    </w:p>
    <w:p w14:paraId="5EB3C206" w14:textId="2B95A5FC" w:rsidR="00BE0E8F" w:rsidRPr="00BE0E8F" w:rsidRDefault="00BE0E8F" w:rsidP="00BE0E8F">
      <w:pPr>
        <w:spacing w:after="120"/>
        <w:jc w:val="both"/>
        <w:outlineLvl w:val="1"/>
        <w:rPr>
          <w:szCs w:val="24"/>
        </w:rPr>
      </w:pPr>
      <w:bookmarkStart w:id="555" w:name="_Toc386571861"/>
      <w:bookmarkStart w:id="556" w:name="_Toc386572286"/>
      <w:bookmarkStart w:id="557" w:name="_Toc419180302"/>
      <w:bookmarkStart w:id="558" w:name="_Toc423351820"/>
      <w:bookmarkStart w:id="559" w:name="_Toc473117347"/>
      <w:bookmarkStart w:id="560" w:name="_Toc477779786"/>
      <w:r w:rsidRPr="00BE0E8F">
        <w:rPr>
          <w:szCs w:val="24"/>
        </w:rPr>
        <w:t>Jedną z dziedzin wyróżniającą województwo śląskie nie tylko na tle kraju, ale również na arenie międzynarodowej</w:t>
      </w:r>
      <w:r w:rsidR="00DC3BE3">
        <w:rPr>
          <w:szCs w:val="24"/>
        </w:rPr>
        <w:t>,</w:t>
      </w:r>
      <w:r w:rsidRPr="00BE0E8F">
        <w:rPr>
          <w:szCs w:val="24"/>
        </w:rPr>
        <w:t xml:space="preserve"> jest właśnie medycyna. Opiekę zdrowotną w regionie tworzy sieć różnorodnych placówek ogólnych i specjalistycznych. Specjalistyczne szpitale znajdujące się na terenie województwa śląskiego zajmują czołowe miejsca </w:t>
      </w:r>
      <w:r w:rsidR="004C61C1">
        <w:rPr>
          <w:szCs w:val="24"/>
        </w:rPr>
        <w:t>w ogólnopolskich rankingach. Na </w:t>
      </w:r>
      <w:r w:rsidRPr="00BE0E8F">
        <w:rPr>
          <w:szCs w:val="24"/>
        </w:rPr>
        <w:t>szczególną uwagę zasługuje Śląskie Centrum Chorób Serca w Zabrzu – jeden</w:t>
      </w:r>
      <w:r w:rsidR="004C61C1">
        <w:rPr>
          <w:szCs w:val="24"/>
        </w:rPr>
        <w:t xml:space="preserve"> z </w:t>
      </w:r>
      <w:r w:rsidRPr="00BE0E8F">
        <w:rPr>
          <w:szCs w:val="24"/>
        </w:rPr>
        <w:t>najważniejszych w Polsce ośrodków transplantacji serca. Kardiochirurgia to także specjalność I Kliniki w Katowicach Ochojcu, która jest jedną z najlepszych na świecie pod względem operacji małoinwazyjnych i stosowania nowoczesnych technologii. Oprócz kardiochirurgii, do specjalności medycznych, w których województwo śląskie się wyróżnia, należy onkologia. Centrum Onkologii – Instytut im. Marii Skłodowskiej-Curie w Gliwicach jest obecnie najnowocześniejszym szpitalem w kraju. Z kolei Klinika Hematologii i Transplantacji Szpiku w Katowicach to liczący się w Europie ośrodek przeszczepiania szpiku. Jako jedyny w kraju katowicki ośrodek posiada akredytację przy Amerykańskim Banku Dawców Szpiku. Natomiast Centrum Leczenia Oparzeń w Siemianowicach Śląskich jest wiodącym w Polsce ośrodkiem, leczącym urazy oparzeniowe i ich następstwa.</w:t>
      </w:r>
      <w:bookmarkEnd w:id="555"/>
      <w:bookmarkEnd w:id="556"/>
      <w:bookmarkEnd w:id="557"/>
      <w:bookmarkEnd w:id="558"/>
      <w:bookmarkEnd w:id="559"/>
      <w:bookmarkEnd w:id="560"/>
    </w:p>
    <w:p w14:paraId="31274B54" w14:textId="275FB8B2" w:rsidR="00BE0E8F" w:rsidRPr="00BE0E8F" w:rsidRDefault="00BE0E8F" w:rsidP="00BE0E8F">
      <w:pPr>
        <w:spacing w:before="120" w:after="0" w:line="288" w:lineRule="auto"/>
        <w:jc w:val="both"/>
        <w:rPr>
          <w:rFonts w:eastAsia="Calibri"/>
          <w:szCs w:val="24"/>
        </w:rPr>
      </w:pPr>
      <w:r w:rsidRPr="00BE0E8F">
        <w:rPr>
          <w:rFonts w:eastAsia="Calibri"/>
          <w:szCs w:val="24"/>
        </w:rPr>
        <w:t>Projekty dotyczące ochrony zdrowia przede wszystkim pozwol</w:t>
      </w:r>
      <w:r w:rsidR="004C61C1">
        <w:rPr>
          <w:rFonts w:eastAsia="Calibri"/>
          <w:szCs w:val="24"/>
        </w:rPr>
        <w:t>iły na doposażenie instytucji w </w:t>
      </w:r>
      <w:r w:rsidRPr="00BE0E8F">
        <w:rPr>
          <w:rFonts w:eastAsia="Calibri"/>
          <w:szCs w:val="24"/>
        </w:rPr>
        <w:t xml:space="preserve">sprzęt, jednak ze względu na ograniczone środki zakładów lecznictwa zamkniętego (kontrakty z NFZ) były one wydajniej wykorzystywane w zakładach lecznictwa otwartego. </w:t>
      </w:r>
      <w:r w:rsidRPr="00BE0E8F">
        <w:rPr>
          <w:rFonts w:eastAsia="Calibri"/>
          <w:szCs w:val="24"/>
        </w:rPr>
        <w:lastRenderedPageBreak/>
        <w:t xml:space="preserve">Podjęte działania stanowiły </w:t>
      </w:r>
      <w:r w:rsidR="004C61C1">
        <w:rPr>
          <w:rFonts w:eastAsia="Calibri"/>
          <w:szCs w:val="24"/>
        </w:rPr>
        <w:t>jednak wsparcie</w:t>
      </w:r>
      <w:r w:rsidRPr="00BE0E8F">
        <w:rPr>
          <w:rFonts w:eastAsia="Calibri"/>
          <w:szCs w:val="24"/>
        </w:rPr>
        <w:t xml:space="preserve"> </w:t>
      </w:r>
      <w:r w:rsidR="004C61C1">
        <w:rPr>
          <w:rFonts w:eastAsia="Calibri"/>
          <w:szCs w:val="24"/>
        </w:rPr>
        <w:t>w niewystarczającym stopniu w stosunku do </w:t>
      </w:r>
      <w:r w:rsidRPr="00BE0E8F">
        <w:rPr>
          <w:rFonts w:eastAsia="Calibri"/>
          <w:szCs w:val="24"/>
        </w:rPr>
        <w:t>potrzeb.</w:t>
      </w:r>
    </w:p>
    <w:p w14:paraId="4B81A59D" w14:textId="4D30883E" w:rsidR="00BE0E8F" w:rsidRPr="00BE0E8F" w:rsidRDefault="00BE0E8F" w:rsidP="00BE0E8F">
      <w:pPr>
        <w:autoSpaceDE w:val="0"/>
        <w:autoSpaceDN w:val="0"/>
        <w:adjustRightInd w:val="0"/>
        <w:spacing w:after="0"/>
        <w:jc w:val="both"/>
        <w:rPr>
          <w:rFonts w:eastAsia="Calibri"/>
          <w:szCs w:val="24"/>
        </w:rPr>
      </w:pPr>
      <w:r w:rsidRPr="00BE0E8F">
        <w:rPr>
          <w:rFonts w:eastAsia="Calibri"/>
          <w:szCs w:val="24"/>
        </w:rPr>
        <w:t xml:space="preserve">Analizy badań jakościowych i ilościowych wskazują jednoznacznie, iż realizacja projektów przyniosła korzyści w postaci </w:t>
      </w:r>
      <w:r w:rsidR="00DC3BE3">
        <w:rPr>
          <w:rFonts w:eastAsia="Calibri"/>
          <w:szCs w:val="24"/>
        </w:rPr>
        <w:t>poprawy</w:t>
      </w:r>
      <w:r w:rsidR="004C61C1" w:rsidRPr="00BE0E8F">
        <w:rPr>
          <w:rFonts w:eastAsia="Calibri"/>
          <w:szCs w:val="24"/>
        </w:rPr>
        <w:t xml:space="preserve"> jakości</w:t>
      </w:r>
      <w:r w:rsidRPr="00BE0E8F">
        <w:rPr>
          <w:rFonts w:eastAsia="Calibri"/>
          <w:szCs w:val="24"/>
        </w:rPr>
        <w:t xml:space="preserve"> usług medycznych. Na ten cel można spojrzeć z trzech punktów widzenia: pacjenta, personelu medycznego oraz samej placówki (osób zarządzających) uwzględniając również dwa typy interwencji – inwestycje w budynki oraz wyposażenie w sprzęt medyczny.</w:t>
      </w:r>
    </w:p>
    <w:p w14:paraId="47BB588B" w14:textId="58D54815" w:rsidR="00BE0E8F" w:rsidRPr="00BE0E8F" w:rsidRDefault="00BE0E8F" w:rsidP="00BE0E8F">
      <w:pPr>
        <w:jc w:val="both"/>
        <w:rPr>
          <w:rFonts w:eastAsia="Calibri"/>
          <w:szCs w:val="24"/>
        </w:rPr>
      </w:pPr>
      <w:r w:rsidRPr="00BE0E8F">
        <w:rPr>
          <w:rFonts w:eastAsia="Calibri"/>
          <w:szCs w:val="24"/>
        </w:rPr>
        <w:t>Do pozytywnych efektów realizowanych projektów należały t</w:t>
      </w:r>
      <w:r w:rsidR="004C61C1">
        <w:rPr>
          <w:rFonts w:eastAsia="Calibri"/>
          <w:szCs w:val="24"/>
        </w:rPr>
        <w:t xml:space="preserve">akże </w:t>
      </w:r>
      <w:r w:rsidR="004C61C1">
        <w:rPr>
          <w:rFonts w:eastAsia="Tahoma"/>
          <w:szCs w:val="24"/>
        </w:rPr>
        <w:t>działania związane z </w:t>
      </w:r>
      <w:r w:rsidRPr="00BE0E8F">
        <w:rPr>
          <w:rFonts w:eastAsia="Tahoma"/>
          <w:szCs w:val="24"/>
        </w:rPr>
        <w:t>ochroną zdrowia, korzyści dla społeczności lokaln</w:t>
      </w:r>
      <w:r w:rsidR="004C61C1">
        <w:rPr>
          <w:rFonts w:eastAsia="Tahoma"/>
          <w:szCs w:val="24"/>
        </w:rPr>
        <w:t>ej, np. możliwość korzystania z </w:t>
      </w:r>
      <w:r w:rsidRPr="00BE0E8F">
        <w:rPr>
          <w:rFonts w:eastAsia="Tahoma"/>
          <w:szCs w:val="24"/>
        </w:rPr>
        <w:t xml:space="preserve">rozszerzonej bazy zabiegowej sanatorium </w:t>
      </w:r>
      <w:r w:rsidR="004C61C1" w:rsidRPr="00BE0E8F">
        <w:rPr>
          <w:rFonts w:eastAsia="Tahoma"/>
          <w:szCs w:val="24"/>
        </w:rPr>
        <w:t xml:space="preserve">oraz </w:t>
      </w:r>
      <w:r w:rsidR="004C61C1" w:rsidRPr="00BE0E8F">
        <w:rPr>
          <w:rFonts w:eastAsia="Calibri"/>
          <w:szCs w:val="24"/>
        </w:rPr>
        <w:t>zwiększenie</w:t>
      </w:r>
      <w:r w:rsidRPr="00BE0E8F">
        <w:rPr>
          <w:rFonts w:eastAsia="Tahoma"/>
          <w:szCs w:val="24"/>
        </w:rPr>
        <w:t xml:space="preserve"> rozpoznawalności wczesnych etapów jaskry i chorób siatkówki. </w:t>
      </w:r>
    </w:p>
    <w:p w14:paraId="7940A489" w14:textId="0E6E1F11" w:rsidR="00BE0E8F" w:rsidRPr="00BE0E8F" w:rsidRDefault="00BE0E8F" w:rsidP="00BE0E8F">
      <w:pPr>
        <w:jc w:val="both"/>
        <w:rPr>
          <w:rFonts w:eastAsia="Calibri"/>
          <w:szCs w:val="24"/>
        </w:rPr>
      </w:pPr>
      <w:r w:rsidRPr="00BE0E8F">
        <w:rPr>
          <w:szCs w:val="24"/>
        </w:rPr>
        <w:t>Priorytet IX dotyczył również kwestii związanych z rozwojem infrastruktury sportowej</w:t>
      </w:r>
      <w:r w:rsidRPr="00BE0E8F">
        <w:rPr>
          <w:rFonts w:eastAsia="Calibri"/>
          <w:szCs w:val="24"/>
        </w:rPr>
        <w:t xml:space="preserve">. Projekty dotyczące tych działań w dużej mierze wzmocniły dostępność do różnych form aktywności fizycznej i powiększyły już silny potencjał, tym </w:t>
      </w:r>
      <w:r w:rsidR="004C61C1" w:rsidRPr="00BE0E8F">
        <w:rPr>
          <w:rFonts w:eastAsia="Calibri"/>
          <w:szCs w:val="24"/>
        </w:rPr>
        <w:t>samym, jako</w:t>
      </w:r>
      <w:r w:rsidRPr="00BE0E8F">
        <w:rPr>
          <w:rFonts w:eastAsia="Calibri"/>
          <w:szCs w:val="24"/>
        </w:rPr>
        <w:t xml:space="preserve"> uzupełnienie innych środków (Ministerstwa Sportu i Turystyki, samorządów) pomogły w zaspokojeniu większości potrzeb w tym zakresie.</w:t>
      </w:r>
      <w:r w:rsidRPr="00BE0E8F">
        <w:rPr>
          <w:rFonts w:eastAsia="Tahoma"/>
          <w:szCs w:val="24"/>
        </w:rPr>
        <w:t xml:space="preserve"> Dla działań związanych ze sportem do pozytywnych efektów realizacji projektów należy zaliczyć powstanie nowych klubów, sekcji i stowarzyszeń sportowych oraz korzyść dla istniejących już klubów sportowych – miejsce treningów. </w:t>
      </w:r>
    </w:p>
    <w:p w14:paraId="3FF50605" w14:textId="77777777" w:rsidR="00BE0E8F" w:rsidRPr="00BE0E8F" w:rsidRDefault="00BE0E8F" w:rsidP="00BE0E8F">
      <w:pPr>
        <w:jc w:val="both"/>
        <w:rPr>
          <w:rFonts w:eastAsia="Calibri"/>
          <w:szCs w:val="24"/>
        </w:rPr>
      </w:pPr>
      <w:r w:rsidRPr="00BE0E8F">
        <w:rPr>
          <w:rFonts w:eastAsia="Calibri"/>
          <w:szCs w:val="24"/>
        </w:rPr>
        <w:t xml:space="preserve">Przy realizacji projektów związanych z infrastrukturą sportową pojawiły się pozytywne efekty nieplanowane. Opinie beneficjentów działania 9.3 świadczą o tym, że realizacja projektów pozytywnie wpłynęła na aktywność fizyczną mieszkańców województwa. 100% badanych beneficjentów uważa, że w związku z realizacją projektu bardziej popularne stało się uprawianie sportu/aktywności sportowej (w tym 61% odpowiedzi „zdecydowanie tak”), zaś 88,9% twierdzi, że bardziej popularne stało się spędzanie czasu na wolnym powietrzu. </w:t>
      </w:r>
    </w:p>
    <w:p w14:paraId="35F4B72C" w14:textId="628ECA4A" w:rsidR="00BE0E8F" w:rsidRPr="00BE0E8F" w:rsidRDefault="00BE0E8F" w:rsidP="00BE0E8F">
      <w:pPr>
        <w:jc w:val="both"/>
        <w:rPr>
          <w:szCs w:val="24"/>
        </w:rPr>
      </w:pPr>
      <w:r w:rsidRPr="00BE0E8F">
        <w:rPr>
          <w:szCs w:val="24"/>
        </w:rPr>
        <w:t xml:space="preserve">Podsumowując, w obszarze zdrowia zrealizowane projekty w dużym stopniu zaspokoiły potrzeby </w:t>
      </w:r>
      <w:r w:rsidR="004C61C1" w:rsidRPr="00BE0E8F">
        <w:rPr>
          <w:szCs w:val="24"/>
        </w:rPr>
        <w:t>placówek wynikających</w:t>
      </w:r>
      <w:r w:rsidRPr="00BE0E8F">
        <w:rPr>
          <w:szCs w:val="24"/>
        </w:rPr>
        <w:t xml:space="preserve"> z przestarzałego sprzętu, a także konieczności dostosowania placówek do przepisów prawa. Jednocześnie </w:t>
      </w:r>
      <w:r w:rsidRPr="00BE0E8F">
        <w:rPr>
          <w:rFonts w:eastAsia="Calibri"/>
          <w:szCs w:val="24"/>
        </w:rPr>
        <w:t>można stwierdzić, że dzięki dokonanym inwestycjom w obszarze ochrony zdrowia zwiększył się poten</w:t>
      </w:r>
      <w:r w:rsidR="006653BB">
        <w:rPr>
          <w:rFonts w:eastAsia="Calibri"/>
          <w:szCs w:val="24"/>
        </w:rPr>
        <w:t>cjał instytucji, jednak musi on </w:t>
      </w:r>
      <w:r w:rsidRPr="00BE0E8F">
        <w:rPr>
          <w:rFonts w:eastAsia="Calibri"/>
          <w:szCs w:val="24"/>
        </w:rPr>
        <w:t>być intensywnie wykorzystywany, gdyż wskaźniki dot</w:t>
      </w:r>
      <w:r w:rsidR="006653BB">
        <w:rPr>
          <w:rFonts w:eastAsia="Calibri"/>
          <w:szCs w:val="24"/>
        </w:rPr>
        <w:t>yczące stanu zdrowia nadal są w </w:t>
      </w:r>
      <w:r w:rsidRPr="00BE0E8F">
        <w:rPr>
          <w:rFonts w:eastAsia="Calibri"/>
          <w:szCs w:val="24"/>
        </w:rPr>
        <w:t>województwie niekorzystne. Obecnie mniej istotne jest dalsze</w:t>
      </w:r>
      <w:r w:rsidR="006653BB">
        <w:rPr>
          <w:rFonts w:eastAsia="Calibri"/>
          <w:szCs w:val="24"/>
        </w:rPr>
        <w:t xml:space="preserve"> uzupełnianie infrastruktury, a </w:t>
      </w:r>
      <w:r w:rsidRPr="00BE0E8F">
        <w:rPr>
          <w:rFonts w:eastAsia="Calibri"/>
          <w:szCs w:val="24"/>
        </w:rPr>
        <w:t>bardziej istotne jej dalsze wykorzystywanie i zapewnienie środków na wysoką jakość świadczonych dzięki niej usług. To samo dotyczy infrastruktury sportowej – istniejąca infrastruktura powinna być objęta animacją i wykorzystywana w celu zwiększenia aktywności fizycznej mieszkańców.</w:t>
      </w:r>
      <w:r w:rsidRPr="00BE0E8F">
        <w:rPr>
          <w:szCs w:val="24"/>
        </w:rPr>
        <w:t xml:space="preserve"> </w:t>
      </w:r>
    </w:p>
    <w:p w14:paraId="3550CD2B" w14:textId="407B0988" w:rsidR="00BE0E8F" w:rsidRPr="00BE0E8F" w:rsidRDefault="00BE0E8F" w:rsidP="00BE0E8F">
      <w:pPr>
        <w:jc w:val="both"/>
      </w:pPr>
      <w:r w:rsidRPr="00BE0E8F">
        <w:t>Pozytywnym przykładem projektu</w:t>
      </w:r>
      <w:r w:rsidR="00771D5E">
        <w:t>, łączącego</w:t>
      </w:r>
      <w:r w:rsidRPr="00BE0E8F">
        <w:t xml:space="preserve"> w sobie </w:t>
      </w:r>
      <w:r w:rsidR="006653BB">
        <w:t>cechy projektów kompleksowych, a </w:t>
      </w:r>
      <w:r w:rsidRPr="00BE0E8F">
        <w:t xml:space="preserve">dodatkowo realizującym potrzebę udostępniania mieszkańcom terenów poprzemysłowych, jest projekt </w:t>
      </w:r>
      <w:r w:rsidRPr="00BE0E8F">
        <w:rPr>
          <w:i/>
        </w:rPr>
        <w:t>Dostosowanie terenu pogórniczego parku Księża Góra dla potrzeb rekreacyjno-sportowych mieszkańców Gminy Radzionków, powiatu tarnogórskiego oraz miast na prawach powiatu: Bytom i Piekary Śląskie.</w:t>
      </w:r>
      <w:r w:rsidRPr="00BE0E8F">
        <w:t xml:space="preserve"> Przedmiotem projektu było wykonanie ogólnodostępnych wielofunkcyjnych sieci ścieżek przeznaczonych do aktywnego spędzania wolnego czasu (między innymi jazda na rowerze, biegi rekreacyjne, jazda na rolkach, nordic walking i innych) </w:t>
      </w:r>
      <w:r w:rsidRPr="00BE0E8F">
        <w:lastRenderedPageBreak/>
        <w:t>w kompleksie rekreacyjno – sportowym, jakim jest teren Księżej Góry w </w:t>
      </w:r>
      <w:r w:rsidR="006653BB">
        <w:t>Radzionkowie. W </w:t>
      </w:r>
      <w:r w:rsidRPr="00BE0E8F">
        <w:t>wyniku projektu powstał otwarty obiekt sportowy w postaci wielofunkcyjnych, ogólnodostępnych i bezpłatnych ścieżek rekreacyjno – sportowych. W ramach projektu wykonano oświetlenie ścieżek i utworzenie miejsc rekreacyjno – postojowych, wyposażonych w zestawy do ćwiczeń siłowych, ławki, miejsca do gry w szachy i inne niezbędne urządzenia do sportu i rekreacji.</w:t>
      </w:r>
    </w:p>
    <w:p w14:paraId="6D7896BB" w14:textId="6DC83C92" w:rsidR="003935BD" w:rsidRPr="000D4BE4" w:rsidRDefault="000D4BE4" w:rsidP="004914D8">
      <w:pPr>
        <w:pStyle w:val="Akapitzlist"/>
        <w:numPr>
          <w:ilvl w:val="2"/>
          <w:numId w:val="50"/>
        </w:numPr>
        <w:jc w:val="both"/>
        <w:rPr>
          <w:szCs w:val="24"/>
        </w:rPr>
      </w:pPr>
      <w:r w:rsidRPr="0094320D">
        <w:rPr>
          <w:b/>
          <w:szCs w:val="24"/>
        </w:rPr>
        <w:t>OPIS ISTOTNYCH PROBLEMÓW WE WDRAŻANIU WRAZ Z PODJĘTYMI ŚRODKAMI ZARADCZYMI</w:t>
      </w:r>
      <w:bookmarkEnd w:id="530"/>
      <w:bookmarkEnd w:id="531"/>
      <w:bookmarkEnd w:id="532"/>
      <w:bookmarkEnd w:id="533"/>
      <w:bookmarkEnd w:id="534"/>
      <w:bookmarkEnd w:id="535"/>
    </w:p>
    <w:p w14:paraId="7B6B1C7D" w14:textId="034AF08B" w:rsidR="000D4BE4" w:rsidRDefault="00083D7F" w:rsidP="000D4BE4">
      <w:pPr>
        <w:pStyle w:val="Akapitzlist"/>
        <w:ind w:left="0"/>
        <w:jc w:val="both"/>
        <w:rPr>
          <w:szCs w:val="24"/>
        </w:rPr>
      </w:pPr>
      <w:r w:rsidRPr="00F93BD6">
        <w:rPr>
          <w:szCs w:val="24"/>
        </w:rPr>
        <w:t>Wdrażanie priorytetu napotkało na problemy głównie na</w:t>
      </w:r>
      <w:r>
        <w:rPr>
          <w:szCs w:val="24"/>
        </w:rPr>
        <w:t>tury zewnętrznej i dotyczyło braku</w:t>
      </w:r>
      <w:r w:rsidRPr="00083D7F">
        <w:rPr>
          <w:szCs w:val="24"/>
        </w:rPr>
        <w:t xml:space="preserve"> </w:t>
      </w:r>
      <w:r w:rsidRPr="00083D7F">
        <w:rPr>
          <w:i/>
          <w:szCs w:val="24"/>
        </w:rPr>
        <w:t>rozporządzenia MR dot. pomocy publicznej w zakresie uzdrowisk</w:t>
      </w:r>
      <w:r>
        <w:rPr>
          <w:szCs w:val="24"/>
        </w:rPr>
        <w:t>, które spowodowały opóźnienia w ogłaszaniu konkursów.</w:t>
      </w:r>
    </w:p>
    <w:p w14:paraId="21DCA82C" w14:textId="77777777" w:rsidR="00083D7F" w:rsidRPr="0094320D" w:rsidRDefault="00083D7F" w:rsidP="000D4BE4">
      <w:pPr>
        <w:pStyle w:val="Akapitzlist"/>
        <w:ind w:left="0"/>
        <w:jc w:val="both"/>
        <w:rPr>
          <w:szCs w:val="24"/>
        </w:rPr>
      </w:pPr>
    </w:p>
    <w:p w14:paraId="74D2FE40" w14:textId="7D6E7F71" w:rsidR="00C8660E" w:rsidRPr="00BB152A" w:rsidRDefault="000D4BE4" w:rsidP="004914D8">
      <w:pPr>
        <w:pStyle w:val="Akapitzlist"/>
        <w:numPr>
          <w:ilvl w:val="1"/>
          <w:numId w:val="50"/>
        </w:numPr>
        <w:jc w:val="both"/>
        <w:rPr>
          <w:b/>
          <w:color w:val="538135" w:themeColor="accent6" w:themeShade="BF"/>
          <w:szCs w:val="24"/>
        </w:rPr>
      </w:pPr>
      <w:bookmarkStart w:id="561" w:name="_Toc292793647"/>
      <w:bookmarkStart w:id="562" w:name="_Toc324853949"/>
      <w:bookmarkStart w:id="563" w:name="_Toc327259301"/>
      <w:bookmarkEnd w:id="536"/>
      <w:bookmarkEnd w:id="537"/>
      <w:bookmarkEnd w:id="538"/>
      <w:r w:rsidRPr="00BB152A">
        <w:rPr>
          <w:b/>
          <w:color w:val="538135" w:themeColor="accent6" w:themeShade="BF"/>
          <w:szCs w:val="24"/>
        </w:rPr>
        <w:t>PRIORYTET X POMOC TECHNICZNA</w:t>
      </w:r>
    </w:p>
    <w:p w14:paraId="29EEE51A" w14:textId="77777777" w:rsidR="000D4BE4" w:rsidRPr="000D4BE4" w:rsidRDefault="000D4BE4" w:rsidP="000D4BE4">
      <w:pPr>
        <w:pStyle w:val="Akapitzlist"/>
        <w:ind w:left="360"/>
        <w:jc w:val="both"/>
        <w:rPr>
          <w:b/>
          <w:color w:val="0070C0"/>
          <w:szCs w:val="24"/>
        </w:rPr>
      </w:pPr>
    </w:p>
    <w:p w14:paraId="086FB5EF" w14:textId="77777777" w:rsidR="004C31A9" w:rsidRPr="0094320D" w:rsidRDefault="004C31A9" w:rsidP="004914D8">
      <w:pPr>
        <w:pStyle w:val="Akapitzlist"/>
        <w:numPr>
          <w:ilvl w:val="2"/>
          <w:numId w:val="50"/>
        </w:numPr>
        <w:jc w:val="both"/>
        <w:rPr>
          <w:b/>
          <w:bCs/>
          <w:szCs w:val="24"/>
        </w:rPr>
      </w:pPr>
      <w:bookmarkStart w:id="564" w:name="_Toc386571867"/>
      <w:bookmarkStart w:id="565" w:name="_Toc386572292"/>
      <w:bookmarkStart w:id="566" w:name="_Toc419180306"/>
      <w:bookmarkStart w:id="567" w:name="_Toc423351824"/>
      <w:r w:rsidRPr="0094320D">
        <w:rPr>
          <w:b/>
          <w:bCs/>
          <w:szCs w:val="24"/>
        </w:rPr>
        <w:t>OSIĄGNIĘCIE CELÓW I ANALIZA POSTĘPÓW</w:t>
      </w:r>
      <w:bookmarkEnd w:id="564"/>
      <w:bookmarkEnd w:id="565"/>
      <w:bookmarkEnd w:id="566"/>
      <w:bookmarkEnd w:id="567"/>
    </w:p>
    <w:p w14:paraId="40A33411" w14:textId="1BF7E35B" w:rsidR="004C31A9" w:rsidRPr="0094320D" w:rsidRDefault="000D4BE4" w:rsidP="0094320D">
      <w:pPr>
        <w:jc w:val="both"/>
        <w:rPr>
          <w:rFonts w:eastAsia="Calibri"/>
          <w:szCs w:val="24"/>
          <w:lang w:eastAsia="en-US"/>
        </w:rPr>
      </w:pPr>
      <w:r w:rsidRPr="0094320D">
        <w:rPr>
          <w:rFonts w:eastAsia="Calibri"/>
          <w:b/>
          <w:szCs w:val="24"/>
          <w:lang w:eastAsia="en-US"/>
        </w:rPr>
        <w:t>Informacje ogólne</w:t>
      </w:r>
    </w:p>
    <w:p w14:paraId="50114A64" w14:textId="55C6BA6F" w:rsidR="004C31A9" w:rsidRPr="0094320D" w:rsidRDefault="004C31A9" w:rsidP="0094320D">
      <w:pPr>
        <w:spacing w:before="240"/>
        <w:jc w:val="both"/>
        <w:rPr>
          <w:rFonts w:eastAsia="Calibri"/>
          <w:szCs w:val="24"/>
          <w:lang w:eastAsia="en-US"/>
        </w:rPr>
      </w:pPr>
      <w:r w:rsidRPr="0094320D">
        <w:rPr>
          <w:rFonts w:eastAsia="Calibri"/>
          <w:szCs w:val="24"/>
          <w:lang w:eastAsia="en-US"/>
        </w:rPr>
        <w:t xml:space="preserve">Celem głównym priorytetu X </w:t>
      </w:r>
      <w:r w:rsidR="00771D5E">
        <w:rPr>
          <w:rFonts w:eastAsia="Calibri"/>
          <w:szCs w:val="24"/>
          <w:lang w:eastAsia="en-US"/>
        </w:rPr>
        <w:t>była</w:t>
      </w:r>
      <w:r w:rsidRPr="0094320D">
        <w:rPr>
          <w:rFonts w:eastAsia="Calibri"/>
          <w:szCs w:val="24"/>
          <w:lang w:eastAsia="en-US"/>
        </w:rPr>
        <w:t xml:space="preserve"> </w:t>
      </w:r>
      <w:r w:rsidRPr="0094320D">
        <w:rPr>
          <w:rFonts w:eastAsia="Calibri"/>
          <w:i/>
          <w:szCs w:val="24"/>
          <w:lang w:eastAsia="en-US"/>
        </w:rPr>
        <w:t>skuteczna absorpcja środków w ramach Regionalnego Programu Operacyjnego Województwa Śląskiego na lata 2007 – 2013</w:t>
      </w:r>
      <w:r w:rsidRPr="0094320D">
        <w:rPr>
          <w:rFonts w:eastAsia="Calibri"/>
          <w:szCs w:val="24"/>
          <w:lang w:eastAsia="en-US"/>
        </w:rPr>
        <w:t xml:space="preserve">. W ramach priorytetu wspierane są procesy związane z przygotowaniem, zarządzaniem, monitorowaniem, oceną, kontrolą i ewaluacją realizacji RPO, działania mające na celu zwiększenie zdolności administracyjnych do wdrażania funduszy oraz informacja i promocja </w:t>
      </w:r>
      <w:r w:rsidR="00771D5E">
        <w:rPr>
          <w:rFonts w:eastAsia="Calibri"/>
          <w:szCs w:val="24"/>
          <w:lang w:eastAsia="en-US"/>
        </w:rPr>
        <w:t xml:space="preserve">w ramach </w:t>
      </w:r>
      <w:r w:rsidRPr="0094320D">
        <w:rPr>
          <w:rFonts w:eastAsia="Calibri"/>
          <w:szCs w:val="24"/>
          <w:lang w:eastAsia="en-US"/>
        </w:rPr>
        <w:t>Programu.</w:t>
      </w:r>
    </w:p>
    <w:p w14:paraId="425FAC7B" w14:textId="77777777" w:rsidR="004C31A9" w:rsidRPr="0094320D" w:rsidRDefault="004C31A9" w:rsidP="0094320D">
      <w:pPr>
        <w:spacing w:after="0"/>
        <w:jc w:val="both"/>
        <w:rPr>
          <w:rFonts w:eastAsia="Calibri"/>
          <w:szCs w:val="24"/>
          <w:lang w:eastAsia="en-US"/>
        </w:rPr>
      </w:pPr>
      <w:r w:rsidRPr="0094320D">
        <w:rPr>
          <w:rFonts w:eastAsia="Calibri"/>
          <w:szCs w:val="24"/>
          <w:lang w:eastAsia="en-US"/>
        </w:rPr>
        <w:t>Realizacji priorytetu służyć mają dwa działania:</w:t>
      </w:r>
    </w:p>
    <w:p w14:paraId="6B68AF77" w14:textId="77777777" w:rsidR="004C31A9" w:rsidRPr="0094320D" w:rsidRDefault="004C31A9" w:rsidP="0094320D">
      <w:pPr>
        <w:numPr>
          <w:ilvl w:val="0"/>
          <w:numId w:val="8"/>
        </w:numPr>
        <w:spacing w:after="0"/>
        <w:contextualSpacing/>
        <w:jc w:val="both"/>
        <w:rPr>
          <w:i/>
          <w:szCs w:val="24"/>
        </w:rPr>
      </w:pPr>
      <w:r w:rsidRPr="0094320D">
        <w:rPr>
          <w:i/>
          <w:szCs w:val="24"/>
        </w:rPr>
        <w:t>10.1 Wsparcie procesu zarządzania i wdrażania,</w:t>
      </w:r>
    </w:p>
    <w:p w14:paraId="2A205EB2" w14:textId="77777777" w:rsidR="004C31A9" w:rsidRPr="0094320D" w:rsidRDefault="004C31A9" w:rsidP="00367271">
      <w:pPr>
        <w:numPr>
          <w:ilvl w:val="0"/>
          <w:numId w:val="8"/>
        </w:numPr>
        <w:spacing w:after="120"/>
        <w:ind w:left="714" w:hanging="357"/>
        <w:contextualSpacing/>
        <w:jc w:val="both"/>
        <w:rPr>
          <w:i/>
          <w:szCs w:val="24"/>
        </w:rPr>
      </w:pPr>
      <w:r w:rsidRPr="0094320D">
        <w:rPr>
          <w:i/>
          <w:szCs w:val="24"/>
        </w:rPr>
        <w:t>10.2 Działania informacyjne i promocyjne.</w:t>
      </w:r>
    </w:p>
    <w:p w14:paraId="0F84F65C" w14:textId="77777777" w:rsidR="00ED4F79" w:rsidRDefault="004C31A9" w:rsidP="00ED4F79">
      <w:pPr>
        <w:spacing w:after="0"/>
        <w:jc w:val="both"/>
        <w:rPr>
          <w:szCs w:val="24"/>
        </w:rPr>
      </w:pPr>
      <w:r w:rsidRPr="0094320D">
        <w:rPr>
          <w:rFonts w:eastAsia="Calibri"/>
          <w:szCs w:val="24"/>
          <w:lang w:eastAsia="en-US"/>
        </w:rPr>
        <w:t xml:space="preserve">Na realizację priorytetu X alokowano 43 196 934 EUR pochodzących z EFRR, co stanowi 2,47% wartości </w:t>
      </w:r>
      <w:r w:rsidRPr="0094320D">
        <w:rPr>
          <w:rFonts w:eastAsia="Calibri"/>
          <w:i/>
          <w:szCs w:val="24"/>
          <w:lang w:eastAsia="en-US"/>
        </w:rPr>
        <w:t>Programu.</w:t>
      </w:r>
      <w:r w:rsidR="00ED4F79" w:rsidRPr="00ED4F79">
        <w:rPr>
          <w:szCs w:val="24"/>
        </w:rPr>
        <w:t xml:space="preserve"> </w:t>
      </w:r>
    </w:p>
    <w:p w14:paraId="552A17FA" w14:textId="48AED365" w:rsidR="00ED4F79" w:rsidRDefault="00ED4F79" w:rsidP="00ED4F79">
      <w:pPr>
        <w:spacing w:after="0"/>
        <w:jc w:val="both"/>
        <w:rPr>
          <w:szCs w:val="24"/>
        </w:rPr>
      </w:pPr>
      <w:r>
        <w:rPr>
          <w:szCs w:val="24"/>
        </w:rPr>
        <w:t>Na poniższym wykresie przedstawiono ogólną informację dot. postępu realizacji priorytetu X na koniec 2016 roku oraz poziom wykorzystania alokacji.</w:t>
      </w:r>
    </w:p>
    <w:p w14:paraId="2173BAFE" w14:textId="77777777" w:rsidR="005E15AF" w:rsidRDefault="005E15AF">
      <w:pPr>
        <w:spacing w:after="0" w:line="240" w:lineRule="auto"/>
        <w:rPr>
          <w:rFonts w:eastAsia="Calibri"/>
          <w:b/>
          <w:szCs w:val="24"/>
          <w:lang w:eastAsia="en-US"/>
        </w:rPr>
      </w:pPr>
      <w:r>
        <w:rPr>
          <w:rFonts w:eastAsia="Calibri"/>
          <w:b/>
          <w:szCs w:val="24"/>
          <w:lang w:eastAsia="en-US"/>
        </w:rPr>
        <w:br w:type="page"/>
      </w:r>
    </w:p>
    <w:p w14:paraId="0368AD4E" w14:textId="3E140795" w:rsidR="004C31A9" w:rsidRDefault="003A31E7" w:rsidP="00367271">
      <w:pPr>
        <w:spacing w:before="120"/>
        <w:jc w:val="both"/>
        <w:rPr>
          <w:rFonts w:eastAsia="Calibri"/>
          <w:b/>
          <w:szCs w:val="24"/>
          <w:lang w:eastAsia="en-US"/>
        </w:rPr>
      </w:pPr>
      <w:r w:rsidRPr="0094320D">
        <w:rPr>
          <w:rFonts w:eastAsia="Calibri"/>
          <w:b/>
          <w:szCs w:val="24"/>
          <w:lang w:eastAsia="en-US"/>
        </w:rPr>
        <w:lastRenderedPageBreak/>
        <w:t xml:space="preserve">Analiza postępu finansowego </w:t>
      </w:r>
    </w:p>
    <w:p w14:paraId="2BB8DB6B" w14:textId="1395427D" w:rsidR="00362619" w:rsidRDefault="00362619" w:rsidP="0094320D">
      <w:pPr>
        <w:jc w:val="both"/>
        <w:rPr>
          <w:rFonts w:eastAsia="Calibri"/>
          <w:b/>
          <w:szCs w:val="24"/>
          <w:lang w:eastAsia="en-US"/>
        </w:rPr>
      </w:pPr>
      <w:r>
        <w:rPr>
          <w:noProof/>
        </w:rPr>
        <w:drawing>
          <wp:inline distT="0" distB="0" distL="0" distR="0" wp14:anchorId="60247A6B" wp14:editId="418E5FD3">
            <wp:extent cx="5963285" cy="3295650"/>
            <wp:effectExtent l="0" t="0" r="0" b="0"/>
            <wp:docPr id="35855" name="Wykres 358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1E3A1D5B" w14:textId="4EF1635C" w:rsidR="00362619" w:rsidRDefault="004D7598" w:rsidP="004D7598">
      <w:pPr>
        <w:pStyle w:val="Legenda"/>
        <w:rPr>
          <w:b w:val="0"/>
          <w:i/>
          <w:color w:val="auto"/>
          <w:sz w:val="20"/>
          <w:szCs w:val="20"/>
        </w:rPr>
      </w:pPr>
      <w:bookmarkStart w:id="568" w:name="_Toc476832980"/>
      <w:r w:rsidRPr="003A31E7">
        <w:rPr>
          <w:color w:val="auto"/>
        </w:rPr>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62</w:t>
      </w:r>
      <w:r w:rsidR="00A44293" w:rsidRPr="003A31E7">
        <w:rPr>
          <w:noProof/>
          <w:color w:val="auto"/>
        </w:rPr>
        <w:fldChar w:fldCharType="end"/>
      </w:r>
      <w:r>
        <w:t xml:space="preserve"> </w:t>
      </w:r>
      <w:r w:rsidR="005D38A0">
        <w:rPr>
          <w:b w:val="0"/>
          <w:i/>
          <w:color w:val="auto"/>
          <w:sz w:val="20"/>
          <w:szCs w:val="20"/>
        </w:rPr>
        <w:t>Postęp finansowy</w:t>
      </w:r>
      <w:r w:rsidR="00362619" w:rsidRPr="00362619">
        <w:rPr>
          <w:b w:val="0"/>
          <w:i/>
          <w:color w:val="auto"/>
          <w:sz w:val="20"/>
          <w:szCs w:val="20"/>
        </w:rPr>
        <w:t xml:space="preserve"> priorytetu X</w:t>
      </w:r>
      <w:bookmarkEnd w:id="568"/>
    </w:p>
    <w:p w14:paraId="568DC8A6" w14:textId="5DB707FB" w:rsidR="00D25FDB" w:rsidRDefault="00D25FDB" w:rsidP="00D25FDB">
      <w:pPr>
        <w:rPr>
          <w:rFonts w:eastAsia="Calibri"/>
        </w:rPr>
      </w:pPr>
      <w:r>
        <w:rPr>
          <w:rFonts w:eastAsia="Calibri"/>
        </w:rPr>
        <w:t>Poniżej przedstawiono postęp realizacji priorytetu w podziale na działania.</w:t>
      </w:r>
    </w:p>
    <w:p w14:paraId="2F294324" w14:textId="0E59A372" w:rsidR="001F577E" w:rsidRPr="001F577E" w:rsidRDefault="004D7598" w:rsidP="004D7598">
      <w:pPr>
        <w:pStyle w:val="Legenda"/>
        <w:rPr>
          <w:rFonts w:eastAsia="Calibri"/>
          <w:color w:val="auto"/>
          <w:sz w:val="20"/>
          <w:szCs w:val="20"/>
        </w:rPr>
      </w:pPr>
      <w:bookmarkStart w:id="569" w:name="_Toc476131823"/>
      <w:r w:rsidRPr="003A31E7">
        <w:rPr>
          <w:color w:val="auto"/>
        </w:rPr>
        <w:t xml:space="preserve">Tabela </w:t>
      </w:r>
      <w:r w:rsidR="00A44293" w:rsidRPr="003A31E7">
        <w:rPr>
          <w:color w:val="auto"/>
        </w:rPr>
        <w:fldChar w:fldCharType="begin"/>
      </w:r>
      <w:r w:rsidR="00A44293" w:rsidRPr="003A31E7">
        <w:rPr>
          <w:color w:val="auto"/>
        </w:rPr>
        <w:instrText xml:space="preserve"> SEQ Tabela \* ARABIC </w:instrText>
      </w:r>
      <w:r w:rsidR="00A44293" w:rsidRPr="003A31E7">
        <w:rPr>
          <w:color w:val="auto"/>
        </w:rPr>
        <w:fldChar w:fldCharType="separate"/>
      </w:r>
      <w:r w:rsidR="0050297D">
        <w:rPr>
          <w:noProof/>
          <w:color w:val="auto"/>
        </w:rPr>
        <w:t>40</w:t>
      </w:r>
      <w:r w:rsidR="00A44293" w:rsidRPr="003A31E7">
        <w:rPr>
          <w:noProof/>
          <w:color w:val="auto"/>
        </w:rPr>
        <w:fldChar w:fldCharType="end"/>
      </w:r>
      <w:r>
        <w:t xml:space="preserve"> </w:t>
      </w:r>
      <w:r w:rsidR="001F577E" w:rsidRPr="001F577E">
        <w:rPr>
          <w:b w:val="0"/>
          <w:i/>
          <w:color w:val="auto"/>
          <w:sz w:val="20"/>
          <w:szCs w:val="20"/>
        </w:rPr>
        <w:t xml:space="preserve">Realizacja </w:t>
      </w:r>
      <w:r w:rsidR="005D38A0">
        <w:rPr>
          <w:b w:val="0"/>
          <w:i/>
          <w:color w:val="auto"/>
          <w:sz w:val="20"/>
          <w:szCs w:val="20"/>
        </w:rPr>
        <w:t xml:space="preserve">finansowa </w:t>
      </w:r>
      <w:r w:rsidR="001F577E" w:rsidRPr="001F577E">
        <w:rPr>
          <w:b w:val="0"/>
          <w:i/>
          <w:color w:val="auto"/>
          <w:sz w:val="20"/>
          <w:szCs w:val="20"/>
        </w:rPr>
        <w:t>priorytetu</w:t>
      </w:r>
      <w:r w:rsidR="005D38A0">
        <w:rPr>
          <w:b w:val="0"/>
          <w:i/>
          <w:color w:val="auto"/>
          <w:sz w:val="20"/>
          <w:szCs w:val="20"/>
        </w:rPr>
        <w:t xml:space="preserve"> X</w:t>
      </w:r>
      <w:r w:rsidR="001F577E" w:rsidRPr="001F577E">
        <w:rPr>
          <w:b w:val="0"/>
          <w:i/>
          <w:color w:val="auto"/>
          <w:sz w:val="20"/>
          <w:szCs w:val="20"/>
        </w:rPr>
        <w:t xml:space="preserve"> w podziale na działania</w:t>
      </w:r>
      <w:bookmarkEnd w:id="569"/>
    </w:p>
    <w:tbl>
      <w:tblPr>
        <w:tblStyle w:val="Tabelalisty3akcent61"/>
        <w:tblW w:w="10197" w:type="dxa"/>
        <w:jc w:val="center"/>
        <w:tblLayout w:type="fixed"/>
        <w:tblLook w:val="04A0" w:firstRow="1" w:lastRow="0" w:firstColumn="1" w:lastColumn="0" w:noHBand="0" w:noVBand="1"/>
      </w:tblPr>
      <w:tblGrid>
        <w:gridCol w:w="983"/>
        <w:gridCol w:w="992"/>
        <w:gridCol w:w="992"/>
        <w:gridCol w:w="1134"/>
        <w:gridCol w:w="1134"/>
        <w:gridCol w:w="851"/>
        <w:gridCol w:w="1134"/>
        <w:gridCol w:w="1134"/>
        <w:gridCol w:w="992"/>
        <w:gridCol w:w="851"/>
      </w:tblGrid>
      <w:tr w:rsidR="001F577E" w:rsidRPr="00D25FDB" w14:paraId="5A0B4977" w14:textId="77777777" w:rsidTr="00BB152A">
        <w:trPr>
          <w:cnfStyle w:val="100000000000" w:firstRow="1" w:lastRow="0" w:firstColumn="0" w:lastColumn="0" w:oddVBand="0" w:evenVBand="0" w:oddHBand="0" w:evenHBand="0" w:firstRowFirstColumn="0" w:firstRowLastColumn="0" w:lastRowFirstColumn="0" w:lastRowLastColumn="0"/>
          <w:trHeight w:val="1811"/>
          <w:jc w:val="center"/>
        </w:trPr>
        <w:tc>
          <w:tcPr>
            <w:cnfStyle w:val="001000000100" w:firstRow="0" w:lastRow="0" w:firstColumn="1" w:lastColumn="0" w:oddVBand="0" w:evenVBand="0" w:oddHBand="0" w:evenHBand="0" w:firstRowFirstColumn="1" w:firstRowLastColumn="0" w:lastRowFirstColumn="0" w:lastRowLastColumn="0"/>
            <w:tcW w:w="983" w:type="dxa"/>
            <w:vMerge w:val="restart"/>
            <w:noWrap/>
            <w:textDirection w:val="btLr"/>
            <w:vAlign w:val="center"/>
            <w:hideMark/>
          </w:tcPr>
          <w:p w14:paraId="3C66E1A7" w14:textId="449E510B" w:rsidR="00D25FDB" w:rsidRPr="00BB152A" w:rsidRDefault="001D040C" w:rsidP="00BB152A">
            <w:pPr>
              <w:spacing w:after="0" w:line="240" w:lineRule="auto"/>
              <w:ind w:left="113" w:right="113"/>
              <w:jc w:val="center"/>
              <w:rPr>
                <w:bCs w:val="0"/>
                <w:color w:val="000000"/>
                <w:sz w:val="20"/>
                <w:szCs w:val="20"/>
              </w:rPr>
            </w:pPr>
            <w:r w:rsidRPr="00BB152A">
              <w:rPr>
                <w:bCs w:val="0"/>
                <w:color w:val="000000"/>
                <w:sz w:val="20"/>
                <w:szCs w:val="20"/>
              </w:rPr>
              <w:t>DZIAŁANIE</w:t>
            </w:r>
          </w:p>
        </w:tc>
        <w:tc>
          <w:tcPr>
            <w:tcW w:w="992" w:type="dxa"/>
            <w:vMerge w:val="restart"/>
            <w:textDirection w:val="btLr"/>
            <w:vAlign w:val="center"/>
            <w:hideMark/>
          </w:tcPr>
          <w:p w14:paraId="51EB9A6B" w14:textId="44E1BC62" w:rsidR="00D25FDB" w:rsidRPr="00BB152A" w:rsidRDefault="001D040C" w:rsidP="00BB152A">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ALOKACJA MLN EUR</w:t>
            </w:r>
          </w:p>
        </w:tc>
        <w:tc>
          <w:tcPr>
            <w:tcW w:w="2126" w:type="dxa"/>
            <w:gridSpan w:val="2"/>
            <w:vAlign w:val="center"/>
            <w:hideMark/>
          </w:tcPr>
          <w:p w14:paraId="568FD0E3" w14:textId="284B1EC1" w:rsidR="00D25FDB"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WNIOSKI WYBRANE DO DOFINANSOWANIA</w:t>
            </w:r>
          </w:p>
        </w:tc>
        <w:tc>
          <w:tcPr>
            <w:tcW w:w="1985" w:type="dxa"/>
            <w:gridSpan w:val="2"/>
            <w:vAlign w:val="center"/>
            <w:hideMark/>
          </w:tcPr>
          <w:p w14:paraId="664D8262" w14:textId="226CB2FA" w:rsidR="00D25FDB"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KONTRAKTACJA</w:t>
            </w:r>
          </w:p>
        </w:tc>
        <w:tc>
          <w:tcPr>
            <w:tcW w:w="2268" w:type="dxa"/>
            <w:gridSpan w:val="2"/>
            <w:noWrap/>
            <w:vAlign w:val="center"/>
            <w:hideMark/>
          </w:tcPr>
          <w:p w14:paraId="468FD559" w14:textId="04ADE982" w:rsidR="00D25FDB"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PŁATNOŚCI</w:t>
            </w:r>
          </w:p>
        </w:tc>
        <w:tc>
          <w:tcPr>
            <w:tcW w:w="1843" w:type="dxa"/>
            <w:gridSpan w:val="2"/>
            <w:noWrap/>
            <w:vAlign w:val="center"/>
            <w:hideMark/>
          </w:tcPr>
          <w:p w14:paraId="16F898D1" w14:textId="2490F9D3" w:rsidR="00D25FDB" w:rsidRPr="00BB152A" w:rsidRDefault="001D040C" w:rsidP="00BB152A">
            <w:pPr>
              <w:spacing w:after="0" w:line="240" w:lineRule="auto"/>
              <w:jc w:val="center"/>
              <w:cnfStyle w:val="100000000000" w:firstRow="1" w:lastRow="0" w:firstColumn="0" w:lastColumn="0" w:oddVBand="0" w:evenVBand="0" w:oddHBand="0" w:evenHBand="0" w:firstRowFirstColumn="0" w:firstRowLastColumn="0" w:lastRowFirstColumn="0" w:lastRowLastColumn="0"/>
              <w:rPr>
                <w:bCs w:val="0"/>
                <w:color w:val="000000"/>
                <w:sz w:val="20"/>
                <w:szCs w:val="20"/>
              </w:rPr>
            </w:pPr>
            <w:r w:rsidRPr="00BB152A">
              <w:rPr>
                <w:bCs w:val="0"/>
                <w:color w:val="000000"/>
                <w:sz w:val="20"/>
                <w:szCs w:val="20"/>
              </w:rPr>
              <w:t>CERTYFIKACJA</w:t>
            </w:r>
          </w:p>
        </w:tc>
      </w:tr>
      <w:tr w:rsidR="001F577E" w:rsidRPr="00D25FDB" w14:paraId="12658756" w14:textId="77777777" w:rsidTr="00BB152A">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983" w:type="dxa"/>
            <w:vMerge/>
            <w:vAlign w:val="center"/>
            <w:hideMark/>
          </w:tcPr>
          <w:p w14:paraId="7E0E3544" w14:textId="77777777" w:rsidR="00D25FDB" w:rsidRPr="00D25FDB" w:rsidRDefault="00D25FDB" w:rsidP="00BB152A">
            <w:pPr>
              <w:spacing w:after="0" w:line="240" w:lineRule="auto"/>
              <w:jc w:val="center"/>
              <w:rPr>
                <w:b w:val="0"/>
                <w:bCs w:val="0"/>
                <w:color w:val="000000"/>
                <w:sz w:val="20"/>
                <w:szCs w:val="20"/>
              </w:rPr>
            </w:pPr>
          </w:p>
        </w:tc>
        <w:tc>
          <w:tcPr>
            <w:tcW w:w="992" w:type="dxa"/>
            <w:vMerge/>
            <w:vAlign w:val="center"/>
            <w:hideMark/>
          </w:tcPr>
          <w:p w14:paraId="021E6625"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p>
        </w:tc>
        <w:tc>
          <w:tcPr>
            <w:tcW w:w="992" w:type="dxa"/>
            <w:vAlign w:val="center"/>
            <w:hideMark/>
          </w:tcPr>
          <w:p w14:paraId="63415768"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mln EUR</w:t>
            </w:r>
          </w:p>
        </w:tc>
        <w:tc>
          <w:tcPr>
            <w:tcW w:w="1134" w:type="dxa"/>
            <w:vAlign w:val="center"/>
            <w:hideMark/>
          </w:tcPr>
          <w:p w14:paraId="5CC312F0"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w:t>
            </w:r>
          </w:p>
        </w:tc>
        <w:tc>
          <w:tcPr>
            <w:tcW w:w="1134" w:type="dxa"/>
            <w:vAlign w:val="center"/>
            <w:hideMark/>
          </w:tcPr>
          <w:p w14:paraId="42BA7015"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mln EUR</w:t>
            </w:r>
          </w:p>
        </w:tc>
        <w:tc>
          <w:tcPr>
            <w:tcW w:w="851" w:type="dxa"/>
            <w:vAlign w:val="center"/>
            <w:hideMark/>
          </w:tcPr>
          <w:p w14:paraId="056AA8E1"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w:t>
            </w:r>
          </w:p>
        </w:tc>
        <w:tc>
          <w:tcPr>
            <w:tcW w:w="1134" w:type="dxa"/>
            <w:vAlign w:val="center"/>
            <w:hideMark/>
          </w:tcPr>
          <w:p w14:paraId="67DD6BA5"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mln EUR</w:t>
            </w:r>
          </w:p>
        </w:tc>
        <w:tc>
          <w:tcPr>
            <w:tcW w:w="1134" w:type="dxa"/>
            <w:vAlign w:val="center"/>
            <w:hideMark/>
          </w:tcPr>
          <w:p w14:paraId="347783B7"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w:t>
            </w:r>
          </w:p>
        </w:tc>
        <w:tc>
          <w:tcPr>
            <w:tcW w:w="992" w:type="dxa"/>
            <w:vAlign w:val="center"/>
            <w:hideMark/>
          </w:tcPr>
          <w:p w14:paraId="6804D719"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mln EUR</w:t>
            </w:r>
          </w:p>
        </w:tc>
        <w:tc>
          <w:tcPr>
            <w:tcW w:w="851" w:type="dxa"/>
            <w:vAlign w:val="center"/>
            <w:hideMark/>
          </w:tcPr>
          <w:p w14:paraId="1CBCCF33"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sz w:val="20"/>
                <w:szCs w:val="20"/>
              </w:rPr>
            </w:pPr>
            <w:r w:rsidRPr="00D25FDB">
              <w:rPr>
                <w:b/>
                <w:bCs/>
                <w:color w:val="000000"/>
                <w:sz w:val="20"/>
                <w:szCs w:val="20"/>
              </w:rPr>
              <w:t>%</w:t>
            </w:r>
          </w:p>
        </w:tc>
      </w:tr>
      <w:tr w:rsidR="001F577E" w:rsidRPr="00D25FDB" w14:paraId="7A0635E4" w14:textId="77777777" w:rsidTr="00BB152A">
        <w:trPr>
          <w:trHeight w:val="300"/>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5C059D5F" w14:textId="77777777" w:rsidR="00D25FDB" w:rsidRPr="00D25FDB" w:rsidRDefault="00D25FDB" w:rsidP="00BB152A">
            <w:pPr>
              <w:spacing w:after="0" w:line="240" w:lineRule="auto"/>
              <w:jc w:val="center"/>
              <w:rPr>
                <w:color w:val="000000"/>
                <w:sz w:val="20"/>
                <w:szCs w:val="20"/>
              </w:rPr>
            </w:pPr>
            <w:r w:rsidRPr="00D25FDB">
              <w:rPr>
                <w:color w:val="000000"/>
                <w:sz w:val="20"/>
                <w:szCs w:val="20"/>
              </w:rPr>
              <w:t>10.1</w:t>
            </w:r>
          </w:p>
        </w:tc>
        <w:tc>
          <w:tcPr>
            <w:tcW w:w="992" w:type="dxa"/>
            <w:noWrap/>
            <w:vAlign w:val="center"/>
            <w:hideMark/>
          </w:tcPr>
          <w:p w14:paraId="5E732904" w14:textId="5DAD5AA4" w:rsidR="00D25FDB" w:rsidRPr="00D25FDB" w:rsidRDefault="00C2355D"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39,79 </w:t>
            </w:r>
          </w:p>
        </w:tc>
        <w:tc>
          <w:tcPr>
            <w:tcW w:w="992" w:type="dxa"/>
            <w:noWrap/>
            <w:vAlign w:val="center"/>
            <w:hideMark/>
          </w:tcPr>
          <w:p w14:paraId="02F960B0" w14:textId="77777777" w:rsidR="00D25FDB" w:rsidRPr="00D25FDB" w:rsidRDefault="00D25FDB"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D25FDB">
              <w:rPr>
                <w:color w:val="000000"/>
                <w:sz w:val="20"/>
                <w:szCs w:val="20"/>
              </w:rPr>
              <w:t>44,41</w:t>
            </w:r>
          </w:p>
        </w:tc>
        <w:tc>
          <w:tcPr>
            <w:tcW w:w="1134" w:type="dxa"/>
            <w:noWrap/>
            <w:vAlign w:val="center"/>
            <w:hideMark/>
          </w:tcPr>
          <w:p w14:paraId="33FEF86F" w14:textId="05A35D88" w:rsidR="00D25FDB" w:rsidRPr="00D25FDB" w:rsidRDefault="001F577E"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112,26</w:t>
            </w:r>
          </w:p>
        </w:tc>
        <w:tc>
          <w:tcPr>
            <w:tcW w:w="1134" w:type="dxa"/>
            <w:noWrap/>
            <w:vAlign w:val="center"/>
            <w:hideMark/>
          </w:tcPr>
          <w:p w14:paraId="578D9284" w14:textId="77777777" w:rsidR="00D25FDB" w:rsidRPr="00D25FDB" w:rsidRDefault="00D25FDB"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D25FDB">
              <w:rPr>
                <w:color w:val="000000"/>
                <w:sz w:val="20"/>
                <w:szCs w:val="20"/>
              </w:rPr>
              <w:t>37,50</w:t>
            </w:r>
          </w:p>
        </w:tc>
        <w:tc>
          <w:tcPr>
            <w:tcW w:w="851" w:type="dxa"/>
            <w:noWrap/>
            <w:vAlign w:val="center"/>
            <w:hideMark/>
          </w:tcPr>
          <w:p w14:paraId="6D3ABAC6" w14:textId="62482842" w:rsidR="00D25FDB" w:rsidRPr="00D25FDB" w:rsidRDefault="001F577E"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94,79</w:t>
            </w:r>
          </w:p>
        </w:tc>
        <w:tc>
          <w:tcPr>
            <w:tcW w:w="1134" w:type="dxa"/>
            <w:noWrap/>
            <w:vAlign w:val="center"/>
            <w:hideMark/>
          </w:tcPr>
          <w:p w14:paraId="011C428F" w14:textId="77777777" w:rsidR="00D25FDB" w:rsidRPr="00D25FDB" w:rsidRDefault="00D25FDB"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D25FDB">
              <w:rPr>
                <w:color w:val="000000"/>
                <w:sz w:val="20"/>
                <w:szCs w:val="20"/>
              </w:rPr>
              <w:t>37,50</w:t>
            </w:r>
          </w:p>
        </w:tc>
        <w:tc>
          <w:tcPr>
            <w:tcW w:w="1134" w:type="dxa"/>
            <w:noWrap/>
            <w:vAlign w:val="center"/>
            <w:hideMark/>
          </w:tcPr>
          <w:p w14:paraId="3432088B" w14:textId="33FF5967" w:rsidR="00D25FDB" w:rsidRPr="00D25FDB" w:rsidRDefault="001F577E"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94,79</w:t>
            </w:r>
          </w:p>
        </w:tc>
        <w:tc>
          <w:tcPr>
            <w:tcW w:w="992" w:type="dxa"/>
            <w:noWrap/>
            <w:vAlign w:val="center"/>
            <w:hideMark/>
          </w:tcPr>
          <w:p w14:paraId="7E7E96DB" w14:textId="5E7B2975" w:rsidR="00D25FDB" w:rsidRPr="00D25FDB" w:rsidRDefault="00D25FDB"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D25FDB">
              <w:rPr>
                <w:sz w:val="20"/>
                <w:szCs w:val="20"/>
              </w:rPr>
              <w:t>39,</w:t>
            </w:r>
            <w:r w:rsidR="00F64529">
              <w:rPr>
                <w:sz w:val="20"/>
                <w:szCs w:val="20"/>
              </w:rPr>
              <w:t>50</w:t>
            </w:r>
          </w:p>
        </w:tc>
        <w:tc>
          <w:tcPr>
            <w:tcW w:w="851" w:type="dxa"/>
            <w:noWrap/>
            <w:vAlign w:val="center"/>
            <w:hideMark/>
          </w:tcPr>
          <w:p w14:paraId="596E5D82" w14:textId="2B62A43C" w:rsidR="00D25FDB" w:rsidRPr="00D25FDB" w:rsidRDefault="00C2355D" w:rsidP="00BB152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 xml:space="preserve"> 99,2</w:t>
            </w:r>
            <w:r w:rsidR="00F64529">
              <w:rPr>
                <w:color w:val="000000"/>
                <w:sz w:val="20"/>
                <w:szCs w:val="20"/>
              </w:rPr>
              <w:t>7</w:t>
            </w:r>
          </w:p>
        </w:tc>
      </w:tr>
      <w:tr w:rsidR="001F577E" w:rsidRPr="00D25FDB" w14:paraId="32480FF3" w14:textId="77777777" w:rsidTr="00BB152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83" w:type="dxa"/>
            <w:noWrap/>
            <w:vAlign w:val="center"/>
            <w:hideMark/>
          </w:tcPr>
          <w:p w14:paraId="5B4E5AB8" w14:textId="77777777" w:rsidR="00D25FDB" w:rsidRPr="00D25FDB" w:rsidRDefault="00D25FDB" w:rsidP="00BB152A">
            <w:pPr>
              <w:spacing w:after="0" w:line="240" w:lineRule="auto"/>
              <w:jc w:val="center"/>
              <w:rPr>
                <w:color w:val="000000"/>
                <w:sz w:val="20"/>
                <w:szCs w:val="20"/>
              </w:rPr>
            </w:pPr>
            <w:r w:rsidRPr="00D25FDB">
              <w:rPr>
                <w:color w:val="000000"/>
                <w:sz w:val="20"/>
                <w:szCs w:val="20"/>
              </w:rPr>
              <w:t>10.2</w:t>
            </w:r>
          </w:p>
        </w:tc>
        <w:tc>
          <w:tcPr>
            <w:tcW w:w="992" w:type="dxa"/>
            <w:noWrap/>
            <w:vAlign w:val="center"/>
            <w:hideMark/>
          </w:tcPr>
          <w:p w14:paraId="67FB3E73" w14:textId="6F8DBD7F" w:rsidR="00D25FDB" w:rsidRPr="00D25FDB" w:rsidRDefault="00C2355D"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 3,4</w:t>
            </w:r>
            <w:r w:rsidR="00F64529">
              <w:rPr>
                <w:sz w:val="20"/>
                <w:szCs w:val="20"/>
              </w:rPr>
              <w:t>1</w:t>
            </w:r>
          </w:p>
        </w:tc>
        <w:tc>
          <w:tcPr>
            <w:tcW w:w="992" w:type="dxa"/>
            <w:noWrap/>
            <w:vAlign w:val="center"/>
            <w:hideMark/>
          </w:tcPr>
          <w:p w14:paraId="2C97BA6A"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D25FDB">
              <w:rPr>
                <w:color w:val="000000"/>
                <w:sz w:val="20"/>
                <w:szCs w:val="20"/>
              </w:rPr>
              <w:t>4,33</w:t>
            </w:r>
          </w:p>
        </w:tc>
        <w:tc>
          <w:tcPr>
            <w:tcW w:w="1134" w:type="dxa"/>
            <w:noWrap/>
            <w:vAlign w:val="center"/>
            <w:hideMark/>
          </w:tcPr>
          <w:p w14:paraId="53D738EB" w14:textId="612D27AF" w:rsidR="00D25FDB" w:rsidRPr="00D25FDB" w:rsidRDefault="001F577E"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119,61</w:t>
            </w:r>
          </w:p>
        </w:tc>
        <w:tc>
          <w:tcPr>
            <w:tcW w:w="1134" w:type="dxa"/>
            <w:noWrap/>
            <w:vAlign w:val="center"/>
            <w:hideMark/>
          </w:tcPr>
          <w:p w14:paraId="02AF62FF"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D25FDB">
              <w:rPr>
                <w:color w:val="000000"/>
                <w:sz w:val="20"/>
                <w:szCs w:val="20"/>
              </w:rPr>
              <w:t>3,18</w:t>
            </w:r>
          </w:p>
        </w:tc>
        <w:tc>
          <w:tcPr>
            <w:tcW w:w="851" w:type="dxa"/>
            <w:noWrap/>
            <w:vAlign w:val="center"/>
            <w:hideMark/>
          </w:tcPr>
          <w:p w14:paraId="1D757907" w14:textId="48D632C5" w:rsidR="00D25FDB" w:rsidRPr="00D25FDB" w:rsidRDefault="001F577E"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87,85</w:t>
            </w:r>
          </w:p>
        </w:tc>
        <w:tc>
          <w:tcPr>
            <w:tcW w:w="1134" w:type="dxa"/>
            <w:noWrap/>
            <w:vAlign w:val="center"/>
            <w:hideMark/>
          </w:tcPr>
          <w:p w14:paraId="3EB0B15A" w14:textId="77777777"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D25FDB">
              <w:rPr>
                <w:color w:val="000000"/>
                <w:sz w:val="20"/>
                <w:szCs w:val="20"/>
              </w:rPr>
              <w:t>3,18</w:t>
            </w:r>
          </w:p>
        </w:tc>
        <w:tc>
          <w:tcPr>
            <w:tcW w:w="1134" w:type="dxa"/>
            <w:noWrap/>
            <w:vAlign w:val="center"/>
            <w:hideMark/>
          </w:tcPr>
          <w:p w14:paraId="1B908FD5" w14:textId="1B27CF0A" w:rsidR="00D25FDB" w:rsidRPr="00D25FDB" w:rsidRDefault="001F577E"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87,85</w:t>
            </w:r>
          </w:p>
        </w:tc>
        <w:tc>
          <w:tcPr>
            <w:tcW w:w="992" w:type="dxa"/>
            <w:noWrap/>
            <w:vAlign w:val="center"/>
            <w:hideMark/>
          </w:tcPr>
          <w:p w14:paraId="13EA9275" w14:textId="2BABA488" w:rsidR="00D25FDB" w:rsidRPr="00D25FDB" w:rsidRDefault="00D25FDB"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D25FDB">
              <w:rPr>
                <w:sz w:val="20"/>
                <w:szCs w:val="20"/>
              </w:rPr>
              <w:t>3,</w:t>
            </w:r>
            <w:r w:rsidR="00F64529">
              <w:rPr>
                <w:sz w:val="20"/>
                <w:szCs w:val="20"/>
              </w:rPr>
              <w:t>30</w:t>
            </w:r>
          </w:p>
        </w:tc>
        <w:tc>
          <w:tcPr>
            <w:tcW w:w="851" w:type="dxa"/>
            <w:noWrap/>
            <w:vAlign w:val="center"/>
            <w:hideMark/>
          </w:tcPr>
          <w:p w14:paraId="29014F33" w14:textId="3EE5A20C" w:rsidR="00D25FDB" w:rsidRPr="00D25FDB" w:rsidRDefault="00C2355D" w:rsidP="00BB152A">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 xml:space="preserve"> 96,7</w:t>
            </w:r>
            <w:r w:rsidR="00F64529">
              <w:rPr>
                <w:color w:val="000000"/>
                <w:sz w:val="20"/>
                <w:szCs w:val="20"/>
              </w:rPr>
              <w:t>7</w:t>
            </w:r>
          </w:p>
        </w:tc>
      </w:tr>
    </w:tbl>
    <w:p w14:paraId="51BA1E92" w14:textId="77777777" w:rsidR="00D25FDB" w:rsidRPr="00D25FDB" w:rsidRDefault="00D25FDB" w:rsidP="00D25FDB">
      <w:pPr>
        <w:rPr>
          <w:rFonts w:eastAsia="Calibri"/>
        </w:rPr>
      </w:pPr>
    </w:p>
    <w:p w14:paraId="76A4ECCE" w14:textId="4F3B5C52" w:rsidR="004C31A9" w:rsidRDefault="004E7A58" w:rsidP="0094320D">
      <w:pPr>
        <w:tabs>
          <w:tab w:val="left" w:pos="1276"/>
        </w:tabs>
        <w:autoSpaceDE w:val="0"/>
        <w:autoSpaceDN w:val="0"/>
        <w:adjustRightInd w:val="0"/>
        <w:spacing w:after="120"/>
        <w:jc w:val="both"/>
        <w:rPr>
          <w:rFonts w:eastAsia="Calibri"/>
          <w:b/>
          <w:szCs w:val="24"/>
          <w:lang w:eastAsia="en-US"/>
        </w:rPr>
      </w:pPr>
      <w:r w:rsidRPr="004E7A58">
        <w:rPr>
          <w:rFonts w:eastAsia="Calibri"/>
          <w:b/>
          <w:szCs w:val="24"/>
          <w:lang w:eastAsia="en-US"/>
        </w:rPr>
        <w:t>Analiza postępu rzeczowego</w:t>
      </w:r>
      <w:r w:rsidR="004C31A9" w:rsidRPr="0094320D">
        <w:rPr>
          <w:rFonts w:eastAsia="Calibri"/>
          <w:b/>
          <w:szCs w:val="24"/>
          <w:lang w:eastAsia="en-US"/>
        </w:rPr>
        <w:t xml:space="preserve"> </w:t>
      </w:r>
    </w:p>
    <w:p w14:paraId="1E598C25" w14:textId="75E6D5BC" w:rsidR="004E7A58" w:rsidRPr="00D90934" w:rsidRDefault="004E7A58" w:rsidP="004E7A58">
      <w:pPr>
        <w:pStyle w:val="Nagwek2"/>
        <w:numPr>
          <w:ilvl w:val="0"/>
          <w:numId w:val="0"/>
        </w:numPr>
        <w:spacing w:before="0" w:beforeAutospacing="0" w:after="120" w:afterAutospacing="0" w:line="276" w:lineRule="auto"/>
        <w:jc w:val="both"/>
        <w:rPr>
          <w:b w:val="0"/>
          <w:sz w:val="24"/>
          <w:szCs w:val="24"/>
        </w:rPr>
      </w:pPr>
      <w:bookmarkStart w:id="570" w:name="_Toc477779787"/>
      <w:r w:rsidRPr="00D90934">
        <w:rPr>
          <w:b w:val="0"/>
          <w:sz w:val="24"/>
          <w:szCs w:val="24"/>
        </w:rPr>
        <w:t xml:space="preserve">W </w:t>
      </w:r>
      <w:r w:rsidRPr="004E7A58">
        <w:rPr>
          <w:b w:val="0"/>
          <w:sz w:val="24"/>
          <w:szCs w:val="24"/>
        </w:rPr>
        <w:t>załączniku nr IV</w:t>
      </w:r>
      <w:r w:rsidRPr="00D90934">
        <w:rPr>
          <w:b w:val="0"/>
          <w:sz w:val="24"/>
          <w:szCs w:val="24"/>
        </w:rPr>
        <w:t xml:space="preserve"> do niniejszego </w:t>
      </w:r>
      <w:r w:rsidRPr="00D90934">
        <w:rPr>
          <w:b w:val="0"/>
          <w:i/>
          <w:sz w:val="24"/>
          <w:szCs w:val="24"/>
        </w:rPr>
        <w:t>Sprawozdania</w:t>
      </w:r>
      <w:r w:rsidRPr="00D90934">
        <w:rPr>
          <w:b w:val="0"/>
          <w:sz w:val="24"/>
          <w:szCs w:val="24"/>
        </w:rPr>
        <w:t xml:space="preserve"> zostały przedstawione programowe wskaźniki produktu i rezultatu dla </w:t>
      </w:r>
      <w:r>
        <w:rPr>
          <w:b w:val="0"/>
          <w:sz w:val="24"/>
          <w:szCs w:val="24"/>
        </w:rPr>
        <w:t>p</w:t>
      </w:r>
      <w:r w:rsidRPr="00D90934">
        <w:rPr>
          <w:b w:val="0"/>
          <w:sz w:val="24"/>
          <w:szCs w:val="24"/>
        </w:rPr>
        <w:t xml:space="preserve">riorytetu </w:t>
      </w:r>
      <w:r>
        <w:rPr>
          <w:b w:val="0"/>
          <w:sz w:val="24"/>
          <w:szCs w:val="24"/>
        </w:rPr>
        <w:t>X</w:t>
      </w:r>
      <w:r w:rsidRPr="00D90934">
        <w:rPr>
          <w:b w:val="0"/>
          <w:sz w:val="24"/>
          <w:szCs w:val="24"/>
        </w:rPr>
        <w:t>, dla kolejnych lat w ujęciu kumulatywnym. Przedstawione informacje prezento</w:t>
      </w:r>
      <w:r>
        <w:rPr>
          <w:b w:val="0"/>
          <w:sz w:val="24"/>
          <w:szCs w:val="24"/>
        </w:rPr>
        <w:t>wane według stanu na koniec 2016</w:t>
      </w:r>
      <w:r w:rsidRPr="00D90934">
        <w:rPr>
          <w:b w:val="0"/>
          <w:sz w:val="24"/>
          <w:szCs w:val="24"/>
        </w:rPr>
        <w:t xml:space="preserve"> roku </w:t>
      </w:r>
      <w:r>
        <w:rPr>
          <w:b w:val="0"/>
          <w:sz w:val="24"/>
          <w:szCs w:val="24"/>
        </w:rPr>
        <w:t xml:space="preserve">i </w:t>
      </w:r>
      <w:r w:rsidRPr="00D90934">
        <w:rPr>
          <w:b w:val="0"/>
          <w:sz w:val="24"/>
          <w:szCs w:val="24"/>
        </w:rPr>
        <w:t>oparte zostały na danych dotyczących operacji zakończonych. Określone zostały wartości doce</w:t>
      </w:r>
      <w:r>
        <w:rPr>
          <w:b w:val="0"/>
          <w:sz w:val="24"/>
          <w:szCs w:val="24"/>
        </w:rPr>
        <w:t>lowe dla 2010, 2013 i 2015 roku.</w:t>
      </w:r>
      <w:r w:rsidRPr="00D90934">
        <w:rPr>
          <w:b w:val="0"/>
          <w:sz w:val="24"/>
          <w:szCs w:val="24"/>
        </w:rPr>
        <w:t xml:space="preserve"> Przedstawiono także wskaźniki przedmiotowego priorytetu w podziale na działania i poddziałania.</w:t>
      </w:r>
      <w:bookmarkEnd w:id="570"/>
    </w:p>
    <w:p w14:paraId="0B5073CE" w14:textId="32F5E757" w:rsidR="004E7A58" w:rsidRDefault="004E7A58" w:rsidP="004E7A58">
      <w:pPr>
        <w:jc w:val="both"/>
        <w:rPr>
          <w:szCs w:val="24"/>
        </w:rPr>
      </w:pPr>
      <w:r w:rsidRPr="006D71C7">
        <w:rPr>
          <w:szCs w:val="24"/>
        </w:rPr>
        <w:t>W</w:t>
      </w:r>
      <w:r>
        <w:rPr>
          <w:szCs w:val="24"/>
        </w:rPr>
        <w:t xml:space="preserve"> przypadku</w:t>
      </w:r>
      <w:r w:rsidRPr="006D71C7">
        <w:rPr>
          <w:szCs w:val="24"/>
        </w:rPr>
        <w:t xml:space="preserve"> wskaźników</w:t>
      </w:r>
      <w:r>
        <w:rPr>
          <w:szCs w:val="24"/>
        </w:rPr>
        <w:t xml:space="preserve"> </w:t>
      </w:r>
      <w:r w:rsidRPr="006D71C7">
        <w:rPr>
          <w:szCs w:val="24"/>
        </w:rPr>
        <w:t xml:space="preserve">produktu </w:t>
      </w:r>
      <w:r>
        <w:rPr>
          <w:szCs w:val="24"/>
        </w:rPr>
        <w:t>p</w:t>
      </w:r>
      <w:r w:rsidRPr="006D71C7">
        <w:rPr>
          <w:szCs w:val="24"/>
        </w:rPr>
        <w:t xml:space="preserve">riorytetu X </w:t>
      </w:r>
      <w:r>
        <w:rPr>
          <w:szCs w:val="24"/>
        </w:rPr>
        <w:t>wszystkie produkty z wyjątkiem pod</w:t>
      </w:r>
      <w:r w:rsidRPr="006D71C7">
        <w:rPr>
          <w:szCs w:val="24"/>
        </w:rPr>
        <w:t>wskaźnik</w:t>
      </w:r>
      <w:r>
        <w:rPr>
          <w:szCs w:val="24"/>
        </w:rPr>
        <w:t xml:space="preserve">a: </w:t>
      </w:r>
      <w:r w:rsidRPr="004E7A58">
        <w:rPr>
          <w:i/>
          <w:szCs w:val="24"/>
        </w:rPr>
        <w:t>Liczba miejsc pracy sfinansowanych ze środków programu</w:t>
      </w:r>
      <w:r w:rsidRPr="00AE0B04">
        <w:rPr>
          <w:szCs w:val="24"/>
        </w:rPr>
        <w:t xml:space="preserve"> (pomocy </w:t>
      </w:r>
      <w:r w:rsidRPr="00AE0B04">
        <w:rPr>
          <w:szCs w:val="24"/>
        </w:rPr>
        <w:lastRenderedPageBreak/>
        <w:t>technicznej)</w:t>
      </w:r>
      <w:r>
        <w:rPr>
          <w:szCs w:val="24"/>
        </w:rPr>
        <w:t xml:space="preserve"> </w:t>
      </w:r>
      <w:r w:rsidRPr="004E7A58">
        <w:rPr>
          <w:i/>
          <w:szCs w:val="24"/>
        </w:rPr>
        <w:t>w tym: mężczyźni</w:t>
      </w:r>
      <w:r>
        <w:rPr>
          <w:szCs w:val="24"/>
        </w:rPr>
        <w:t xml:space="preserve"> zrealizowane zostały w ponad 100%. Niezrealizowanie wskaźnika dot. miejsc pracy obsadzonych przez mężczyzn powiązane było z dostrzegalnym w wymiarze bardziej ogólnym modelem dotyczącym podziału ze względu na płeć osób zatrudnionych w administracji publicznej, polegającym na występowaniu przewagi liczby kobiet pośród ogólnej liczby osób zatrudnionych na stanowiskach pracowników administracyjnych i struktura zatrudnienia kadry obsługującej wdrażanie RPO WSL nie była wyjątkiem</w:t>
      </w:r>
      <w:r w:rsidRPr="006D71C7">
        <w:rPr>
          <w:szCs w:val="24"/>
        </w:rPr>
        <w:t xml:space="preserve"> </w:t>
      </w:r>
      <w:r>
        <w:rPr>
          <w:szCs w:val="24"/>
        </w:rPr>
        <w:t>dla tego trendu.</w:t>
      </w:r>
    </w:p>
    <w:p w14:paraId="20509C8E" w14:textId="1ECC82D6" w:rsidR="00005EF5" w:rsidRDefault="00005EF5" w:rsidP="004E7A58">
      <w:pPr>
        <w:jc w:val="both"/>
        <w:rPr>
          <w:szCs w:val="24"/>
        </w:rPr>
      </w:pPr>
      <w:r>
        <w:rPr>
          <w:szCs w:val="24"/>
        </w:rPr>
        <w:t xml:space="preserve">Przekroczenie wartości docelowej wskaźnika </w:t>
      </w:r>
      <w:r w:rsidRPr="004E7A58">
        <w:rPr>
          <w:i/>
          <w:szCs w:val="24"/>
        </w:rPr>
        <w:t>Liczba miejsc pracy sfinansowanych ze środków programu</w:t>
      </w:r>
      <w:r w:rsidRPr="00AE0B04">
        <w:rPr>
          <w:szCs w:val="24"/>
        </w:rPr>
        <w:t xml:space="preserve"> (pomocy technicznej)</w:t>
      </w:r>
      <w:r>
        <w:rPr>
          <w:szCs w:val="24"/>
        </w:rPr>
        <w:t xml:space="preserve"> wiązało się ze zwiększeniem liczby osób zatrudnionych do obsługi wdrażania RPO WSL, które podyktowane było</w:t>
      </w:r>
      <w:r w:rsidRPr="003C4051">
        <w:rPr>
          <w:szCs w:val="24"/>
        </w:rPr>
        <w:t xml:space="preserve"> większ</w:t>
      </w:r>
      <w:r>
        <w:rPr>
          <w:szCs w:val="24"/>
        </w:rPr>
        <w:t>ym</w:t>
      </w:r>
      <w:r w:rsidRPr="003C4051">
        <w:rPr>
          <w:szCs w:val="24"/>
        </w:rPr>
        <w:t>, w stosunku do</w:t>
      </w:r>
      <w:r>
        <w:rPr>
          <w:szCs w:val="24"/>
        </w:rPr>
        <w:t> </w:t>
      </w:r>
      <w:r w:rsidRPr="003C4051">
        <w:rPr>
          <w:szCs w:val="24"/>
        </w:rPr>
        <w:t>planowanych i przewidzianych prawem w 2007 roku, kompetencji Instytucji Zarządzającej oraz pośredniczącej drugiego stopnia. W trakcie realizacji RPO WSL nastąpiło zwiększenie zadań IZ RPO WSL m.in. w związku z nowelizacją Ustawy o zasadach prowadzenia polityki rozwoju z dnia 7 listopada 2008 roku przekazano urzęd</w:t>
      </w:r>
      <w:r>
        <w:rPr>
          <w:szCs w:val="24"/>
        </w:rPr>
        <w:t>om marszałkowskim kompetencje w </w:t>
      </w:r>
      <w:r w:rsidRPr="003C4051">
        <w:rPr>
          <w:szCs w:val="24"/>
        </w:rPr>
        <w:t xml:space="preserve">zakresie  rozpatrywania protestów. Kolejnym powodem zatrudnienia większej liczby pracowników było powołanie, zgodnie z Porozumieniem w sprawie zasad realizacji Regionalnego Programu Operacyjnego Województwa Śląskiego na lata 2007-2013 zawartym pomiędzy Zarządem Województwa Śląskiego, a Śląskim Centrum Przedsiębiorczości, Instytucji Pośredniczącej Drugiego Stopnia, której powierzono do realizacji część zadań związanych z wdrażaniem RPO WSL. Zatrudnienie w tej </w:t>
      </w:r>
      <w:r>
        <w:rPr>
          <w:szCs w:val="24"/>
        </w:rPr>
        <w:t>instytucji początkowo zgodnie z </w:t>
      </w:r>
      <w:r w:rsidRPr="003C4051">
        <w:rPr>
          <w:szCs w:val="24"/>
        </w:rPr>
        <w:t>pierwszą wersją Opisu Systemu Zarządzania i Kontroli RPO WSL z dnia 27 grudnia 2007 roku miało wy</w:t>
      </w:r>
      <w:r>
        <w:rPr>
          <w:szCs w:val="24"/>
        </w:rPr>
        <w:t>nosić 40 osób, tymczasem</w:t>
      </w:r>
      <w:r w:rsidRPr="003C4051">
        <w:rPr>
          <w:szCs w:val="24"/>
        </w:rPr>
        <w:t xml:space="preserve"> zgodnie z Rocznym Planem Działania na rok 20</w:t>
      </w:r>
      <w:r>
        <w:rPr>
          <w:szCs w:val="24"/>
        </w:rPr>
        <w:t>15</w:t>
      </w:r>
      <w:r w:rsidRPr="003C4051">
        <w:rPr>
          <w:szCs w:val="24"/>
        </w:rPr>
        <w:t xml:space="preserve"> Śląskie Centrum Przedsiębiorczości pełniące funkcję IP2 osiągn</w:t>
      </w:r>
      <w:r>
        <w:rPr>
          <w:szCs w:val="24"/>
        </w:rPr>
        <w:t>ęło</w:t>
      </w:r>
      <w:r w:rsidRPr="003C4051">
        <w:rPr>
          <w:szCs w:val="24"/>
        </w:rPr>
        <w:t xml:space="preserve"> zatrudnienie na poziomie 105 osób. Dodatkowo w województwie śląskim </w:t>
      </w:r>
      <w:r>
        <w:rPr>
          <w:szCs w:val="24"/>
        </w:rPr>
        <w:t>w programie regionalnym realizowanych była</w:t>
      </w:r>
      <w:r w:rsidRPr="003C4051">
        <w:rPr>
          <w:szCs w:val="24"/>
        </w:rPr>
        <w:t xml:space="preserve"> bardzo duż</w:t>
      </w:r>
      <w:r>
        <w:rPr>
          <w:szCs w:val="24"/>
        </w:rPr>
        <w:t>a liczba</w:t>
      </w:r>
      <w:r w:rsidRPr="003C4051">
        <w:rPr>
          <w:szCs w:val="24"/>
        </w:rPr>
        <w:t xml:space="preserve"> projektów o niskiej wartości co</w:t>
      </w:r>
      <w:r>
        <w:rPr>
          <w:szCs w:val="24"/>
        </w:rPr>
        <w:t>,</w:t>
      </w:r>
      <w:r w:rsidRPr="003C4051">
        <w:rPr>
          <w:szCs w:val="24"/>
        </w:rPr>
        <w:t xml:space="preserve"> </w:t>
      </w:r>
      <w:r>
        <w:rPr>
          <w:szCs w:val="24"/>
        </w:rPr>
        <w:t xml:space="preserve">zważywszy na </w:t>
      </w:r>
      <w:r w:rsidRPr="003C4051">
        <w:rPr>
          <w:szCs w:val="24"/>
        </w:rPr>
        <w:t>jedn</w:t>
      </w:r>
      <w:r>
        <w:rPr>
          <w:szCs w:val="24"/>
        </w:rPr>
        <w:t>ą</w:t>
      </w:r>
      <w:r w:rsidRPr="003C4051">
        <w:rPr>
          <w:szCs w:val="24"/>
        </w:rPr>
        <w:t xml:space="preserve"> z największych </w:t>
      </w:r>
      <w:r>
        <w:rPr>
          <w:szCs w:val="24"/>
        </w:rPr>
        <w:t xml:space="preserve">pośród pozostałych województw </w:t>
      </w:r>
      <w:r w:rsidRPr="003C4051">
        <w:rPr>
          <w:szCs w:val="24"/>
        </w:rPr>
        <w:t xml:space="preserve">alokacji </w:t>
      </w:r>
      <w:r>
        <w:rPr>
          <w:szCs w:val="24"/>
        </w:rPr>
        <w:t>środków do rozdysponowania, stało się przyczyną do podjęcia decyzji o zwiększeniu zatrudnienia</w:t>
      </w:r>
      <w:r w:rsidRPr="003C4051">
        <w:rPr>
          <w:szCs w:val="24"/>
        </w:rPr>
        <w:t>.</w:t>
      </w:r>
    </w:p>
    <w:p w14:paraId="2877586A" w14:textId="0A867E1B" w:rsidR="004E7A58" w:rsidRDefault="004E7A58" w:rsidP="004E7A58">
      <w:pPr>
        <w:jc w:val="both"/>
        <w:rPr>
          <w:szCs w:val="24"/>
        </w:rPr>
      </w:pPr>
      <w:r>
        <w:rPr>
          <w:szCs w:val="24"/>
        </w:rPr>
        <w:t xml:space="preserve">Nadrealizacja wskaźnika </w:t>
      </w:r>
      <w:r w:rsidRPr="000D34C2">
        <w:rPr>
          <w:i/>
          <w:szCs w:val="24"/>
        </w:rPr>
        <w:t>Liczba miejsc pracy sfinansowanych ze środków programu</w:t>
      </w:r>
      <w:r w:rsidRPr="00AE0B04">
        <w:rPr>
          <w:szCs w:val="24"/>
        </w:rPr>
        <w:t xml:space="preserve"> (pomocy technicznej)</w:t>
      </w:r>
      <w:r>
        <w:rPr>
          <w:szCs w:val="24"/>
        </w:rPr>
        <w:t xml:space="preserve"> nawet przy </w:t>
      </w:r>
      <w:r w:rsidR="00005EF5">
        <w:rPr>
          <w:szCs w:val="24"/>
        </w:rPr>
        <w:t xml:space="preserve">hipotetycznie </w:t>
      </w:r>
      <w:r>
        <w:rPr>
          <w:szCs w:val="24"/>
        </w:rPr>
        <w:t xml:space="preserve">minimalnym założeniu, że jedno miejsce pracy wymaga jednego komputera musiała wiązać się z nadrealizacją wskaźnika </w:t>
      </w:r>
      <w:r w:rsidRPr="000D34C2">
        <w:rPr>
          <w:i/>
          <w:szCs w:val="24"/>
        </w:rPr>
        <w:t>Liczba zakupionego sprzętu komputerowego</w:t>
      </w:r>
      <w:r>
        <w:rPr>
          <w:szCs w:val="24"/>
        </w:rPr>
        <w:t xml:space="preserve">, który posiadał taką samą wartość </w:t>
      </w:r>
      <w:r w:rsidR="000D34C2">
        <w:rPr>
          <w:szCs w:val="24"/>
        </w:rPr>
        <w:t>docelową, co</w:t>
      </w:r>
      <w:r>
        <w:rPr>
          <w:szCs w:val="24"/>
        </w:rPr>
        <w:t xml:space="preserve"> </w:t>
      </w:r>
      <w:r w:rsidR="000D34C2">
        <w:rPr>
          <w:szCs w:val="24"/>
        </w:rPr>
        <w:t xml:space="preserve">ww. </w:t>
      </w:r>
      <w:r>
        <w:rPr>
          <w:szCs w:val="24"/>
        </w:rPr>
        <w:t xml:space="preserve">wskaźnik </w:t>
      </w:r>
      <w:r w:rsidR="00771D5E">
        <w:rPr>
          <w:szCs w:val="24"/>
        </w:rPr>
        <w:t>wynosz</w:t>
      </w:r>
      <w:r w:rsidR="00005EF5">
        <w:rPr>
          <w:szCs w:val="24"/>
        </w:rPr>
        <w:t>ą</w:t>
      </w:r>
      <w:r w:rsidR="00771D5E">
        <w:rPr>
          <w:szCs w:val="24"/>
        </w:rPr>
        <w:t>cą</w:t>
      </w:r>
      <w:r>
        <w:rPr>
          <w:szCs w:val="24"/>
        </w:rPr>
        <w:t xml:space="preserve"> 250 sztuk.</w:t>
      </w:r>
      <w:r w:rsidR="00005EF5">
        <w:rPr>
          <w:szCs w:val="24"/>
        </w:rPr>
        <w:t xml:space="preserve"> Ostatecznie wskaźnik osiągnięty został na poziomie 291,20%.</w:t>
      </w:r>
    </w:p>
    <w:p w14:paraId="0587A54A" w14:textId="3E1C7976" w:rsidR="004E7A58" w:rsidRPr="001C2F6A" w:rsidRDefault="004E7A58" w:rsidP="004E7A58">
      <w:pPr>
        <w:jc w:val="both"/>
      </w:pPr>
      <w:r>
        <w:rPr>
          <w:szCs w:val="24"/>
        </w:rPr>
        <w:t xml:space="preserve">Na przekroczenie wartości docelowej wskaźników </w:t>
      </w:r>
      <w:r w:rsidRPr="000D34C2">
        <w:rPr>
          <w:i/>
          <w:szCs w:val="24"/>
        </w:rPr>
        <w:t>Liczba akcji informacyjnych i promujących program i Liczba publikacji promocyjnych i informacyjnych</w:t>
      </w:r>
      <w:r>
        <w:rPr>
          <w:szCs w:val="24"/>
        </w:rPr>
        <w:t xml:space="preserve"> wpływ miały liczne, powtarzalne działania informacyjno-promocyjne realizowane od</w:t>
      </w:r>
      <w:r w:rsidRPr="001532EF">
        <w:rPr>
          <w:szCs w:val="24"/>
        </w:rPr>
        <w:t xml:space="preserve"> </w:t>
      </w:r>
      <w:r>
        <w:rPr>
          <w:szCs w:val="24"/>
        </w:rPr>
        <w:t>2009 r</w:t>
      </w:r>
      <w:r w:rsidR="00E45AD5">
        <w:rPr>
          <w:szCs w:val="24"/>
        </w:rPr>
        <w:t>oku w ramach działania 10.2 – w </w:t>
      </w:r>
      <w:r>
        <w:rPr>
          <w:szCs w:val="24"/>
        </w:rPr>
        <w:t>przypadku pierwszego wskaźnika były to spotkania informacyjne z beneficjentami, a drugiego publikacje w prasie ogłoszeń o naborach wniosków o dofinansowanie.</w:t>
      </w:r>
    </w:p>
    <w:p w14:paraId="3FDCC600" w14:textId="1A2C8B8D" w:rsidR="004E7A58" w:rsidRPr="006D71C7" w:rsidRDefault="004E7A58" w:rsidP="004E7A58">
      <w:pPr>
        <w:jc w:val="both"/>
        <w:rPr>
          <w:szCs w:val="24"/>
        </w:rPr>
      </w:pPr>
      <w:r>
        <w:t>J</w:t>
      </w:r>
      <w:r w:rsidRPr="006D71C7">
        <w:t>edyn</w:t>
      </w:r>
      <w:r>
        <w:t>y wskaźnik</w:t>
      </w:r>
      <w:r w:rsidRPr="006D71C7">
        <w:t xml:space="preserve"> rezultatu priorytetu X </w:t>
      </w:r>
      <w:r w:rsidRPr="006D71C7">
        <w:rPr>
          <w:rFonts w:cs="Calibri"/>
          <w:i/>
        </w:rPr>
        <w:t>Liczba beneficjentów uczestniczących w szkoleniach, seminariach, konferencjach, spotkaniach informacyjnych nt. RPO</w:t>
      </w:r>
      <w:r>
        <w:rPr>
          <w:rFonts w:cs="Calibri"/>
        </w:rPr>
        <w:t>, pomimo</w:t>
      </w:r>
      <w:r w:rsidRPr="006D71C7">
        <w:rPr>
          <w:rFonts w:cs="Calibri"/>
        </w:rPr>
        <w:t xml:space="preserve"> </w:t>
      </w:r>
      <w:r>
        <w:rPr>
          <w:rFonts w:cs="Calibri"/>
        </w:rPr>
        <w:t xml:space="preserve">regularnego, corocznego </w:t>
      </w:r>
      <w:r>
        <w:rPr>
          <w:szCs w:val="24"/>
        </w:rPr>
        <w:t>przyrostu realizacji</w:t>
      </w:r>
      <w:r w:rsidR="00771D5E">
        <w:rPr>
          <w:szCs w:val="24"/>
        </w:rPr>
        <w:t>,</w:t>
      </w:r>
      <w:r>
        <w:rPr>
          <w:szCs w:val="24"/>
        </w:rPr>
        <w:t xml:space="preserve"> nie</w:t>
      </w:r>
      <w:r w:rsidR="00771D5E">
        <w:rPr>
          <w:szCs w:val="24"/>
        </w:rPr>
        <w:t xml:space="preserve"> został zrealizowany</w:t>
      </w:r>
      <w:r>
        <w:rPr>
          <w:szCs w:val="24"/>
        </w:rPr>
        <w:t xml:space="preserve"> osiągając 56,11% wartości docelowej. Postęp wskaźnika</w:t>
      </w:r>
      <w:r w:rsidR="00771D5E">
        <w:rPr>
          <w:szCs w:val="24"/>
        </w:rPr>
        <w:t>,</w:t>
      </w:r>
      <w:r>
        <w:rPr>
          <w:szCs w:val="24"/>
        </w:rPr>
        <w:t xml:space="preserve"> jak wspomniano powyże</w:t>
      </w:r>
      <w:r w:rsidR="00771D5E">
        <w:rPr>
          <w:szCs w:val="24"/>
        </w:rPr>
        <w:t>j,</w:t>
      </w:r>
      <w:r>
        <w:rPr>
          <w:szCs w:val="24"/>
        </w:rPr>
        <w:t xml:space="preserve"> miał charakter stały, jednak pomimo większych </w:t>
      </w:r>
      <w:r>
        <w:rPr>
          <w:szCs w:val="24"/>
        </w:rPr>
        <w:lastRenderedPageBreak/>
        <w:t xml:space="preserve">potrzeb szkoleniowych w początkowym okresie wdrażania Programu nie nastąpił wystarczający postęp skokowy w realizacji wskaźnika, a dodatkowym czynnikiem odpowiadającym za niezrealizowanie wskaźnika było późne rozpoczęcie realizowania wskaźnika, który w latach 2007 i 2008 posiadał zerowy poziom realizacji i dopiero w 2009 r. zanotował pierwszy przyrost. </w:t>
      </w:r>
    </w:p>
    <w:p w14:paraId="13A4B7BC" w14:textId="77777777" w:rsidR="004E7A58" w:rsidRDefault="004E7A58" w:rsidP="004E7A58">
      <w:pPr>
        <w:jc w:val="both"/>
      </w:pPr>
      <w:r>
        <w:t>Poniżej na wykresach zaprezentowano postęp realizacji wskaźników w czterech podziałach procentowych.</w:t>
      </w:r>
    </w:p>
    <w:p w14:paraId="19054131" w14:textId="77777777" w:rsidR="004E7A58" w:rsidRDefault="004E7A58" w:rsidP="004E7A58">
      <w:pPr>
        <w:jc w:val="both"/>
      </w:pPr>
      <w:r>
        <w:rPr>
          <w:noProof/>
        </w:rPr>
        <w:drawing>
          <wp:inline distT="0" distB="0" distL="0" distR="0" wp14:anchorId="738E15E3" wp14:editId="3F45123F">
            <wp:extent cx="5810250" cy="2743200"/>
            <wp:effectExtent l="0" t="0" r="0" b="0"/>
            <wp:docPr id="32"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3F30954B" w14:textId="0EAF13F6" w:rsidR="003A31E7" w:rsidRPr="00E45AD5" w:rsidRDefault="004D7598" w:rsidP="00E45AD5">
      <w:pPr>
        <w:pStyle w:val="Legenda"/>
        <w:rPr>
          <w:b w:val="0"/>
          <w:i/>
          <w:color w:val="auto"/>
          <w:sz w:val="20"/>
          <w:szCs w:val="20"/>
        </w:rPr>
      </w:pPr>
      <w:bookmarkStart w:id="571" w:name="_Toc386571490"/>
      <w:bookmarkStart w:id="572" w:name="_Toc476832981"/>
      <w:r w:rsidRPr="003A31E7">
        <w:rPr>
          <w:color w:val="auto"/>
        </w:rPr>
        <w:t xml:space="preserve">Rysunek </w:t>
      </w:r>
      <w:r w:rsidR="00A44293" w:rsidRPr="003A31E7">
        <w:rPr>
          <w:color w:val="auto"/>
        </w:rPr>
        <w:fldChar w:fldCharType="begin"/>
      </w:r>
      <w:r w:rsidR="00A44293" w:rsidRPr="003A31E7">
        <w:rPr>
          <w:color w:val="auto"/>
        </w:rPr>
        <w:instrText xml:space="preserve"> SEQ Rysunek \* ARABIC </w:instrText>
      </w:r>
      <w:r w:rsidR="00A44293" w:rsidRPr="003A31E7">
        <w:rPr>
          <w:color w:val="auto"/>
        </w:rPr>
        <w:fldChar w:fldCharType="separate"/>
      </w:r>
      <w:r w:rsidR="0050297D">
        <w:rPr>
          <w:noProof/>
          <w:color w:val="auto"/>
        </w:rPr>
        <w:t>63</w:t>
      </w:r>
      <w:r w:rsidR="00A44293" w:rsidRPr="003A31E7">
        <w:rPr>
          <w:noProof/>
          <w:color w:val="auto"/>
        </w:rPr>
        <w:fldChar w:fldCharType="end"/>
      </w:r>
      <w:r>
        <w:t xml:space="preserve"> </w:t>
      </w:r>
      <w:r w:rsidR="005D38A0">
        <w:rPr>
          <w:b w:val="0"/>
          <w:i/>
          <w:color w:val="auto"/>
          <w:sz w:val="20"/>
          <w:szCs w:val="20"/>
        </w:rPr>
        <w:t>Osiągnięty poziom wartości docelowej</w:t>
      </w:r>
      <w:r w:rsidR="004E7A58" w:rsidRPr="00BC2ECC">
        <w:rPr>
          <w:b w:val="0"/>
          <w:i/>
          <w:color w:val="auto"/>
          <w:sz w:val="20"/>
          <w:szCs w:val="20"/>
        </w:rPr>
        <w:t xml:space="preserve"> </w:t>
      </w:r>
      <w:r w:rsidR="004E7A58">
        <w:rPr>
          <w:b w:val="0"/>
          <w:i/>
          <w:color w:val="auto"/>
          <w:sz w:val="20"/>
          <w:szCs w:val="20"/>
        </w:rPr>
        <w:t>wskaźników w ramach priorytetu X</w:t>
      </w:r>
      <w:bookmarkEnd w:id="571"/>
      <w:bookmarkEnd w:id="572"/>
    </w:p>
    <w:p w14:paraId="62C2AE73" w14:textId="77777777" w:rsidR="00245F70" w:rsidRPr="000D4BE4" w:rsidRDefault="007F7C89" w:rsidP="004914D8">
      <w:pPr>
        <w:pStyle w:val="Akapitzlist"/>
        <w:numPr>
          <w:ilvl w:val="2"/>
          <w:numId w:val="50"/>
        </w:numPr>
        <w:jc w:val="both"/>
        <w:rPr>
          <w:b/>
          <w:bCs/>
          <w:szCs w:val="24"/>
        </w:rPr>
      </w:pPr>
      <w:bookmarkStart w:id="573" w:name="_Toc262032008"/>
      <w:bookmarkStart w:id="574" w:name="_Toc292789346"/>
      <w:bookmarkStart w:id="575" w:name="_Toc292793648"/>
      <w:bookmarkStart w:id="576" w:name="_Toc324853953"/>
      <w:bookmarkStart w:id="577" w:name="_Toc327259305"/>
      <w:bookmarkStart w:id="578" w:name="_Toc386571871"/>
      <w:bookmarkStart w:id="579" w:name="_Toc386572296"/>
      <w:bookmarkStart w:id="580" w:name="_Toc391466144"/>
      <w:bookmarkStart w:id="581" w:name="_Toc391466412"/>
      <w:bookmarkStart w:id="582" w:name="_Toc391466723"/>
      <w:bookmarkStart w:id="583" w:name="_Toc419180308"/>
      <w:bookmarkStart w:id="584" w:name="_Toc423351826"/>
      <w:bookmarkEnd w:id="561"/>
      <w:bookmarkEnd w:id="562"/>
      <w:bookmarkEnd w:id="563"/>
      <w:r w:rsidRPr="000D4BE4">
        <w:rPr>
          <w:b/>
          <w:bCs/>
          <w:szCs w:val="24"/>
        </w:rPr>
        <w:t>OPIS ISTOTNYCH PROBLEMÓW WE WDRAŻANIU WRAZ Z PODJĘTYMI ŚRODKAMI ZARADCZYMI</w:t>
      </w:r>
      <w:bookmarkEnd w:id="573"/>
      <w:bookmarkEnd w:id="574"/>
      <w:bookmarkEnd w:id="575"/>
      <w:bookmarkEnd w:id="576"/>
      <w:bookmarkEnd w:id="577"/>
      <w:bookmarkEnd w:id="578"/>
      <w:bookmarkEnd w:id="579"/>
      <w:bookmarkEnd w:id="580"/>
      <w:bookmarkEnd w:id="581"/>
      <w:bookmarkEnd w:id="582"/>
      <w:bookmarkEnd w:id="583"/>
      <w:bookmarkEnd w:id="584"/>
    </w:p>
    <w:p w14:paraId="07269FC3" w14:textId="77777777" w:rsidR="000D4BE4" w:rsidRPr="000D4BE4" w:rsidRDefault="000D4BE4" w:rsidP="000D4BE4">
      <w:pPr>
        <w:jc w:val="both"/>
        <w:rPr>
          <w:szCs w:val="24"/>
        </w:rPr>
      </w:pPr>
      <w:bookmarkStart w:id="585" w:name="_Toc423351827"/>
      <w:bookmarkStart w:id="586" w:name="_Toc262032010"/>
      <w:bookmarkStart w:id="587" w:name="_Toc292789347"/>
      <w:bookmarkStart w:id="588" w:name="_Toc292793649"/>
      <w:r w:rsidRPr="000D4BE4">
        <w:rPr>
          <w:szCs w:val="24"/>
        </w:rPr>
        <w:t>W całym okresie wdrażania priorytetu nie pojawiły się żadne problemy, sytuacje zakłócające bądź opóźniające realizację przedmiotowego priorytetu</w:t>
      </w:r>
    </w:p>
    <w:p w14:paraId="04F0AD85" w14:textId="77777777" w:rsidR="00245F70" w:rsidRPr="0094320D" w:rsidRDefault="00A80D21" w:rsidP="0021401A">
      <w:pPr>
        <w:pStyle w:val="Nagwek1"/>
        <w:numPr>
          <w:ilvl w:val="0"/>
          <w:numId w:val="36"/>
        </w:numPr>
        <w:tabs>
          <w:tab w:val="left" w:pos="426"/>
          <w:tab w:val="left" w:pos="709"/>
        </w:tabs>
        <w:spacing w:before="240" w:after="120"/>
        <w:jc w:val="both"/>
        <w:rPr>
          <w:szCs w:val="24"/>
        </w:rPr>
      </w:pPr>
      <w:bookmarkStart w:id="589" w:name="_Toc477779788"/>
      <w:r w:rsidRPr="0094320D">
        <w:rPr>
          <w:spacing w:val="-3"/>
          <w:szCs w:val="24"/>
        </w:rPr>
        <w:t xml:space="preserve">PROGRAMY WSPÓŁFINANSOWANE Z </w:t>
      </w:r>
      <w:r w:rsidR="0005410E" w:rsidRPr="0094320D">
        <w:rPr>
          <w:spacing w:val="1"/>
          <w:szCs w:val="24"/>
        </w:rPr>
        <w:t>E</w:t>
      </w:r>
      <w:r w:rsidR="0005410E" w:rsidRPr="0094320D">
        <w:rPr>
          <w:spacing w:val="-3"/>
          <w:szCs w:val="24"/>
        </w:rPr>
        <w:t>F</w:t>
      </w:r>
      <w:r w:rsidR="0005410E" w:rsidRPr="0094320D">
        <w:rPr>
          <w:szCs w:val="24"/>
        </w:rPr>
        <w:t>S</w:t>
      </w:r>
      <w:r w:rsidR="0005410E" w:rsidRPr="0094320D">
        <w:rPr>
          <w:spacing w:val="1"/>
          <w:szCs w:val="24"/>
        </w:rPr>
        <w:t xml:space="preserve"> </w:t>
      </w:r>
      <w:r w:rsidR="0005410E" w:rsidRPr="0094320D">
        <w:rPr>
          <w:szCs w:val="24"/>
        </w:rPr>
        <w:t xml:space="preserve">– </w:t>
      </w:r>
      <w:r w:rsidR="00963621" w:rsidRPr="0094320D">
        <w:rPr>
          <w:szCs w:val="24"/>
        </w:rPr>
        <w:t>SPÓJNOŚĆ I </w:t>
      </w:r>
      <w:r w:rsidRPr="0094320D">
        <w:rPr>
          <w:szCs w:val="24"/>
        </w:rPr>
        <w:t>KONCENTRACJA WSPARCIA</w:t>
      </w:r>
      <w:bookmarkEnd w:id="585"/>
      <w:bookmarkEnd w:id="589"/>
      <w:r w:rsidRPr="0094320D">
        <w:rPr>
          <w:szCs w:val="24"/>
        </w:rPr>
        <w:t xml:space="preserve"> </w:t>
      </w:r>
      <w:bookmarkEnd w:id="586"/>
      <w:bookmarkEnd w:id="587"/>
      <w:bookmarkEnd w:id="588"/>
    </w:p>
    <w:p w14:paraId="203D83F0" w14:textId="77777777" w:rsidR="0005410E" w:rsidRPr="0094320D" w:rsidRDefault="0005410E" w:rsidP="0094320D">
      <w:pPr>
        <w:widowControl w:val="0"/>
        <w:autoSpaceDE w:val="0"/>
        <w:autoSpaceDN w:val="0"/>
        <w:adjustRightInd w:val="0"/>
        <w:spacing w:after="0"/>
        <w:ind w:left="118" w:right="86"/>
        <w:jc w:val="both"/>
        <w:rPr>
          <w:szCs w:val="24"/>
        </w:rPr>
      </w:pPr>
      <w:r w:rsidRPr="0094320D">
        <w:rPr>
          <w:szCs w:val="24"/>
        </w:rPr>
        <w:t>Nie dotyczy</w:t>
      </w:r>
    </w:p>
    <w:p w14:paraId="72FB3FA3" w14:textId="77777777" w:rsidR="00245F70" w:rsidRDefault="007338BD" w:rsidP="0021401A">
      <w:pPr>
        <w:pStyle w:val="Nagwek1"/>
        <w:numPr>
          <w:ilvl w:val="0"/>
          <w:numId w:val="36"/>
        </w:numPr>
        <w:tabs>
          <w:tab w:val="left" w:pos="426"/>
          <w:tab w:val="left" w:pos="709"/>
        </w:tabs>
        <w:spacing w:before="240" w:after="120"/>
        <w:ind w:hanging="458"/>
        <w:jc w:val="both"/>
        <w:rPr>
          <w:szCs w:val="24"/>
        </w:rPr>
      </w:pPr>
      <w:bookmarkStart w:id="590" w:name="_Toc262032011"/>
      <w:bookmarkStart w:id="591" w:name="_Toc292789348"/>
      <w:bookmarkStart w:id="592" w:name="_Toc292793650"/>
      <w:bookmarkStart w:id="593" w:name="_Toc423351828"/>
      <w:bookmarkStart w:id="594" w:name="_Toc477779789"/>
      <w:r w:rsidRPr="0094320D">
        <w:rPr>
          <w:spacing w:val="-3"/>
          <w:szCs w:val="24"/>
        </w:rPr>
        <w:t>EFRR</w:t>
      </w:r>
      <w:r w:rsidR="0005410E" w:rsidRPr="0094320D">
        <w:rPr>
          <w:spacing w:val="3"/>
          <w:szCs w:val="24"/>
        </w:rPr>
        <w:t>/</w:t>
      </w:r>
      <w:r w:rsidR="0005410E" w:rsidRPr="0094320D">
        <w:rPr>
          <w:spacing w:val="-3"/>
          <w:szCs w:val="24"/>
        </w:rPr>
        <w:t>F</w:t>
      </w:r>
      <w:r w:rsidR="0005410E" w:rsidRPr="0094320D">
        <w:rPr>
          <w:szCs w:val="24"/>
        </w:rPr>
        <w:t xml:space="preserve">S – </w:t>
      </w:r>
      <w:bookmarkEnd w:id="590"/>
      <w:bookmarkEnd w:id="591"/>
      <w:bookmarkEnd w:id="592"/>
      <w:r w:rsidR="00A80D21" w:rsidRPr="0094320D">
        <w:rPr>
          <w:szCs w:val="24"/>
        </w:rPr>
        <w:t>DUŻE PROJEKTY</w:t>
      </w:r>
      <w:bookmarkEnd w:id="593"/>
      <w:bookmarkEnd w:id="594"/>
    </w:p>
    <w:p w14:paraId="43E08681" w14:textId="698E160F" w:rsidR="00332565" w:rsidRDefault="00263C92" w:rsidP="00332565">
      <w:pPr>
        <w:jc w:val="both"/>
        <w:rPr>
          <w:rFonts w:ascii="Arial" w:hAnsi="Arial" w:cs="Arial"/>
          <w:sz w:val="21"/>
          <w:szCs w:val="21"/>
        </w:rPr>
      </w:pPr>
      <w:r>
        <w:t>W ramach RPO WSL</w:t>
      </w:r>
      <w:r w:rsidR="004C366E">
        <w:t xml:space="preserve"> 2007 -2013 zaplanowano realizację czterech dużych projektów, jednak w związku z niedotrzymaniem terminu rzeczowego rozpoczęcia realizacji projektu </w:t>
      </w:r>
      <w:r w:rsidR="004C366E">
        <w:rPr>
          <w:i/>
          <w:iCs/>
        </w:rPr>
        <w:t>Budowa nowoczesnej hali widowiskowo-sportowej Podium,</w:t>
      </w:r>
      <w:r w:rsidR="004C366E">
        <w:rPr>
          <w:b/>
          <w:bCs/>
        </w:rPr>
        <w:t xml:space="preserve"> </w:t>
      </w:r>
      <w:r w:rsidR="004C366E">
        <w:t>Zarząd Województwa Śląskiego, Uchwałą nr 3625/219/IV/2012 z dnia 21 grudnia 2012 r. podjął decyzję o rozwiązaniu przedmiotowej umowy na podstawie § 21 ust. 1 pkt. 1 umowy nr UDA-RPSL.06.01.00-00-002/09-</w:t>
      </w:r>
      <w:r w:rsidR="00332565">
        <w:t>00 o dofinansowanie projektu.</w:t>
      </w:r>
      <w:r w:rsidR="004C366E">
        <w:t xml:space="preserve"> </w:t>
      </w:r>
      <w:r w:rsidR="00332565" w:rsidRPr="00332565">
        <w:rPr>
          <w:szCs w:val="24"/>
        </w:rPr>
        <w:t xml:space="preserve">Rozwiązanie umowy o dofinansowanie projektu było rozpatrywane w aspekcie niezachowania przez beneficjenta terminu rozpoczęcia realizacji projektu. Dalsze </w:t>
      </w:r>
      <w:r w:rsidR="00332565" w:rsidRPr="00332565">
        <w:rPr>
          <w:color w:val="000000"/>
          <w:szCs w:val="24"/>
        </w:rPr>
        <w:t>opóźnienie w rozpoczęciu</w:t>
      </w:r>
      <w:r w:rsidR="00332565" w:rsidRPr="00332565">
        <w:rPr>
          <w:szCs w:val="24"/>
        </w:rPr>
        <w:t xml:space="preserve"> realizacji inwestycji w konsekwencji mogło wywołać skutki polegające na uniemożliwieniu  zakończenia inwestycji w perspektywie finansowej 2007-2013. </w:t>
      </w:r>
      <w:r w:rsidR="00332565" w:rsidRPr="00332565">
        <w:rPr>
          <w:szCs w:val="24"/>
        </w:rPr>
        <w:lastRenderedPageBreak/>
        <w:t xml:space="preserve">Zamrożenie środków przeznaczonych </w:t>
      </w:r>
      <w:r w:rsidR="006476B3">
        <w:rPr>
          <w:szCs w:val="24"/>
        </w:rPr>
        <w:t>na realizację</w:t>
      </w:r>
      <w:r w:rsidR="00332565" w:rsidRPr="00332565">
        <w:rPr>
          <w:szCs w:val="24"/>
        </w:rPr>
        <w:t xml:space="preserve"> projektu do czasu bliżej nieokreślonego wiązało </w:t>
      </w:r>
      <w:r w:rsidR="006476B3">
        <w:rPr>
          <w:szCs w:val="24"/>
        </w:rPr>
        <w:t>się z oczywistym ryzykiem a</w:t>
      </w:r>
      <w:r w:rsidR="00332565" w:rsidRPr="00332565">
        <w:rPr>
          <w:szCs w:val="24"/>
        </w:rPr>
        <w:t xml:space="preserve"> IZ RPO WSL nie byłaby w stanie zagospodarować tych środków na realizację innych projektów i Województwo Śląskie utraciłoby </w:t>
      </w:r>
      <w:r w:rsidR="006476B3" w:rsidRPr="00332565">
        <w:rPr>
          <w:szCs w:val="24"/>
        </w:rPr>
        <w:t>bezpowrotne środki</w:t>
      </w:r>
      <w:r w:rsidR="00332565" w:rsidRPr="00332565">
        <w:rPr>
          <w:szCs w:val="24"/>
        </w:rPr>
        <w:t xml:space="preserve"> finansowe. Mając na uwadze zagrożenie niezrealizowania całego programu operacyjnego, rezygnacja z realizacji projektu na ówczesnym etapie wdrażania programu dawała możliwość ponownego zagospodarowania środków oraz ich rozliczenia w </w:t>
      </w:r>
      <w:r w:rsidR="006476B3" w:rsidRPr="00332565">
        <w:rPr>
          <w:szCs w:val="24"/>
        </w:rPr>
        <w:t>innych projektach</w:t>
      </w:r>
      <w:r w:rsidR="00332565" w:rsidRPr="00332565">
        <w:rPr>
          <w:szCs w:val="24"/>
        </w:rPr>
        <w:t>.</w:t>
      </w:r>
      <w:r w:rsidR="00332565">
        <w:rPr>
          <w:rFonts w:ascii="Arial" w:hAnsi="Arial" w:cs="Arial"/>
          <w:sz w:val="21"/>
          <w:szCs w:val="21"/>
        </w:rPr>
        <w:t xml:space="preserve"> </w:t>
      </w:r>
    </w:p>
    <w:p w14:paraId="40257B6F" w14:textId="2220DE7A" w:rsidR="004C366E" w:rsidRDefault="004C366E" w:rsidP="004C366E">
      <w:pPr>
        <w:jc w:val="both"/>
      </w:pPr>
      <w:r>
        <w:t>W związku z powyższym ostatecznie zrealizowane zostały trzy duże projekty w ramach dwóch priorytetów.</w:t>
      </w:r>
      <w:r w:rsidR="0012105D">
        <w:t xml:space="preserve"> Poniższe projekty są ukończone i użytkowane oraz zostały zrealizowane zgodnie z decyzjami KE.</w:t>
      </w:r>
    </w:p>
    <w:p w14:paraId="14F9F36E" w14:textId="60EBE879" w:rsidR="004C366E" w:rsidRPr="00263C92" w:rsidRDefault="004C366E" w:rsidP="004C366E">
      <w:pPr>
        <w:jc w:val="both"/>
      </w:pPr>
      <w:r>
        <w:t>Szczegółowe informacje dot. poszczególnych projektów została przedstawiona poniżej.</w:t>
      </w:r>
    </w:p>
    <w:p w14:paraId="3CA1171B" w14:textId="39294FC5" w:rsidR="00263C92" w:rsidRDefault="00263C92" w:rsidP="00263C92">
      <w:pPr>
        <w:rPr>
          <w:b/>
          <w:szCs w:val="24"/>
        </w:rPr>
      </w:pPr>
      <w:r w:rsidRPr="00250EF5">
        <w:rPr>
          <w:b/>
          <w:szCs w:val="24"/>
        </w:rPr>
        <w:t>BUDOWA NOWEJ SIEDZIBY MUZEUM ŚLĄSKIEGO W KATOWICACH</w:t>
      </w:r>
    </w:p>
    <w:p w14:paraId="6520DFF0" w14:textId="7F90826F" w:rsidR="00E45AD5" w:rsidRPr="00250EF5" w:rsidRDefault="00E45AD5" w:rsidP="00E45AD5">
      <w:pPr>
        <w:jc w:val="center"/>
        <w:rPr>
          <w:szCs w:val="24"/>
        </w:rPr>
      </w:pPr>
      <w:r>
        <w:rPr>
          <w:noProof/>
        </w:rPr>
        <w:drawing>
          <wp:inline distT="0" distB="0" distL="0" distR="0" wp14:anchorId="65E8C752" wp14:editId="68F0D5B7">
            <wp:extent cx="5759450" cy="4459460"/>
            <wp:effectExtent l="152400" t="152400" r="355600" b="360680"/>
            <wp:docPr id="39" name="Obraz 39"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dobny obraz"/>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59450" cy="4459460"/>
                    </a:xfrm>
                    <a:prstGeom prst="rect">
                      <a:avLst/>
                    </a:prstGeom>
                    <a:ln>
                      <a:noFill/>
                    </a:ln>
                    <a:effectLst>
                      <a:outerShdw blurRad="292100" dist="139700" dir="2700000" algn="tl" rotWithShape="0">
                        <a:srgbClr val="333333">
                          <a:alpha val="65000"/>
                        </a:srgbClr>
                      </a:outerShdw>
                    </a:effectLst>
                  </pic:spPr>
                </pic:pic>
              </a:graphicData>
            </a:graphic>
          </wp:inline>
        </w:drawing>
      </w:r>
    </w:p>
    <w:p w14:paraId="0B003BEE" w14:textId="77777777" w:rsidR="00263C92" w:rsidRPr="00D90934" w:rsidRDefault="00263C92" w:rsidP="00263C92">
      <w:pPr>
        <w:pStyle w:val="NormalnyWeb"/>
        <w:shd w:val="clear" w:color="auto" w:fill="FFFFFF"/>
        <w:spacing w:after="0"/>
        <w:jc w:val="both"/>
      </w:pPr>
      <w:r w:rsidRPr="00D90934">
        <w:rPr>
          <w:b/>
        </w:rPr>
        <w:t xml:space="preserve">Beneficjent: </w:t>
      </w:r>
      <w:r w:rsidRPr="00D90934">
        <w:t>Muzeum Śląskie w Katowicach</w:t>
      </w:r>
    </w:p>
    <w:p w14:paraId="2307DA20" w14:textId="77777777" w:rsidR="00263C92" w:rsidRPr="00D90934" w:rsidRDefault="00263C92" w:rsidP="00263C92">
      <w:pPr>
        <w:spacing w:after="0"/>
        <w:jc w:val="both"/>
        <w:outlineLvl w:val="1"/>
        <w:rPr>
          <w:b/>
          <w:szCs w:val="24"/>
        </w:rPr>
      </w:pPr>
      <w:bookmarkStart w:id="595" w:name="_Toc324786899"/>
      <w:bookmarkStart w:id="596" w:name="_Toc324853960"/>
      <w:bookmarkStart w:id="597" w:name="_Toc327259312"/>
      <w:bookmarkStart w:id="598" w:name="_Toc354998161"/>
      <w:bookmarkStart w:id="599" w:name="_Toc355688621"/>
      <w:bookmarkStart w:id="600" w:name="_Toc386571874"/>
      <w:bookmarkStart w:id="601" w:name="_Toc386572299"/>
      <w:bookmarkStart w:id="602" w:name="_Toc391466147"/>
      <w:bookmarkStart w:id="603" w:name="_Toc391466726"/>
      <w:bookmarkStart w:id="604" w:name="_Toc419180311"/>
      <w:bookmarkStart w:id="605" w:name="_Toc423351829"/>
      <w:bookmarkStart w:id="606" w:name="_Toc473117350"/>
      <w:bookmarkStart w:id="607" w:name="_Toc477779790"/>
      <w:r w:rsidRPr="00D90934">
        <w:rPr>
          <w:b/>
          <w:szCs w:val="24"/>
        </w:rPr>
        <w:t>Priorytet/działanie:</w:t>
      </w:r>
      <w:r w:rsidRPr="00D90934">
        <w:rPr>
          <w:i/>
          <w:szCs w:val="24"/>
        </w:rPr>
        <w:t xml:space="preserve"> </w:t>
      </w:r>
      <w:r w:rsidRPr="00D90934">
        <w:rPr>
          <w:szCs w:val="24"/>
        </w:rPr>
        <w:t xml:space="preserve">VI </w:t>
      </w:r>
      <w:r w:rsidRPr="00D90934">
        <w:rPr>
          <w:i/>
          <w:szCs w:val="24"/>
        </w:rPr>
        <w:t>Zrównoważony rozwój miast</w:t>
      </w:r>
      <w:r w:rsidRPr="00D90934">
        <w:rPr>
          <w:szCs w:val="24"/>
        </w:rPr>
        <w:t xml:space="preserve">/ 6.1 </w:t>
      </w:r>
      <w:r w:rsidRPr="00D90934">
        <w:rPr>
          <w:i/>
          <w:szCs w:val="24"/>
        </w:rPr>
        <w:t>Wzmacnianie regionalnych ośrodków wzrostu</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7F47CE18" w14:textId="695CDAED" w:rsidR="00263C92" w:rsidRPr="005D7B93" w:rsidRDefault="00263C92" w:rsidP="00263C92">
      <w:pPr>
        <w:spacing w:after="0"/>
        <w:jc w:val="both"/>
        <w:outlineLvl w:val="1"/>
        <w:rPr>
          <w:b/>
          <w:color w:val="FF0000"/>
          <w:szCs w:val="24"/>
        </w:rPr>
      </w:pPr>
      <w:bookmarkStart w:id="608" w:name="_Toc324786900"/>
      <w:bookmarkStart w:id="609" w:name="_Toc324853961"/>
      <w:bookmarkStart w:id="610" w:name="_Toc327259313"/>
      <w:bookmarkStart w:id="611" w:name="_Toc354998162"/>
      <w:bookmarkStart w:id="612" w:name="_Toc355688622"/>
      <w:bookmarkStart w:id="613" w:name="_Toc386571875"/>
      <w:bookmarkStart w:id="614" w:name="_Toc386572300"/>
      <w:bookmarkStart w:id="615" w:name="_Toc391466148"/>
      <w:bookmarkStart w:id="616" w:name="_Toc391466727"/>
      <w:bookmarkStart w:id="617" w:name="_Toc419180312"/>
      <w:bookmarkStart w:id="618" w:name="_Toc423351830"/>
      <w:bookmarkStart w:id="619" w:name="_Toc473117351"/>
      <w:bookmarkStart w:id="620" w:name="_Toc477779791"/>
      <w:r w:rsidRPr="00D90934">
        <w:rPr>
          <w:b/>
          <w:szCs w:val="24"/>
        </w:rPr>
        <w:t>Całkowita wartość projektu:</w:t>
      </w:r>
      <w:r w:rsidRPr="00D90934">
        <w:rPr>
          <w:szCs w:val="24"/>
        </w:rPr>
        <w:t xml:space="preserve"> </w:t>
      </w:r>
      <w:bookmarkEnd w:id="608"/>
      <w:bookmarkEnd w:id="609"/>
      <w:bookmarkEnd w:id="610"/>
      <w:bookmarkEnd w:id="611"/>
      <w:bookmarkEnd w:id="612"/>
      <w:bookmarkEnd w:id="613"/>
      <w:bookmarkEnd w:id="614"/>
      <w:bookmarkEnd w:id="615"/>
      <w:bookmarkEnd w:id="616"/>
      <w:bookmarkEnd w:id="617"/>
      <w:bookmarkEnd w:id="618"/>
      <w:r w:rsidR="0028395A">
        <w:rPr>
          <w:color w:val="000000" w:themeColor="text1"/>
        </w:rPr>
        <w:t>59,20 mln EUR</w:t>
      </w:r>
      <w:bookmarkEnd w:id="619"/>
      <w:bookmarkEnd w:id="620"/>
    </w:p>
    <w:p w14:paraId="00BA7212" w14:textId="1DD1EC6D" w:rsidR="00263C92" w:rsidRPr="005D7B93" w:rsidRDefault="00263C92" w:rsidP="00263C92">
      <w:pPr>
        <w:spacing w:after="0"/>
        <w:jc w:val="both"/>
        <w:outlineLvl w:val="1"/>
        <w:rPr>
          <w:color w:val="000000" w:themeColor="text1"/>
          <w:szCs w:val="24"/>
        </w:rPr>
      </w:pPr>
      <w:bookmarkStart w:id="621" w:name="_Toc324786901"/>
      <w:bookmarkStart w:id="622" w:name="_Toc324853962"/>
      <w:bookmarkStart w:id="623" w:name="_Toc327259314"/>
      <w:bookmarkStart w:id="624" w:name="_Toc354998163"/>
      <w:bookmarkStart w:id="625" w:name="_Toc355688623"/>
      <w:bookmarkStart w:id="626" w:name="_Toc386571876"/>
      <w:bookmarkStart w:id="627" w:name="_Toc386572301"/>
      <w:bookmarkStart w:id="628" w:name="_Toc391466149"/>
      <w:bookmarkStart w:id="629" w:name="_Toc391466728"/>
      <w:bookmarkStart w:id="630" w:name="_Toc419180313"/>
      <w:bookmarkStart w:id="631" w:name="_Toc423351831"/>
      <w:bookmarkStart w:id="632" w:name="_Toc473117352"/>
      <w:bookmarkStart w:id="633" w:name="_Toc477779792"/>
      <w:r w:rsidRPr="00D90934">
        <w:rPr>
          <w:b/>
          <w:szCs w:val="24"/>
        </w:rPr>
        <w:t>Kwota dofinansowania</w:t>
      </w:r>
      <w:r>
        <w:rPr>
          <w:b/>
          <w:szCs w:val="24"/>
        </w:rPr>
        <w:t xml:space="preserve"> z umowy o dofinansowanie</w:t>
      </w:r>
      <w:r w:rsidRPr="00D90934">
        <w:rPr>
          <w:b/>
          <w:szCs w:val="24"/>
        </w:rPr>
        <w:t xml:space="preserve">: </w:t>
      </w:r>
      <w:bookmarkEnd w:id="621"/>
      <w:bookmarkEnd w:id="622"/>
      <w:bookmarkEnd w:id="623"/>
      <w:bookmarkEnd w:id="624"/>
      <w:bookmarkEnd w:id="625"/>
      <w:bookmarkEnd w:id="626"/>
      <w:bookmarkEnd w:id="627"/>
      <w:bookmarkEnd w:id="628"/>
      <w:bookmarkEnd w:id="629"/>
      <w:bookmarkEnd w:id="630"/>
      <w:bookmarkEnd w:id="631"/>
      <w:r w:rsidR="0028395A">
        <w:t>51,07 mln EUR</w:t>
      </w:r>
      <w:bookmarkEnd w:id="632"/>
      <w:bookmarkEnd w:id="633"/>
    </w:p>
    <w:p w14:paraId="0EF3DA57" w14:textId="77777777" w:rsidR="0028395A" w:rsidRDefault="00263C92" w:rsidP="00263C92">
      <w:pPr>
        <w:spacing w:after="0"/>
        <w:jc w:val="both"/>
        <w:outlineLvl w:val="1"/>
        <w:rPr>
          <w:color w:val="000000" w:themeColor="text1"/>
          <w:szCs w:val="24"/>
        </w:rPr>
      </w:pPr>
      <w:bookmarkStart w:id="634" w:name="_Toc473117353"/>
      <w:bookmarkStart w:id="635" w:name="_Toc477779793"/>
      <w:r w:rsidRPr="005D7B93">
        <w:rPr>
          <w:b/>
          <w:color w:val="000000" w:themeColor="text1"/>
          <w:szCs w:val="24"/>
        </w:rPr>
        <w:lastRenderedPageBreak/>
        <w:t>Kwota dofinansowania po wypłacie płatności końcowej:</w:t>
      </w:r>
      <w:r w:rsidRPr="005D7B93">
        <w:rPr>
          <w:color w:val="000000" w:themeColor="text1"/>
          <w:szCs w:val="24"/>
        </w:rPr>
        <w:t xml:space="preserve"> </w:t>
      </w:r>
      <w:r w:rsidR="0028395A">
        <w:rPr>
          <w:color w:val="000000" w:themeColor="text1"/>
          <w:szCs w:val="24"/>
        </w:rPr>
        <w:t>40,37 mln EUR</w:t>
      </w:r>
      <w:bookmarkStart w:id="636" w:name="_Toc324786902"/>
      <w:bookmarkStart w:id="637" w:name="_Toc324853963"/>
      <w:bookmarkStart w:id="638" w:name="_Toc327259315"/>
      <w:bookmarkStart w:id="639" w:name="_Toc354998164"/>
      <w:bookmarkStart w:id="640" w:name="_Toc355688624"/>
      <w:bookmarkStart w:id="641" w:name="_Toc386571877"/>
      <w:bookmarkStart w:id="642" w:name="_Toc386572302"/>
      <w:bookmarkStart w:id="643" w:name="_Toc391466150"/>
      <w:bookmarkStart w:id="644" w:name="_Toc391466729"/>
      <w:bookmarkStart w:id="645" w:name="_Toc419180314"/>
      <w:bookmarkStart w:id="646" w:name="_Toc423351832"/>
      <w:bookmarkEnd w:id="634"/>
      <w:bookmarkEnd w:id="635"/>
    </w:p>
    <w:p w14:paraId="01BE1F74" w14:textId="3C0BE86A" w:rsidR="00263C92" w:rsidRPr="00D90934" w:rsidRDefault="00263C92" w:rsidP="00263C92">
      <w:pPr>
        <w:spacing w:after="0"/>
        <w:jc w:val="both"/>
        <w:outlineLvl w:val="1"/>
        <w:rPr>
          <w:szCs w:val="24"/>
        </w:rPr>
      </w:pPr>
      <w:bookmarkStart w:id="647" w:name="_Toc473117354"/>
      <w:bookmarkStart w:id="648" w:name="_Toc477779794"/>
      <w:r>
        <w:rPr>
          <w:b/>
          <w:szCs w:val="24"/>
        </w:rPr>
        <w:t>O</w:t>
      </w:r>
      <w:r w:rsidRPr="00D90934">
        <w:rPr>
          <w:b/>
          <w:szCs w:val="24"/>
        </w:rPr>
        <w:t xml:space="preserve">kres realizacji: </w:t>
      </w:r>
      <w:r w:rsidRPr="00D90934">
        <w:rPr>
          <w:szCs w:val="24"/>
        </w:rPr>
        <w:t>2007-201</w:t>
      </w:r>
      <w:bookmarkEnd w:id="636"/>
      <w:bookmarkEnd w:id="637"/>
      <w:bookmarkEnd w:id="638"/>
      <w:bookmarkEnd w:id="639"/>
      <w:bookmarkEnd w:id="640"/>
      <w:bookmarkEnd w:id="641"/>
      <w:bookmarkEnd w:id="642"/>
      <w:bookmarkEnd w:id="643"/>
      <w:bookmarkEnd w:id="644"/>
      <w:bookmarkEnd w:id="645"/>
      <w:bookmarkEnd w:id="646"/>
      <w:r>
        <w:rPr>
          <w:szCs w:val="24"/>
        </w:rPr>
        <w:t>5</w:t>
      </w:r>
      <w:bookmarkEnd w:id="647"/>
      <w:bookmarkEnd w:id="648"/>
    </w:p>
    <w:p w14:paraId="75C9641D" w14:textId="2B31BA6D" w:rsidR="00263C92" w:rsidRPr="00D90934" w:rsidRDefault="00263C92" w:rsidP="00263C92">
      <w:pPr>
        <w:pStyle w:val="NormalnyWeb"/>
        <w:spacing w:after="120"/>
        <w:jc w:val="both"/>
      </w:pPr>
      <w:r w:rsidRPr="00D90934">
        <w:rPr>
          <w:b/>
        </w:rPr>
        <w:t>Opis projektu</w:t>
      </w:r>
      <w:r w:rsidRPr="00D90934">
        <w:t xml:space="preserve">: Projekt </w:t>
      </w:r>
      <w:r w:rsidR="0028395A">
        <w:t>miał</w:t>
      </w:r>
      <w:r w:rsidRPr="00D90934">
        <w:t xml:space="preserve"> na celu zachowanie dla przyszłych pokoleń dziedzictwa kulturowego oraz wzrost atrakcyjności turystycznej regionu. Ważnym elementem na drodze do</w:t>
      </w:r>
      <w:r w:rsidR="00E45AD5">
        <w:t> </w:t>
      </w:r>
      <w:r w:rsidRPr="00D90934">
        <w:t>poprawy zdolności adaptacyjnych mieszkańców do zmian społecznych i gospodarczych jest tożsamość m. in. regional</w:t>
      </w:r>
      <w:r w:rsidR="0028395A">
        <w:t>na, stąd w ramach działania były</w:t>
      </w:r>
      <w:r w:rsidRPr="00D90934">
        <w:t xml:space="preserve"> wspierane inicjatywy z zakresu pielęgnowania istniejącego dziedzictwa kulturowego i tradycji, historii, osiągnięć kulturalnych, lokalnych obyczajów i języka. Zmiany w tym obszarze pozwolą na wykreowanie nowoczesnego społeczeństwa, otwartego i kreatywnego - przyczyniając się do wzrostu wartości zasobów ludzkich. </w:t>
      </w:r>
    </w:p>
    <w:p w14:paraId="4A12B339" w14:textId="77777777" w:rsidR="00263C92" w:rsidRPr="00D90934" w:rsidRDefault="00263C92" w:rsidP="00263C92">
      <w:pPr>
        <w:pStyle w:val="NormalnyWeb"/>
        <w:spacing w:after="0"/>
        <w:jc w:val="both"/>
      </w:pPr>
      <w:r w:rsidRPr="00D90934">
        <w:rPr>
          <w:b/>
        </w:rPr>
        <w:t>Zaawansowanie prac:</w:t>
      </w:r>
      <w:r w:rsidRPr="00D90934">
        <w:t xml:space="preserve"> </w:t>
      </w:r>
    </w:p>
    <w:p w14:paraId="4A725C43" w14:textId="77777777" w:rsidR="00263C92" w:rsidRPr="00D90934" w:rsidRDefault="00263C92" w:rsidP="004914D8">
      <w:pPr>
        <w:pStyle w:val="NormalnyWeb"/>
        <w:numPr>
          <w:ilvl w:val="0"/>
          <w:numId w:val="63"/>
        </w:numPr>
        <w:spacing w:after="0"/>
        <w:jc w:val="both"/>
      </w:pPr>
      <w:r w:rsidRPr="00D90934">
        <w:t>5 maja 2010r. projekt został przekazany do KE,</w:t>
      </w:r>
    </w:p>
    <w:p w14:paraId="204A45EA" w14:textId="2FACFBC2" w:rsidR="00263C92" w:rsidRPr="00D90934" w:rsidRDefault="00263C92" w:rsidP="004914D8">
      <w:pPr>
        <w:pStyle w:val="NormalnyWeb"/>
        <w:numPr>
          <w:ilvl w:val="0"/>
          <w:numId w:val="63"/>
        </w:numPr>
        <w:spacing w:after="0"/>
        <w:jc w:val="both"/>
      </w:pPr>
      <w:r w:rsidRPr="00D90934">
        <w:t>13 sierpnia 2010r. IZ RPO WSL podpisała war</w:t>
      </w:r>
      <w:r w:rsidR="00E45AD5">
        <w:t>unkową umowę o dofinansowanie z </w:t>
      </w:r>
      <w:r w:rsidRPr="00D90934">
        <w:t>beneficjentem,</w:t>
      </w:r>
    </w:p>
    <w:p w14:paraId="5C68F819" w14:textId="77777777" w:rsidR="00263C92" w:rsidRPr="00D90934" w:rsidRDefault="00263C92" w:rsidP="004914D8">
      <w:pPr>
        <w:pStyle w:val="NormalnyWeb"/>
        <w:numPr>
          <w:ilvl w:val="0"/>
          <w:numId w:val="63"/>
        </w:numPr>
        <w:spacing w:after="0"/>
        <w:jc w:val="both"/>
      </w:pPr>
      <w:r w:rsidRPr="00D90934">
        <w:t>25 maja 2011r. KE wydała pozytywną decyzję ws. dofinansowania projektu,</w:t>
      </w:r>
    </w:p>
    <w:p w14:paraId="4202CBF8" w14:textId="77777777" w:rsidR="00263C92" w:rsidRPr="00D90934" w:rsidRDefault="00263C92" w:rsidP="004914D8">
      <w:pPr>
        <w:pStyle w:val="NormalnyWeb"/>
        <w:numPr>
          <w:ilvl w:val="0"/>
          <w:numId w:val="63"/>
        </w:numPr>
        <w:spacing w:after="0"/>
        <w:jc w:val="both"/>
      </w:pPr>
      <w:r w:rsidRPr="00D90934">
        <w:t xml:space="preserve">wrzesień 2010r. podpisano umowę na pełnienie funkcji inżyniera kontraktu, </w:t>
      </w:r>
    </w:p>
    <w:p w14:paraId="0057D0B9" w14:textId="77777777" w:rsidR="00263C92" w:rsidRPr="00D90934" w:rsidRDefault="00263C92" w:rsidP="004914D8">
      <w:pPr>
        <w:pStyle w:val="NormalnyWeb"/>
        <w:numPr>
          <w:ilvl w:val="0"/>
          <w:numId w:val="63"/>
        </w:numPr>
        <w:spacing w:after="0"/>
        <w:jc w:val="both"/>
      </w:pPr>
      <w:r w:rsidRPr="00D90934">
        <w:t xml:space="preserve">kwiecień 2010 r. rozpoczęcie przetargu na głównego wykonawcę robót, </w:t>
      </w:r>
    </w:p>
    <w:p w14:paraId="43EF04B3" w14:textId="77777777" w:rsidR="00263C92" w:rsidRPr="00D90934" w:rsidRDefault="00263C92" w:rsidP="004914D8">
      <w:pPr>
        <w:pStyle w:val="NormalnyWeb"/>
        <w:numPr>
          <w:ilvl w:val="0"/>
          <w:numId w:val="63"/>
        </w:numPr>
        <w:spacing w:after="0"/>
        <w:jc w:val="both"/>
      </w:pPr>
      <w:r w:rsidRPr="00D90934">
        <w:t>luty 2011r. została przeprowadzona kontrola uprzednia Prezesa Urzędu Zamówień Publicznych powyższego zamówienia, nie stwierdzono naruszeń.</w:t>
      </w:r>
    </w:p>
    <w:p w14:paraId="43942969" w14:textId="77777777" w:rsidR="00263C92" w:rsidRPr="00D90934" w:rsidRDefault="00263C92" w:rsidP="004914D8">
      <w:pPr>
        <w:pStyle w:val="NormalnyWeb"/>
        <w:numPr>
          <w:ilvl w:val="0"/>
          <w:numId w:val="63"/>
        </w:numPr>
        <w:spacing w:after="0"/>
        <w:jc w:val="both"/>
      </w:pPr>
      <w:r w:rsidRPr="00D90934">
        <w:t>w dniach 10-11 maja 2011r. została przeprowadzona kontrola w trakcie realizacji projektu przez IZ RPO WSL, mająca na celu ocenę zgodności wykorzystania środków finansowych z zakresem określonym w umowie o dofinansowanie, kontrola stwierdziła istotne uchybienia mające skutek finansowy,</w:t>
      </w:r>
    </w:p>
    <w:p w14:paraId="260575F7" w14:textId="77777777" w:rsidR="00263C92" w:rsidRPr="00D90934" w:rsidRDefault="00263C92" w:rsidP="004914D8">
      <w:pPr>
        <w:pStyle w:val="NormalnyWeb"/>
        <w:numPr>
          <w:ilvl w:val="0"/>
          <w:numId w:val="63"/>
        </w:numPr>
        <w:spacing w:after="0"/>
        <w:jc w:val="both"/>
      </w:pPr>
      <w:r w:rsidRPr="00D90934">
        <w:t xml:space="preserve">7 czerwca 2011r. podpisano umowę z głównym wykonawcą, </w:t>
      </w:r>
    </w:p>
    <w:p w14:paraId="3A8B4FE2" w14:textId="77777777" w:rsidR="00263C92" w:rsidRPr="00D90934" w:rsidRDefault="00263C92" w:rsidP="004914D8">
      <w:pPr>
        <w:pStyle w:val="NormalnyWeb"/>
        <w:numPr>
          <w:ilvl w:val="0"/>
          <w:numId w:val="63"/>
        </w:numPr>
        <w:spacing w:after="0"/>
        <w:jc w:val="both"/>
      </w:pPr>
      <w:r w:rsidRPr="00D90934">
        <w:t>w okresie od 31.05.2011 do 28.07.2011r. Urząd Kontroli Skarbowej przeprowadził audyt w zakresie gospodarowania środkami pochodzącymi z budżetu UE w ramach RPO WSL, w wyniku którego zostały przedstawione informacje o nieprawidłowościach w realizacji projektu. W związku z powyższym w dniach od 7 do 9 września 2011r. IZ RPO WSL przeprowadziła kontrolę doraźną mającą na celu weryfikację stwierdzonych przez UKS nieprawidłowości. W informacji pokontrolnej opisano uchybienia skutkujące korektą finansową, powodującą obniżenie dofinansowania,</w:t>
      </w:r>
    </w:p>
    <w:p w14:paraId="0D847210" w14:textId="77777777" w:rsidR="00263C92" w:rsidRPr="00D90934" w:rsidRDefault="00263C92" w:rsidP="004914D8">
      <w:pPr>
        <w:pStyle w:val="NormalnyWeb"/>
        <w:numPr>
          <w:ilvl w:val="0"/>
          <w:numId w:val="63"/>
        </w:numPr>
        <w:spacing w:after="0"/>
        <w:jc w:val="both"/>
      </w:pPr>
      <w:r w:rsidRPr="00D90934">
        <w:t>w dniu 20 sierpnia 2012r. IZ RPO WSL przeprowadziła kontrolę doraźną projektu. Kontrola obejmowała swoim zakresem prawidłowość przeprowadzenia zamówienia na pełnienie funkcji Inżyniera Kontraktu dla robót przygotowawczych związanych z budową nowej siedziby Muzeum Śląskiego. W wyniku kontroli została nałożona korekta finansowa w wysokości 5%,</w:t>
      </w:r>
    </w:p>
    <w:p w14:paraId="2D1884F0" w14:textId="77777777" w:rsidR="00263C92" w:rsidRDefault="00263C92" w:rsidP="004914D8">
      <w:pPr>
        <w:pStyle w:val="NormalnyWeb"/>
        <w:numPr>
          <w:ilvl w:val="0"/>
          <w:numId w:val="63"/>
        </w:numPr>
        <w:spacing w:after="0"/>
        <w:jc w:val="both"/>
      </w:pPr>
      <w:r w:rsidRPr="00D90934">
        <w:t>1 sierpnia 2013 r. IZ RPO WSL przeprowadziła kontrolę doraźną projektu, która obejmowała weryfikację zamówienia publicznego na wykonanie projektu oraz dokumentacji wykonawczej systemu informacji wizualnej nowej siedziby Muzeum Śląskiego. Kontrola nie wykryła naruszeń w przedmiotowym przetargu.</w:t>
      </w:r>
    </w:p>
    <w:p w14:paraId="20B0BCB6" w14:textId="77777777" w:rsidR="00263C92" w:rsidRPr="005D7B93" w:rsidRDefault="00263C92" w:rsidP="004914D8">
      <w:pPr>
        <w:pStyle w:val="NormalnyWeb"/>
        <w:numPr>
          <w:ilvl w:val="0"/>
          <w:numId w:val="63"/>
        </w:numPr>
        <w:spacing w:after="0"/>
        <w:jc w:val="both"/>
        <w:rPr>
          <w:color w:val="000000" w:themeColor="text1"/>
        </w:rPr>
      </w:pPr>
      <w:r w:rsidRPr="005D7B93">
        <w:rPr>
          <w:color w:val="000000" w:themeColor="text1"/>
        </w:rPr>
        <w:t xml:space="preserve">5 marca 2015 r. IZ RPO WSL przeprowadziła kontrolę doraźną dot. oceny prawidłowości przeprowadzenia postępowań o udzielenie zamówienia publicznego na </w:t>
      </w:r>
      <w:r w:rsidRPr="005D7B93">
        <w:rPr>
          <w:color w:val="000000" w:themeColor="text1"/>
        </w:rPr>
        <w:lastRenderedPageBreak/>
        <w:t xml:space="preserve">wykonanie wystawy stałej </w:t>
      </w:r>
      <w:r w:rsidRPr="005D7B93">
        <w:rPr>
          <w:bCs/>
          <w:i/>
          <w:color w:val="000000" w:themeColor="text1"/>
        </w:rPr>
        <w:t>Historii Górnego Śląska w nowej siedzibie Muzeum Śląskiego w Katowicach</w:t>
      </w:r>
      <w:r w:rsidRPr="005D7B93">
        <w:rPr>
          <w:color w:val="000000" w:themeColor="text1"/>
        </w:rPr>
        <w:t>. W wyniku kontroli nie stwierdzono zastrzeżeń.</w:t>
      </w:r>
    </w:p>
    <w:p w14:paraId="37445D92" w14:textId="77777777" w:rsidR="00263C92" w:rsidRPr="005D7B93" w:rsidRDefault="00263C92" w:rsidP="004914D8">
      <w:pPr>
        <w:pStyle w:val="NormalnyWeb"/>
        <w:numPr>
          <w:ilvl w:val="0"/>
          <w:numId w:val="63"/>
        </w:numPr>
        <w:spacing w:after="0"/>
        <w:jc w:val="both"/>
        <w:rPr>
          <w:color w:val="000000" w:themeColor="text1"/>
        </w:rPr>
      </w:pPr>
      <w:r w:rsidRPr="005D7B93">
        <w:rPr>
          <w:color w:val="000000" w:themeColor="text1"/>
        </w:rPr>
        <w:t>11 kwietnia 2015 r. IZ RPO WSL przeprowadziła kontrolę doraźną w zakresie zgodności podmiotowej i przedmiotowej postępowań w zakresie zamówień publicznych (ogłoszenia, tryb, SIWZ) z wnioskiem o dofinansowanie, wnioskiem o płatność, umową/decyzją o dofinansowanie projektu oraz przepisami prawa krajowego i wspólnotowego. W wyniku powyższej kontroli wydatek dotyczący zakupu notebooka został uznany za koszt niekwalifikowany.</w:t>
      </w:r>
    </w:p>
    <w:p w14:paraId="54C68081" w14:textId="3382B097" w:rsidR="00263C92" w:rsidRPr="005D7B93" w:rsidRDefault="00263C92" w:rsidP="004914D8">
      <w:pPr>
        <w:pStyle w:val="NormalnyWeb"/>
        <w:numPr>
          <w:ilvl w:val="0"/>
          <w:numId w:val="63"/>
        </w:numPr>
        <w:spacing w:after="0"/>
        <w:jc w:val="both"/>
        <w:rPr>
          <w:color w:val="000000" w:themeColor="text1"/>
        </w:rPr>
      </w:pPr>
      <w:r w:rsidRPr="005D7B93">
        <w:rPr>
          <w:color w:val="000000" w:themeColor="text1"/>
        </w:rPr>
        <w:t xml:space="preserve">29 maja 2015 r. IZ RPO WSL przeprowadziła kontrolę doraźną, której przedmiotem była ocena prawidłowości przeprowadzenia postępowania o udzielenie zamówienia publicznego nr MŚ-ZP-JK-333-10/14 pn. Wykonanie i montaż systemu informacji wizualnej wraz z infrastrukturą towarzyszącą w nowej siedzibie Muzeum Śląskiego </w:t>
      </w:r>
      <w:r w:rsidR="00E45AD5">
        <w:rPr>
          <w:color w:val="000000" w:themeColor="text1"/>
        </w:rPr>
        <w:t>w </w:t>
      </w:r>
      <w:r w:rsidRPr="005D7B93">
        <w:rPr>
          <w:color w:val="000000" w:themeColor="text1"/>
        </w:rPr>
        <w:t>Katowicach. W wyniku kontroli nie stwierdzono zastrzeżeń.</w:t>
      </w:r>
    </w:p>
    <w:p w14:paraId="5E3CC63A" w14:textId="77777777" w:rsidR="00263C92" w:rsidRPr="005D7B93" w:rsidRDefault="00263C92" w:rsidP="004914D8">
      <w:pPr>
        <w:pStyle w:val="NormalnyWeb"/>
        <w:numPr>
          <w:ilvl w:val="0"/>
          <w:numId w:val="63"/>
        </w:numPr>
        <w:spacing w:after="0"/>
        <w:jc w:val="both"/>
        <w:rPr>
          <w:color w:val="000000" w:themeColor="text1"/>
        </w:rPr>
      </w:pPr>
      <w:r w:rsidRPr="005D7B93">
        <w:rPr>
          <w:color w:val="000000" w:themeColor="text1"/>
        </w:rPr>
        <w:t>10 listopada 2015 r. została podpisana umowa dotacji celowej pomiędzy Zarządem Województwa Śląskiego a Beneficjentem w zakresie korekt finansowych nałożonych w związku z wystąpieniem w ramach postępowań o udzielenie zamówienia publicznego naruszeń wynikających z niedostosowania polskiego prawa do dyrektyw Unii Europejskiej w obszarze zamówień publicznych.</w:t>
      </w:r>
    </w:p>
    <w:p w14:paraId="5C8D9874" w14:textId="77777777" w:rsidR="00263C92" w:rsidRPr="005D7B93" w:rsidRDefault="00263C92" w:rsidP="004914D8">
      <w:pPr>
        <w:pStyle w:val="NormalnyWeb"/>
        <w:numPr>
          <w:ilvl w:val="0"/>
          <w:numId w:val="63"/>
        </w:numPr>
        <w:spacing w:after="0"/>
        <w:jc w:val="both"/>
        <w:rPr>
          <w:i/>
          <w:color w:val="000000" w:themeColor="text1"/>
        </w:rPr>
      </w:pPr>
      <w:r w:rsidRPr="005D7B93">
        <w:rPr>
          <w:color w:val="000000" w:themeColor="text1"/>
        </w:rPr>
        <w:t>17 listopada 2015 r. IZ RPO WSL przeprowadziła kontrolę doraźną dot. oceny prawidłowości przeprowadzenia pięciu postępowań o udzielenie zamówienia publicznego. Zespół kontrolujący nie stwierdził uchybień w ramach powyższej kontroli.</w:t>
      </w:r>
    </w:p>
    <w:p w14:paraId="3F1E7DDF" w14:textId="77777777" w:rsidR="00263C92" w:rsidRPr="005D7B93" w:rsidRDefault="00263C92" w:rsidP="004914D8">
      <w:pPr>
        <w:pStyle w:val="NormalnyWeb"/>
        <w:numPr>
          <w:ilvl w:val="0"/>
          <w:numId w:val="63"/>
        </w:numPr>
        <w:spacing w:after="0"/>
        <w:jc w:val="both"/>
        <w:rPr>
          <w:i/>
          <w:color w:val="000000" w:themeColor="text1"/>
        </w:rPr>
      </w:pPr>
      <w:r w:rsidRPr="005D7B93">
        <w:rPr>
          <w:color w:val="000000" w:themeColor="text1"/>
        </w:rPr>
        <w:t>18 listopada 2015 r. IZ RPO WSL przeprowadziła kontrolę doraźną, której przedmiotem była ocena prawidłowości przeprowadzenia siedmiu postępowań o udzielenie zamówień publicznych. W wyniku kontroli nie stwierdzono zastrzeżeń.</w:t>
      </w:r>
    </w:p>
    <w:p w14:paraId="0FCFA4CA" w14:textId="08BD66E4" w:rsidR="00263C92" w:rsidRPr="005D7B93" w:rsidRDefault="00263C92" w:rsidP="004914D8">
      <w:pPr>
        <w:pStyle w:val="NormalnyWeb"/>
        <w:numPr>
          <w:ilvl w:val="0"/>
          <w:numId w:val="63"/>
        </w:numPr>
        <w:spacing w:after="120"/>
        <w:ind w:left="714" w:hanging="357"/>
        <w:jc w:val="both"/>
        <w:rPr>
          <w:color w:val="000000" w:themeColor="text1"/>
        </w:rPr>
      </w:pPr>
      <w:r w:rsidRPr="005D7B93">
        <w:rPr>
          <w:color w:val="000000" w:themeColor="text1"/>
        </w:rPr>
        <w:t>W dniach od 7 stycznia 2016 r. do 14 stycznia 2016 r. IZ RPO WSL przeprowadziła kontrolę na zakończenie realizacji projektu obejmującą weryfikację: zgodności podmiotowej i przedmiotowej postępowań w zakresie zamówień publicznych (ogłoszenia, tryb, SIWZ) z wnioskiem o dofinansowanie, wnioskiem o płatność, umową/decyzją o dofinansowanie projektu or</w:t>
      </w:r>
      <w:r w:rsidR="00E45AD5">
        <w:rPr>
          <w:color w:val="000000" w:themeColor="text1"/>
        </w:rPr>
        <w:t>az przepisami prawa krajowego i </w:t>
      </w:r>
      <w:r w:rsidRPr="005D7B93">
        <w:rPr>
          <w:color w:val="000000" w:themeColor="text1"/>
        </w:rPr>
        <w:t>wspólnotowego; zgodności realizacji r</w:t>
      </w:r>
      <w:r w:rsidR="00E45AD5">
        <w:rPr>
          <w:color w:val="000000" w:themeColor="text1"/>
        </w:rPr>
        <w:t>zeczowej projektu z wnioskiem o </w:t>
      </w:r>
      <w:r w:rsidRPr="005D7B93">
        <w:rPr>
          <w:color w:val="000000" w:themeColor="text1"/>
        </w:rPr>
        <w:t>dofinansowanie, wnioskiem o płatność i umową/decyzją o dofinansowanie projektu (umowy z wykonawcami/ dostawcami, osiągnięcie celu projektu, wskaźniki), oględziny efektu rzeczowego powstałego w wyniku realizacji projektu; realizacji finansowej projektu - prawidłowość wykorzystania środków finansowych RPO WSL 2007 – 2013; zgodności realizacji projektu z politykami wspólnotowymi; realizacja przez beneficjenta obowiązków informacyjnych i promocyjnych. W wyniku powyższej kontroli zespół kontrolujący nie wniósł uwag.</w:t>
      </w:r>
    </w:p>
    <w:p w14:paraId="2BF18584" w14:textId="77777777" w:rsidR="00263C92" w:rsidRPr="005D7B93" w:rsidRDefault="00263C92" w:rsidP="004914D8">
      <w:pPr>
        <w:pStyle w:val="NormalnyWeb"/>
        <w:numPr>
          <w:ilvl w:val="0"/>
          <w:numId w:val="63"/>
        </w:numPr>
        <w:spacing w:after="120"/>
        <w:ind w:left="714" w:hanging="357"/>
        <w:jc w:val="both"/>
        <w:rPr>
          <w:color w:val="000000" w:themeColor="text1"/>
        </w:rPr>
      </w:pPr>
      <w:r w:rsidRPr="005D7B93">
        <w:rPr>
          <w:color w:val="000000" w:themeColor="text1"/>
        </w:rPr>
        <w:t>16 grudnia 2016 r. została podpisana umowa dotacji celowej pomiędzy Zarządem Województwa Śląskiego a Beneficjentem w zakresie korekt finansowych nałożonych w związku z wystąpieniem w ramach postępowań o udzielenie zamówienia publicznego naruszeń wynikających z niedostosowania polskiego prawa do dyrektyw Unii Europejskiej w obszarze zamówień publicznych.</w:t>
      </w:r>
    </w:p>
    <w:p w14:paraId="6B9BF244" w14:textId="77777777" w:rsidR="00263C92" w:rsidRPr="005D7B93" w:rsidRDefault="00263C92" w:rsidP="004914D8">
      <w:pPr>
        <w:pStyle w:val="NormalnyWeb"/>
        <w:numPr>
          <w:ilvl w:val="0"/>
          <w:numId w:val="63"/>
        </w:numPr>
        <w:spacing w:after="0"/>
        <w:jc w:val="both"/>
        <w:rPr>
          <w:i/>
          <w:color w:val="000000" w:themeColor="text1"/>
        </w:rPr>
      </w:pPr>
      <w:r w:rsidRPr="005D7B93">
        <w:rPr>
          <w:color w:val="000000" w:themeColor="text1"/>
        </w:rPr>
        <w:lastRenderedPageBreak/>
        <w:t>Zakończenie rzeczowe projektu nastąpiło 30 września 2015 r., natomiast finansowe zakończenie 14 października 2015 r.</w:t>
      </w:r>
    </w:p>
    <w:p w14:paraId="58AA0852" w14:textId="77777777" w:rsidR="00263C92" w:rsidRPr="005D7B93" w:rsidRDefault="00263C92" w:rsidP="00263C92">
      <w:pPr>
        <w:pStyle w:val="Tekstpodstawowy2"/>
        <w:tabs>
          <w:tab w:val="left" w:pos="284"/>
        </w:tabs>
        <w:spacing w:line="276" w:lineRule="auto"/>
        <w:ind w:left="360"/>
        <w:jc w:val="both"/>
        <w:rPr>
          <w:color w:val="000000" w:themeColor="text1"/>
          <w:szCs w:val="24"/>
        </w:rPr>
      </w:pPr>
    </w:p>
    <w:p w14:paraId="14CC548B" w14:textId="24D4A13C" w:rsidR="00E45AD5" w:rsidRDefault="006476B3" w:rsidP="006476B3">
      <w:pPr>
        <w:spacing w:after="120"/>
        <w:jc w:val="both"/>
        <w:rPr>
          <w:b/>
        </w:rPr>
      </w:pPr>
      <w:r w:rsidRPr="006476B3">
        <w:rPr>
          <w:b/>
        </w:rPr>
        <w:t>Napotkane problemy w realizacji projektu oraz podjęte środki zaradcze</w:t>
      </w:r>
      <w:r>
        <w:rPr>
          <w:b/>
        </w:rPr>
        <w:t>:</w:t>
      </w:r>
    </w:p>
    <w:p w14:paraId="2B80AE4E" w14:textId="5EB3F21F" w:rsidR="006476B3" w:rsidRPr="006476B3" w:rsidRDefault="006476B3" w:rsidP="006476B3">
      <w:pPr>
        <w:spacing w:after="0"/>
        <w:jc w:val="both"/>
      </w:pPr>
      <w:r w:rsidRPr="006476B3">
        <w:t xml:space="preserve">W trakcie realizacji projektu </w:t>
      </w:r>
      <w:r>
        <w:t>nie pojawiły się znaczące problemy wpływające na realizację projektu.</w:t>
      </w:r>
    </w:p>
    <w:p w14:paraId="7DF6F6B4" w14:textId="77777777" w:rsidR="006476B3" w:rsidRDefault="006476B3">
      <w:pPr>
        <w:spacing w:after="0" w:line="240" w:lineRule="auto"/>
        <w:rPr>
          <w:b/>
          <w:szCs w:val="24"/>
        </w:rPr>
      </w:pPr>
    </w:p>
    <w:p w14:paraId="0E0E281B" w14:textId="7A43C43D" w:rsidR="00263C92" w:rsidRDefault="00263C92" w:rsidP="00263C92">
      <w:pPr>
        <w:pStyle w:val="NormalnyWeb"/>
        <w:shd w:val="clear" w:color="auto" w:fill="FFFFFF"/>
        <w:spacing w:after="0"/>
        <w:jc w:val="both"/>
        <w:rPr>
          <w:b/>
        </w:rPr>
      </w:pPr>
      <w:r w:rsidRPr="00250EF5">
        <w:rPr>
          <w:b/>
        </w:rPr>
        <w:t>MIĘDZYNARODOWE CENTRUM KONGRESOWE W KATOWICACH</w:t>
      </w:r>
    </w:p>
    <w:p w14:paraId="2818C4CF" w14:textId="5687DDAC" w:rsidR="00E45AD5" w:rsidRPr="00250EF5" w:rsidRDefault="00E45AD5" w:rsidP="00E45AD5">
      <w:pPr>
        <w:pStyle w:val="NormalnyWeb"/>
        <w:shd w:val="clear" w:color="auto" w:fill="FFFFFF"/>
        <w:spacing w:after="0"/>
        <w:jc w:val="center"/>
        <w:rPr>
          <w:b/>
        </w:rPr>
      </w:pPr>
      <w:r>
        <w:rPr>
          <w:noProof/>
        </w:rPr>
        <w:drawing>
          <wp:inline distT="0" distB="0" distL="0" distR="0" wp14:anchorId="5A9EB8E1" wp14:editId="689736FA">
            <wp:extent cx="5759239" cy="2571750"/>
            <wp:effectExtent l="152400" t="152400" r="356235" b="361950"/>
            <wp:docPr id="37" name="Obraz 37" descr="Znalezione obrazy dla zapytania MI&amp;Eogon;DZYNARODOWE CENTRUM KONGRESOWE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nalezione obrazy dla zapytania MI&amp;Eogon;DZYNARODOWE CENTRUM KONGRESOWE W KATOWICACH"/>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3690" cy="2573738"/>
                    </a:xfrm>
                    <a:prstGeom prst="rect">
                      <a:avLst/>
                    </a:prstGeom>
                    <a:ln>
                      <a:noFill/>
                    </a:ln>
                    <a:effectLst>
                      <a:outerShdw blurRad="292100" dist="139700" dir="2700000" algn="tl" rotWithShape="0">
                        <a:srgbClr val="333333">
                          <a:alpha val="65000"/>
                        </a:srgbClr>
                      </a:outerShdw>
                    </a:effectLst>
                  </pic:spPr>
                </pic:pic>
              </a:graphicData>
            </a:graphic>
          </wp:inline>
        </w:drawing>
      </w:r>
    </w:p>
    <w:p w14:paraId="4015B9BC" w14:textId="77777777" w:rsidR="00263C92" w:rsidRPr="00D90934" w:rsidRDefault="00263C92" w:rsidP="00263C92">
      <w:pPr>
        <w:pStyle w:val="NormalnyWeb"/>
        <w:shd w:val="clear" w:color="auto" w:fill="FFFFFF"/>
        <w:spacing w:after="0"/>
        <w:jc w:val="both"/>
      </w:pPr>
      <w:r w:rsidRPr="00D90934">
        <w:rPr>
          <w:b/>
        </w:rPr>
        <w:t xml:space="preserve">Beneficjent: </w:t>
      </w:r>
      <w:r w:rsidRPr="00D90934">
        <w:t>Miasto Katowice</w:t>
      </w:r>
    </w:p>
    <w:p w14:paraId="1C834ACC" w14:textId="77777777" w:rsidR="00263C92" w:rsidRPr="00D90934" w:rsidRDefault="00263C92" w:rsidP="00263C92">
      <w:pPr>
        <w:spacing w:after="0"/>
        <w:jc w:val="both"/>
        <w:outlineLvl w:val="1"/>
        <w:rPr>
          <w:b/>
          <w:szCs w:val="24"/>
        </w:rPr>
      </w:pPr>
      <w:bookmarkStart w:id="649" w:name="_Toc324786903"/>
      <w:bookmarkStart w:id="650" w:name="_Toc324853964"/>
      <w:bookmarkStart w:id="651" w:name="_Toc327259316"/>
      <w:bookmarkStart w:id="652" w:name="_Toc354998165"/>
      <w:bookmarkStart w:id="653" w:name="_Toc355688625"/>
      <w:bookmarkStart w:id="654" w:name="_Toc386571879"/>
      <w:bookmarkStart w:id="655" w:name="_Toc386572304"/>
      <w:bookmarkStart w:id="656" w:name="_Toc391466152"/>
      <w:bookmarkStart w:id="657" w:name="_Toc391466731"/>
      <w:bookmarkStart w:id="658" w:name="_Toc419180316"/>
      <w:bookmarkStart w:id="659" w:name="_Toc423351834"/>
      <w:bookmarkStart w:id="660" w:name="_Toc473117355"/>
      <w:bookmarkStart w:id="661" w:name="_Toc477779795"/>
      <w:r w:rsidRPr="00D90934">
        <w:rPr>
          <w:b/>
          <w:szCs w:val="24"/>
        </w:rPr>
        <w:t>Priorytet/działanie:</w:t>
      </w:r>
      <w:r w:rsidRPr="00D90934">
        <w:rPr>
          <w:i/>
          <w:szCs w:val="24"/>
        </w:rPr>
        <w:t xml:space="preserve"> </w:t>
      </w:r>
      <w:r w:rsidRPr="00D90934">
        <w:rPr>
          <w:szCs w:val="24"/>
        </w:rPr>
        <w:t xml:space="preserve">VI </w:t>
      </w:r>
      <w:r w:rsidRPr="00D90934">
        <w:rPr>
          <w:i/>
          <w:szCs w:val="24"/>
        </w:rPr>
        <w:t>Zrównoważony rozwój miast</w:t>
      </w:r>
      <w:r w:rsidRPr="00D90934">
        <w:rPr>
          <w:szCs w:val="24"/>
        </w:rPr>
        <w:t xml:space="preserve">/ 6.1 </w:t>
      </w:r>
      <w:r w:rsidRPr="00D90934">
        <w:rPr>
          <w:i/>
          <w:szCs w:val="24"/>
        </w:rPr>
        <w:t>Wzmacnianie regionalnych ośrodków wzrostu</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73D9445B" w14:textId="62F0A38C" w:rsidR="00263C92" w:rsidRPr="005D7B93" w:rsidRDefault="00263C92" w:rsidP="00263C92">
      <w:pPr>
        <w:spacing w:after="0"/>
        <w:jc w:val="both"/>
        <w:outlineLvl w:val="1"/>
        <w:rPr>
          <w:color w:val="000000" w:themeColor="text1"/>
          <w:szCs w:val="24"/>
        </w:rPr>
      </w:pPr>
      <w:bookmarkStart w:id="662" w:name="_Toc324786904"/>
      <w:bookmarkStart w:id="663" w:name="_Toc324853965"/>
      <w:bookmarkStart w:id="664" w:name="_Toc327259317"/>
      <w:bookmarkStart w:id="665" w:name="_Toc354998166"/>
      <w:bookmarkStart w:id="666" w:name="_Toc355688626"/>
      <w:bookmarkStart w:id="667" w:name="_Toc386571880"/>
      <w:bookmarkStart w:id="668" w:name="_Toc386572305"/>
      <w:bookmarkStart w:id="669" w:name="_Toc391466153"/>
      <w:bookmarkStart w:id="670" w:name="_Toc391466732"/>
      <w:bookmarkStart w:id="671" w:name="_Toc419180317"/>
      <w:bookmarkStart w:id="672" w:name="_Toc423351835"/>
      <w:bookmarkStart w:id="673" w:name="_Toc473117356"/>
      <w:bookmarkStart w:id="674" w:name="_Toc477779796"/>
      <w:r w:rsidRPr="00D90934">
        <w:rPr>
          <w:b/>
          <w:szCs w:val="24"/>
        </w:rPr>
        <w:t>Całkowita wartość projektu:</w:t>
      </w:r>
      <w:r w:rsidRPr="00D90934">
        <w:rPr>
          <w:szCs w:val="24"/>
        </w:rPr>
        <w:t xml:space="preserve"> </w:t>
      </w:r>
      <w:bookmarkEnd w:id="662"/>
      <w:bookmarkEnd w:id="663"/>
      <w:bookmarkEnd w:id="664"/>
      <w:bookmarkEnd w:id="665"/>
      <w:bookmarkEnd w:id="666"/>
      <w:bookmarkEnd w:id="667"/>
      <w:bookmarkEnd w:id="668"/>
      <w:bookmarkEnd w:id="669"/>
      <w:bookmarkEnd w:id="670"/>
      <w:bookmarkEnd w:id="671"/>
      <w:bookmarkEnd w:id="672"/>
      <w:r w:rsidR="0028395A">
        <w:rPr>
          <w:color w:val="000000" w:themeColor="text1"/>
        </w:rPr>
        <w:t>85,60 mln EUR</w:t>
      </w:r>
      <w:bookmarkEnd w:id="673"/>
      <w:bookmarkEnd w:id="674"/>
    </w:p>
    <w:p w14:paraId="71204580" w14:textId="7446F49F" w:rsidR="00263C92" w:rsidRDefault="00263C92" w:rsidP="00263C92">
      <w:pPr>
        <w:spacing w:after="0"/>
        <w:jc w:val="both"/>
        <w:outlineLvl w:val="1"/>
        <w:rPr>
          <w:szCs w:val="24"/>
        </w:rPr>
      </w:pPr>
      <w:bookmarkStart w:id="675" w:name="_Toc324786905"/>
      <w:bookmarkStart w:id="676" w:name="_Toc324853966"/>
      <w:bookmarkStart w:id="677" w:name="_Toc327259318"/>
      <w:bookmarkStart w:id="678" w:name="_Toc354998167"/>
      <w:bookmarkStart w:id="679" w:name="_Toc355688627"/>
      <w:bookmarkStart w:id="680" w:name="_Toc386571881"/>
      <w:bookmarkStart w:id="681" w:name="_Toc386572306"/>
      <w:bookmarkStart w:id="682" w:name="_Toc391466154"/>
      <w:bookmarkStart w:id="683" w:name="_Toc391466733"/>
      <w:bookmarkStart w:id="684" w:name="_Toc419180318"/>
      <w:bookmarkStart w:id="685" w:name="_Toc423351836"/>
      <w:bookmarkStart w:id="686" w:name="_Toc473117357"/>
      <w:bookmarkStart w:id="687" w:name="_Toc477779797"/>
      <w:r w:rsidRPr="00D90934">
        <w:rPr>
          <w:b/>
          <w:szCs w:val="24"/>
        </w:rPr>
        <w:t>Kwota dofinansowania</w:t>
      </w:r>
      <w:r>
        <w:rPr>
          <w:b/>
          <w:szCs w:val="24"/>
        </w:rPr>
        <w:t xml:space="preserve"> z umowy o dofinansowanie</w:t>
      </w:r>
      <w:r w:rsidRPr="00D90934">
        <w:rPr>
          <w:b/>
          <w:szCs w:val="24"/>
        </w:rPr>
        <w:t xml:space="preserve">: </w:t>
      </w:r>
      <w:bookmarkEnd w:id="675"/>
      <w:bookmarkEnd w:id="676"/>
      <w:bookmarkEnd w:id="677"/>
      <w:bookmarkEnd w:id="678"/>
      <w:bookmarkEnd w:id="679"/>
      <w:bookmarkEnd w:id="680"/>
      <w:bookmarkEnd w:id="681"/>
      <w:bookmarkEnd w:id="682"/>
      <w:bookmarkEnd w:id="683"/>
      <w:bookmarkEnd w:id="684"/>
      <w:bookmarkEnd w:id="685"/>
      <w:r w:rsidR="0028395A">
        <w:t>34,64 mln EUR</w:t>
      </w:r>
      <w:bookmarkEnd w:id="686"/>
      <w:bookmarkEnd w:id="687"/>
      <w:r w:rsidRPr="00D90934">
        <w:rPr>
          <w:szCs w:val="24"/>
        </w:rPr>
        <w:t xml:space="preserve"> </w:t>
      </w:r>
    </w:p>
    <w:p w14:paraId="7E1735CF" w14:textId="620E3289" w:rsidR="00263C92" w:rsidRPr="005D7B93" w:rsidRDefault="00263C92" w:rsidP="00263C92">
      <w:pPr>
        <w:spacing w:after="0"/>
        <w:jc w:val="both"/>
        <w:outlineLvl w:val="1"/>
        <w:rPr>
          <w:color w:val="000000" w:themeColor="text1"/>
          <w:szCs w:val="24"/>
        </w:rPr>
      </w:pPr>
      <w:bookmarkStart w:id="688" w:name="_Toc473117358"/>
      <w:bookmarkStart w:id="689" w:name="_Toc477779798"/>
      <w:r w:rsidRPr="005D7B93">
        <w:rPr>
          <w:b/>
          <w:color w:val="000000" w:themeColor="text1"/>
          <w:szCs w:val="24"/>
        </w:rPr>
        <w:t>Kwota dofinansowania po wypłacie płatności końcowej:</w:t>
      </w:r>
      <w:r>
        <w:rPr>
          <w:b/>
          <w:color w:val="000000" w:themeColor="text1"/>
          <w:szCs w:val="24"/>
        </w:rPr>
        <w:t xml:space="preserve"> </w:t>
      </w:r>
      <w:r w:rsidR="00250EF5">
        <w:rPr>
          <w:color w:val="000000" w:themeColor="text1"/>
          <w:szCs w:val="24"/>
        </w:rPr>
        <w:t>41,24 mln EUR</w:t>
      </w:r>
      <w:bookmarkEnd w:id="688"/>
      <w:bookmarkEnd w:id="689"/>
    </w:p>
    <w:p w14:paraId="5B783F35" w14:textId="77777777" w:rsidR="00263C92" w:rsidRPr="00D90934" w:rsidRDefault="00263C92" w:rsidP="00263C92">
      <w:pPr>
        <w:spacing w:after="0"/>
        <w:jc w:val="both"/>
        <w:outlineLvl w:val="1"/>
        <w:rPr>
          <w:szCs w:val="24"/>
        </w:rPr>
      </w:pPr>
      <w:bookmarkStart w:id="690" w:name="_Toc324786906"/>
      <w:bookmarkStart w:id="691" w:name="_Toc324853967"/>
      <w:bookmarkStart w:id="692" w:name="_Toc327259319"/>
      <w:bookmarkStart w:id="693" w:name="_Toc354998168"/>
      <w:bookmarkStart w:id="694" w:name="_Toc355688628"/>
      <w:bookmarkStart w:id="695" w:name="_Toc386571882"/>
      <w:bookmarkStart w:id="696" w:name="_Toc386572307"/>
      <w:bookmarkStart w:id="697" w:name="_Toc391466155"/>
      <w:bookmarkStart w:id="698" w:name="_Toc391466734"/>
      <w:bookmarkStart w:id="699" w:name="_Toc419180319"/>
      <w:bookmarkStart w:id="700" w:name="_Toc423351837"/>
      <w:bookmarkStart w:id="701" w:name="_Toc473117359"/>
      <w:bookmarkStart w:id="702" w:name="_Toc477779799"/>
      <w:r>
        <w:rPr>
          <w:b/>
          <w:szCs w:val="24"/>
        </w:rPr>
        <w:t>O</w:t>
      </w:r>
      <w:r w:rsidRPr="00D90934">
        <w:rPr>
          <w:b/>
          <w:szCs w:val="24"/>
        </w:rPr>
        <w:t xml:space="preserve">kres realizacji: </w:t>
      </w:r>
      <w:r>
        <w:rPr>
          <w:szCs w:val="24"/>
        </w:rPr>
        <w:t>2008</w:t>
      </w:r>
      <w:r w:rsidRPr="00D90934">
        <w:rPr>
          <w:szCs w:val="24"/>
        </w:rPr>
        <w:t>-201</w:t>
      </w:r>
      <w:bookmarkEnd w:id="690"/>
      <w:bookmarkEnd w:id="691"/>
      <w:bookmarkEnd w:id="692"/>
      <w:bookmarkEnd w:id="693"/>
      <w:bookmarkEnd w:id="694"/>
      <w:r w:rsidRPr="00D90934">
        <w:rPr>
          <w:szCs w:val="24"/>
        </w:rPr>
        <w:t>5</w:t>
      </w:r>
      <w:bookmarkEnd w:id="695"/>
      <w:bookmarkEnd w:id="696"/>
      <w:bookmarkEnd w:id="697"/>
      <w:bookmarkEnd w:id="698"/>
      <w:bookmarkEnd w:id="699"/>
      <w:bookmarkEnd w:id="700"/>
      <w:bookmarkEnd w:id="701"/>
      <w:bookmarkEnd w:id="702"/>
    </w:p>
    <w:p w14:paraId="2F1DBB95" w14:textId="0A791201" w:rsidR="00263C92" w:rsidRPr="00D90934" w:rsidRDefault="00263C92" w:rsidP="00263C92">
      <w:pPr>
        <w:pStyle w:val="Tekstpodstawowy2"/>
        <w:tabs>
          <w:tab w:val="left" w:pos="284"/>
        </w:tabs>
        <w:spacing w:after="120" w:line="276" w:lineRule="auto"/>
        <w:jc w:val="both"/>
        <w:rPr>
          <w:szCs w:val="24"/>
        </w:rPr>
      </w:pPr>
      <w:r w:rsidRPr="00D90934">
        <w:rPr>
          <w:b/>
          <w:szCs w:val="24"/>
        </w:rPr>
        <w:t>Opis projektu</w:t>
      </w:r>
      <w:r w:rsidRPr="00D90934">
        <w:rPr>
          <w:szCs w:val="24"/>
        </w:rPr>
        <w:t xml:space="preserve">: celem projektu </w:t>
      </w:r>
      <w:r w:rsidR="0028395A">
        <w:rPr>
          <w:szCs w:val="24"/>
        </w:rPr>
        <w:t>była</w:t>
      </w:r>
      <w:r w:rsidRPr="00D90934">
        <w:rPr>
          <w:szCs w:val="24"/>
        </w:rPr>
        <w:t xml:space="preserve"> budowa nowoczesnego obiektu spełniającego funkcje kongresowo - wystawiennicze. Inwestycja przyczyni się do poprawy wizerunku Katowic i regionu śląskiego w Polsce i za granicą. Wpłynie na wzrost konkurencyjności miasta poprzez rozwój i wzmocnienie funkcji metropolitarnych. W wyniku realizacji p</w:t>
      </w:r>
      <w:r w:rsidR="0028395A">
        <w:rPr>
          <w:szCs w:val="24"/>
        </w:rPr>
        <w:t>rojektu zrewitalizowany został</w:t>
      </w:r>
      <w:r w:rsidRPr="00D90934">
        <w:rPr>
          <w:szCs w:val="24"/>
        </w:rPr>
        <w:t xml:space="preserve"> obszar o powierzchni 8,4 ha. </w:t>
      </w:r>
    </w:p>
    <w:p w14:paraId="22B2091D" w14:textId="77777777" w:rsidR="00263C92" w:rsidRPr="00D90934" w:rsidRDefault="00263C92" w:rsidP="00263C92">
      <w:pPr>
        <w:pStyle w:val="Tekstpodstawowy2"/>
        <w:tabs>
          <w:tab w:val="left" w:pos="284"/>
        </w:tabs>
        <w:spacing w:line="276" w:lineRule="auto"/>
        <w:jc w:val="both"/>
        <w:rPr>
          <w:b/>
          <w:szCs w:val="24"/>
        </w:rPr>
      </w:pPr>
      <w:r w:rsidRPr="00D90934">
        <w:rPr>
          <w:b/>
          <w:szCs w:val="24"/>
        </w:rPr>
        <w:t>Zaawansowanie prac:</w:t>
      </w:r>
    </w:p>
    <w:p w14:paraId="23146A0A" w14:textId="77777777"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2 września 2010r. przekazanie projektu do Komisji Europejskiej,</w:t>
      </w:r>
    </w:p>
    <w:p w14:paraId="6134C691" w14:textId="0446635B"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19 października 2010r. podpisanie warunkowej umowy o</w:t>
      </w:r>
      <w:r w:rsidR="00C7108F">
        <w:rPr>
          <w:szCs w:val="24"/>
        </w:rPr>
        <w:t xml:space="preserve"> dofinansowanie z beneficjentem,</w:t>
      </w:r>
    </w:p>
    <w:p w14:paraId="40B286B6" w14:textId="77777777"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 xml:space="preserve">lipiec 2010r. podpisanie umowy na pełnienie funkcji inżyniera kontraktu, </w:t>
      </w:r>
    </w:p>
    <w:p w14:paraId="1BE6CC63" w14:textId="77777777"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 xml:space="preserve">od 22 do 25 lutego 2011r. IZ RPO WSL przeprowadziła kontrolę ex-post zamówienia publicznego na inżyniera kontraktu, nie stwierdzono uchybień,  </w:t>
      </w:r>
    </w:p>
    <w:p w14:paraId="003BA465" w14:textId="77777777"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lastRenderedPageBreak/>
        <w:t>3 października 2011r podpisano umowę z głównym wykonawcą robót budowlanych,</w:t>
      </w:r>
    </w:p>
    <w:p w14:paraId="0B1E7389" w14:textId="77777777" w:rsidR="00263C92" w:rsidRPr="00D90934" w:rsidRDefault="00263C92" w:rsidP="004914D8">
      <w:pPr>
        <w:pStyle w:val="Tekstpodstawowy2"/>
        <w:numPr>
          <w:ilvl w:val="0"/>
          <w:numId w:val="62"/>
        </w:numPr>
        <w:tabs>
          <w:tab w:val="left" w:pos="284"/>
          <w:tab w:val="left" w:pos="426"/>
        </w:tabs>
        <w:spacing w:line="276" w:lineRule="auto"/>
        <w:jc w:val="both"/>
        <w:rPr>
          <w:szCs w:val="24"/>
        </w:rPr>
      </w:pPr>
      <w:r w:rsidRPr="00D90934">
        <w:rPr>
          <w:szCs w:val="24"/>
        </w:rPr>
        <w:t>19 października 2011r. przekazanie placu budowy oraz rozpoczęcie robót,</w:t>
      </w:r>
    </w:p>
    <w:p w14:paraId="2A431521" w14:textId="77777777" w:rsidR="00263C92" w:rsidRPr="00D90934" w:rsidRDefault="00263C92" w:rsidP="004914D8">
      <w:pPr>
        <w:pStyle w:val="Tekstpodstawowy2"/>
        <w:numPr>
          <w:ilvl w:val="0"/>
          <w:numId w:val="62"/>
        </w:numPr>
        <w:tabs>
          <w:tab w:val="left" w:pos="284"/>
          <w:tab w:val="left" w:pos="426"/>
        </w:tabs>
        <w:spacing w:line="276" w:lineRule="auto"/>
        <w:jc w:val="both"/>
        <w:rPr>
          <w:szCs w:val="24"/>
        </w:rPr>
      </w:pPr>
      <w:r w:rsidRPr="00D90934">
        <w:rPr>
          <w:szCs w:val="24"/>
        </w:rPr>
        <w:t>10 maja 2012r. została przeprowadzona kontrola IZ RPO WSL mająca na celu ocenę zgodności realizacji projektu z zakresem określonym w umowie o dofinansowanie. Kontrola zakończyła się wynikiem pozytywnym,</w:t>
      </w:r>
    </w:p>
    <w:p w14:paraId="6A8E6A58" w14:textId="77777777" w:rsidR="00263C92" w:rsidRPr="00D90934" w:rsidRDefault="00263C92" w:rsidP="004914D8">
      <w:pPr>
        <w:pStyle w:val="Tekstpodstawowy2"/>
        <w:numPr>
          <w:ilvl w:val="0"/>
          <w:numId w:val="62"/>
        </w:numPr>
        <w:tabs>
          <w:tab w:val="left" w:pos="284"/>
          <w:tab w:val="left" w:pos="426"/>
        </w:tabs>
        <w:spacing w:line="276" w:lineRule="auto"/>
        <w:jc w:val="both"/>
        <w:rPr>
          <w:szCs w:val="24"/>
        </w:rPr>
      </w:pPr>
      <w:r w:rsidRPr="00D90934">
        <w:rPr>
          <w:szCs w:val="24"/>
        </w:rPr>
        <w:t>4 października 2012r. Beneficjent poinformował IZ, że z uwagi na niezgodność harmonogramu rzeczowo-finansowego ze stanem rzeczywistym zaawansowania budowy oraz ze słabym zaawansowaniem prac budowlanych, Beneficjent w dniu 17 września 2012r. był zmuszony odstapić od umowy z Generalnym Wykonawcą. W związku z powyższym wszczęto procedurę przetargową związaną z wyborem nowego wykonawcy na dokończenie budowy Międzynarodowego Centrum Kongresowego. Termin otwarcia ofert przewidziano na 30 stycznia 2013r;</w:t>
      </w:r>
    </w:p>
    <w:p w14:paraId="74929AFA" w14:textId="1B5E50C2"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 xml:space="preserve">29 maja 2013r. podpisano umowę z Wykonawcą na dokończenie budowy. Problemy związane z koniecznościa przeprowadzenia nowej procedury przetargowej skutkowały przesunięciem rzeczowego terminu zakończenia realizacji projektu na 26.02.2015r. </w:t>
      </w:r>
    </w:p>
    <w:p w14:paraId="37506BA5" w14:textId="77777777"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od 17 do 19 lipca 2013r. została przeprowadzona kontrola doraźna projektu zakończona wynikiem pozytywnym,</w:t>
      </w:r>
    </w:p>
    <w:p w14:paraId="233E787A" w14:textId="77777777" w:rsidR="00263C92" w:rsidRPr="00D90934" w:rsidRDefault="00263C92" w:rsidP="004914D8">
      <w:pPr>
        <w:pStyle w:val="Tekstpodstawowy2"/>
        <w:numPr>
          <w:ilvl w:val="0"/>
          <w:numId w:val="62"/>
        </w:numPr>
        <w:tabs>
          <w:tab w:val="left" w:pos="284"/>
        </w:tabs>
        <w:spacing w:line="276" w:lineRule="auto"/>
        <w:jc w:val="both"/>
        <w:rPr>
          <w:szCs w:val="24"/>
        </w:rPr>
      </w:pPr>
      <w:r w:rsidRPr="00D90934">
        <w:rPr>
          <w:szCs w:val="24"/>
        </w:rPr>
        <w:t>17 lipca 2013r. projekt uzyskał decyzję KE dotyczącą pomocy publicznej (finansowanie zgodne z rynkiem wewnętrznym w myśl art 107 ust 3 lit c Traktatu o funkcjonowaniu UE bez zastrzeżeń KE),</w:t>
      </w:r>
    </w:p>
    <w:p w14:paraId="2EA0AA80" w14:textId="77777777" w:rsidR="00263C92" w:rsidRDefault="00263C92" w:rsidP="004914D8">
      <w:pPr>
        <w:pStyle w:val="Tekstpodstawowy2"/>
        <w:numPr>
          <w:ilvl w:val="0"/>
          <w:numId w:val="62"/>
        </w:numPr>
        <w:tabs>
          <w:tab w:val="left" w:pos="284"/>
        </w:tabs>
        <w:spacing w:line="276" w:lineRule="auto"/>
        <w:jc w:val="both"/>
        <w:rPr>
          <w:szCs w:val="24"/>
        </w:rPr>
      </w:pPr>
      <w:r w:rsidRPr="00D90934">
        <w:rPr>
          <w:szCs w:val="24"/>
        </w:rPr>
        <w:t>26 listopada 2013r. KE wydała pozytywną decyzję ws. dofinansowania projektu</w:t>
      </w:r>
      <w:r>
        <w:rPr>
          <w:szCs w:val="24"/>
        </w:rPr>
        <w:t>,</w:t>
      </w:r>
    </w:p>
    <w:p w14:paraId="64B9C398" w14:textId="77777777" w:rsidR="00263C92" w:rsidRDefault="00263C92" w:rsidP="004914D8">
      <w:pPr>
        <w:pStyle w:val="Tekstpodstawowy2"/>
        <w:numPr>
          <w:ilvl w:val="0"/>
          <w:numId w:val="62"/>
        </w:numPr>
        <w:tabs>
          <w:tab w:val="left" w:pos="284"/>
        </w:tabs>
        <w:spacing w:line="276" w:lineRule="auto"/>
        <w:jc w:val="both"/>
        <w:rPr>
          <w:szCs w:val="24"/>
        </w:rPr>
      </w:pPr>
      <w:r>
        <w:rPr>
          <w:szCs w:val="24"/>
        </w:rPr>
        <w:t>wszystkie umowy w ramach projektu zostały podpisane,</w:t>
      </w:r>
    </w:p>
    <w:p w14:paraId="459188EB" w14:textId="46E5BE1C" w:rsidR="00263C92" w:rsidRPr="005D7B93" w:rsidRDefault="00263C92" w:rsidP="004914D8">
      <w:pPr>
        <w:pStyle w:val="Tekstpodstawowy2"/>
        <w:numPr>
          <w:ilvl w:val="0"/>
          <w:numId w:val="62"/>
        </w:numPr>
        <w:tabs>
          <w:tab w:val="left" w:pos="284"/>
        </w:tabs>
        <w:spacing w:line="276" w:lineRule="auto"/>
        <w:jc w:val="both"/>
        <w:rPr>
          <w:color w:val="000000" w:themeColor="text1"/>
          <w:szCs w:val="24"/>
        </w:rPr>
      </w:pPr>
      <w:r w:rsidRPr="005D7B93">
        <w:rPr>
          <w:color w:val="000000" w:themeColor="text1"/>
          <w:szCs w:val="24"/>
        </w:rPr>
        <w:t xml:space="preserve">30 stycznia 2015 r. </w:t>
      </w:r>
      <w:r w:rsidRPr="005D7B93">
        <w:rPr>
          <w:color w:val="000000" w:themeColor="text1"/>
        </w:rPr>
        <w:t xml:space="preserve">IZ RPO WSL przeprowadziła kontrolę zgodności wykorzystania środków finansowych z zakresem określonym w Umowie o dofinansowanie projektu, której przedmiotem była weryfikacja </w:t>
      </w:r>
      <w:r w:rsidRPr="005D7B93">
        <w:rPr>
          <w:bCs/>
          <w:color w:val="000000" w:themeColor="text1"/>
        </w:rPr>
        <w:t xml:space="preserve">zamówienia uzupełniającego w zakresie pełnienia funkcji Inżyniera Kontraktu przy realizacji inwestycji pn.: </w:t>
      </w:r>
      <w:r w:rsidRPr="00C7108F">
        <w:rPr>
          <w:bCs/>
          <w:i/>
          <w:color w:val="000000" w:themeColor="text1"/>
        </w:rPr>
        <w:t>Dokończenie budowy budynku Międzynarodowego Centrum Kongresowego w Katowicach</w:t>
      </w:r>
      <w:r w:rsidRPr="005D7B93">
        <w:rPr>
          <w:bCs/>
          <w:color w:val="000000" w:themeColor="text1"/>
        </w:rPr>
        <w:t>. W wyniku powyższej kontroli zakres prac Inżyniera Kontraktu wskazany w ppkt. b i d - protokołu negocjacji (tj. za rozlicznie majątku trwałego oraz za wykonanie badań mocy sygn</w:t>
      </w:r>
      <w:r w:rsidR="006D5A51">
        <w:rPr>
          <w:bCs/>
          <w:color w:val="000000" w:themeColor="text1"/>
        </w:rPr>
        <w:t xml:space="preserve">ału GSM w budynku MCK) w kwocie ok 12 mln EUR </w:t>
      </w:r>
      <w:r w:rsidRPr="005D7B93">
        <w:rPr>
          <w:bCs/>
          <w:color w:val="000000" w:themeColor="text1"/>
        </w:rPr>
        <w:t xml:space="preserve">został uznany za koszt niekwalifikowany. </w:t>
      </w:r>
    </w:p>
    <w:p w14:paraId="7B3E6C05" w14:textId="77777777" w:rsidR="00263C92" w:rsidRPr="005D7B93" w:rsidRDefault="00263C92" w:rsidP="004914D8">
      <w:pPr>
        <w:pStyle w:val="Tekstpodstawowy2"/>
        <w:numPr>
          <w:ilvl w:val="0"/>
          <w:numId w:val="62"/>
        </w:numPr>
        <w:tabs>
          <w:tab w:val="left" w:pos="284"/>
        </w:tabs>
        <w:spacing w:line="276" w:lineRule="auto"/>
        <w:jc w:val="both"/>
        <w:rPr>
          <w:color w:val="000000" w:themeColor="text1"/>
          <w:szCs w:val="24"/>
        </w:rPr>
      </w:pPr>
      <w:r w:rsidRPr="005D7B93">
        <w:rPr>
          <w:color w:val="000000" w:themeColor="text1"/>
          <w:szCs w:val="24"/>
        </w:rPr>
        <w:t xml:space="preserve">28 kwietnia 2015 r. </w:t>
      </w:r>
      <w:r w:rsidRPr="005D7B93">
        <w:rPr>
          <w:color w:val="000000" w:themeColor="text1"/>
        </w:rPr>
        <w:t>IZ RPO WSL przeprowadziła kontrolę polegającą na weryfikacji zamówienia dot. świadczenia usług promocyjnych w ramach kampanii promocyjnej Projektu „Międzynarodowe Centrum Kongresowe w Katowicach”. W wyniku ww. kontroli została nałożona korekta finansowa w wysokości 25%.</w:t>
      </w:r>
    </w:p>
    <w:p w14:paraId="24C2F50D" w14:textId="77777777" w:rsidR="00263C92" w:rsidRPr="005D7B93" w:rsidRDefault="00263C92" w:rsidP="004914D8">
      <w:pPr>
        <w:pStyle w:val="Tekstpodstawowy2"/>
        <w:numPr>
          <w:ilvl w:val="0"/>
          <w:numId w:val="62"/>
        </w:numPr>
        <w:tabs>
          <w:tab w:val="left" w:pos="284"/>
        </w:tabs>
        <w:spacing w:line="276" w:lineRule="auto"/>
        <w:jc w:val="both"/>
        <w:rPr>
          <w:color w:val="000000" w:themeColor="text1"/>
          <w:szCs w:val="24"/>
        </w:rPr>
      </w:pPr>
      <w:r w:rsidRPr="005D7B93">
        <w:rPr>
          <w:color w:val="000000" w:themeColor="text1"/>
          <w:szCs w:val="24"/>
        </w:rPr>
        <w:t xml:space="preserve">W dniach od 11 stycznia 2016 r. do 18 stycznia  2016 r. </w:t>
      </w:r>
      <w:r w:rsidRPr="005D7B93">
        <w:rPr>
          <w:color w:val="000000" w:themeColor="text1"/>
        </w:rPr>
        <w:t>IZ RPO WSL przeprowadziła kontrolę na zakończenie realizacji projektu dot. zgodności wykorzystania środków finansowych z zakresem zawartym w umowie o dofinansowanie. W wyniku kontroli projektu stwierdzono istotne zastrzeżenia oraz nałożono korekty finansowe.</w:t>
      </w:r>
      <w:r w:rsidRPr="005D7B93">
        <w:rPr>
          <w:i/>
          <w:color w:val="000000" w:themeColor="text1"/>
        </w:rPr>
        <w:t xml:space="preserve"> </w:t>
      </w:r>
      <w:r w:rsidRPr="005D7B93">
        <w:rPr>
          <w:color w:val="000000" w:themeColor="text1"/>
        </w:rPr>
        <w:t>Cel projektu został osiągnięty.</w:t>
      </w:r>
    </w:p>
    <w:p w14:paraId="663FC9AA" w14:textId="7E285BBC" w:rsidR="00263C92" w:rsidRPr="005D7B93" w:rsidRDefault="00263C92" w:rsidP="004914D8">
      <w:pPr>
        <w:pStyle w:val="Tekstpodstawowy2"/>
        <w:numPr>
          <w:ilvl w:val="0"/>
          <w:numId w:val="62"/>
        </w:numPr>
        <w:tabs>
          <w:tab w:val="left" w:pos="284"/>
        </w:tabs>
        <w:spacing w:line="276" w:lineRule="auto"/>
        <w:jc w:val="both"/>
        <w:rPr>
          <w:color w:val="000000" w:themeColor="text1"/>
          <w:szCs w:val="24"/>
        </w:rPr>
      </w:pPr>
      <w:r w:rsidRPr="005D7B93">
        <w:rPr>
          <w:color w:val="000000" w:themeColor="text1"/>
          <w:szCs w:val="24"/>
        </w:rPr>
        <w:t xml:space="preserve">zakończenie rzeczowe projektu nastąpiło 3 kwietnia </w:t>
      </w:r>
      <w:r w:rsidR="00C7108F">
        <w:rPr>
          <w:color w:val="000000" w:themeColor="text1"/>
          <w:szCs w:val="24"/>
        </w:rPr>
        <w:t>2015 r., natomiast finansowe 30 </w:t>
      </w:r>
      <w:r w:rsidRPr="005D7B93">
        <w:rPr>
          <w:color w:val="000000" w:themeColor="text1"/>
          <w:szCs w:val="24"/>
        </w:rPr>
        <w:t xml:space="preserve">maja 2015 r. </w:t>
      </w:r>
    </w:p>
    <w:p w14:paraId="382865B6" w14:textId="77777777" w:rsidR="00263C92" w:rsidRDefault="00263C92" w:rsidP="00263C92">
      <w:pPr>
        <w:spacing w:after="0" w:line="240" w:lineRule="auto"/>
        <w:rPr>
          <w:b/>
          <w:i/>
          <w:szCs w:val="24"/>
        </w:rPr>
      </w:pPr>
    </w:p>
    <w:p w14:paraId="4AC3529B" w14:textId="77777777" w:rsidR="006476B3" w:rsidRPr="006476B3" w:rsidRDefault="006476B3" w:rsidP="006476B3">
      <w:pPr>
        <w:spacing w:after="120"/>
        <w:jc w:val="both"/>
        <w:rPr>
          <w:b/>
        </w:rPr>
      </w:pPr>
      <w:r w:rsidRPr="006476B3">
        <w:rPr>
          <w:b/>
        </w:rPr>
        <w:lastRenderedPageBreak/>
        <w:t>Napotkane problemy w realizacji projektu oraz podjęte środki zaradcze:</w:t>
      </w:r>
    </w:p>
    <w:p w14:paraId="6D1AF26A" w14:textId="31DDD261" w:rsidR="006476B3" w:rsidRPr="006476B3" w:rsidRDefault="006476B3" w:rsidP="006476B3">
      <w:pPr>
        <w:jc w:val="both"/>
        <w:rPr>
          <w:szCs w:val="24"/>
        </w:rPr>
      </w:pPr>
      <w:r w:rsidRPr="006476B3">
        <w:rPr>
          <w:szCs w:val="24"/>
        </w:rPr>
        <w:t xml:space="preserve">W </w:t>
      </w:r>
      <w:r>
        <w:rPr>
          <w:szCs w:val="24"/>
        </w:rPr>
        <w:t>trakcie realizacji ww. projektu</w:t>
      </w:r>
      <w:r w:rsidRPr="006476B3">
        <w:rPr>
          <w:szCs w:val="24"/>
        </w:rPr>
        <w:t xml:space="preserve"> przez Miasto Katowice największe problemy związane</w:t>
      </w:r>
      <w:r>
        <w:rPr>
          <w:szCs w:val="24"/>
        </w:rPr>
        <w:t xml:space="preserve"> były</w:t>
      </w:r>
      <w:r w:rsidRPr="006476B3">
        <w:rPr>
          <w:szCs w:val="24"/>
        </w:rPr>
        <w:t xml:space="preserve"> z wyłonieniem operatora infrastruktury powstałej w ramach projektu. Beneficjent kilkukrotnie zmuszony był przeprowadzić postępowania mające na celu wyłonienie operatora. </w:t>
      </w:r>
    </w:p>
    <w:p w14:paraId="5A57BB9F" w14:textId="0F9DC78D" w:rsidR="006476B3" w:rsidRPr="006476B3" w:rsidRDefault="006476B3" w:rsidP="006476B3">
      <w:pPr>
        <w:jc w:val="both"/>
        <w:rPr>
          <w:szCs w:val="24"/>
        </w:rPr>
      </w:pPr>
      <w:r w:rsidRPr="006476B3">
        <w:rPr>
          <w:szCs w:val="24"/>
        </w:rPr>
        <w:t>Aby zapewnić funkcjonowanie MCK, Miasto Kat</w:t>
      </w:r>
      <w:r>
        <w:rPr>
          <w:szCs w:val="24"/>
        </w:rPr>
        <w:t>owice do czasu zawarcia umowy z </w:t>
      </w:r>
      <w:r w:rsidRPr="006476B3">
        <w:rPr>
          <w:szCs w:val="24"/>
        </w:rPr>
        <w:t>operatorem zewnętrznym powierzyło obowiązki administracyjno-zarządcze  swojej jednostce budżetowej – Miejskiemu Ośrodkowi Sportu i Rekreacji w Katowicach.</w:t>
      </w:r>
      <w:r>
        <w:rPr>
          <w:szCs w:val="24"/>
        </w:rPr>
        <w:t xml:space="preserve"> </w:t>
      </w:r>
      <w:r w:rsidRPr="006476B3">
        <w:rPr>
          <w:szCs w:val="24"/>
          <w:lang w:eastAsia="en-US"/>
        </w:rPr>
        <w:t>Ostatecznie umowa koncesji na usługi organizacji imprez i zarządzania Międzynarodowym Centrum Kongresowym oraz Halą widowiskowo-sportową "SPODE</w:t>
      </w:r>
      <w:r>
        <w:rPr>
          <w:szCs w:val="24"/>
          <w:lang w:eastAsia="en-US"/>
        </w:rPr>
        <w:t xml:space="preserve">K" została zawarta w dniu 04 lutego </w:t>
      </w:r>
      <w:r w:rsidRPr="006476B3">
        <w:rPr>
          <w:szCs w:val="24"/>
          <w:lang w:eastAsia="en-US"/>
        </w:rPr>
        <w:t>2016 r. pomiędzy Gminą - Miasto Katowice (Koncesjodawc</w:t>
      </w:r>
      <w:r>
        <w:rPr>
          <w:szCs w:val="24"/>
          <w:lang w:eastAsia="en-US"/>
        </w:rPr>
        <w:t>a), a PTWP Event Center spółką z </w:t>
      </w:r>
      <w:r w:rsidRPr="006476B3">
        <w:rPr>
          <w:szCs w:val="24"/>
          <w:lang w:eastAsia="en-US"/>
        </w:rPr>
        <w:t>ograniczoną odpowiedzialności (Koncesjonariusz). </w:t>
      </w:r>
    </w:p>
    <w:p w14:paraId="72C5B433" w14:textId="77777777" w:rsidR="006476B3" w:rsidRDefault="006476B3" w:rsidP="006476B3">
      <w:pPr>
        <w:rPr>
          <w:rFonts w:ascii="Arial" w:hAnsi="Arial" w:cs="Arial"/>
          <w:sz w:val="21"/>
          <w:szCs w:val="21"/>
          <w:lang w:eastAsia="en-US"/>
        </w:rPr>
      </w:pPr>
    </w:p>
    <w:p w14:paraId="00D2C0A0" w14:textId="7DD4200D" w:rsidR="00263C92" w:rsidRDefault="00263C92" w:rsidP="00250EF5">
      <w:pPr>
        <w:jc w:val="both"/>
        <w:rPr>
          <w:b/>
          <w:szCs w:val="24"/>
        </w:rPr>
      </w:pPr>
      <w:r w:rsidRPr="00250EF5">
        <w:rPr>
          <w:b/>
          <w:szCs w:val="24"/>
        </w:rPr>
        <w:t>KONTYNUACJA BUDOWY DROGOWEJ TRASY ŚREDNICOWEJ „ZACHÓD” – ODCINEK ZABRZE – GLIWICE</w:t>
      </w:r>
    </w:p>
    <w:p w14:paraId="48112551" w14:textId="39051F38" w:rsidR="00E45AD5" w:rsidRPr="00250EF5" w:rsidRDefault="00E45AD5" w:rsidP="00250EF5">
      <w:pPr>
        <w:jc w:val="both"/>
      </w:pPr>
      <w:r>
        <w:rPr>
          <w:noProof/>
        </w:rPr>
        <w:drawing>
          <wp:inline distT="0" distB="0" distL="0" distR="0" wp14:anchorId="148B8CBA" wp14:editId="7F712BA6">
            <wp:extent cx="5759450" cy="3839633"/>
            <wp:effectExtent l="152400" t="152400" r="355600" b="370840"/>
            <wp:docPr id="38" name="Obraz 38" descr="Znalezione obrazy dla zapytania KONTYNUACJA BUDOWY DROGOWEJ TRASY &amp;Sacute;REDNICOWEJ „ZACHÓD” – ODCINEK ZABRZE – GLIW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KONTYNUACJA BUDOWY DROGOWEJ TRASY &amp;Sacute;REDNICOWEJ „ZACHÓD” – ODCINEK ZABRZE – GLIWI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9450" cy="3839633"/>
                    </a:xfrm>
                    <a:prstGeom prst="rect">
                      <a:avLst/>
                    </a:prstGeom>
                    <a:ln>
                      <a:noFill/>
                    </a:ln>
                    <a:effectLst>
                      <a:outerShdw blurRad="292100" dist="139700" dir="2700000" algn="tl" rotWithShape="0">
                        <a:srgbClr val="333333">
                          <a:alpha val="65000"/>
                        </a:srgbClr>
                      </a:outerShdw>
                    </a:effectLst>
                  </pic:spPr>
                </pic:pic>
              </a:graphicData>
            </a:graphic>
          </wp:inline>
        </w:drawing>
      </w:r>
    </w:p>
    <w:p w14:paraId="303474DF" w14:textId="77777777" w:rsidR="00263C92" w:rsidRPr="00A22CFB" w:rsidRDefault="00263C92" w:rsidP="00263C92">
      <w:pPr>
        <w:shd w:val="clear" w:color="auto" w:fill="FFFFFF"/>
        <w:spacing w:after="0"/>
        <w:jc w:val="both"/>
        <w:rPr>
          <w:b/>
          <w:color w:val="FF0000"/>
          <w:szCs w:val="24"/>
        </w:rPr>
      </w:pPr>
      <w:r w:rsidRPr="00A22CFB">
        <w:rPr>
          <w:b/>
          <w:szCs w:val="24"/>
        </w:rPr>
        <w:t xml:space="preserve">Beneficjent: </w:t>
      </w:r>
      <w:r w:rsidRPr="00A22CFB">
        <w:rPr>
          <w:szCs w:val="24"/>
        </w:rPr>
        <w:t>Województwo Śląskie</w:t>
      </w:r>
    </w:p>
    <w:p w14:paraId="67745212" w14:textId="77777777" w:rsidR="00263C92" w:rsidRPr="00A22CFB" w:rsidRDefault="00263C92" w:rsidP="00263C92">
      <w:pPr>
        <w:spacing w:after="0"/>
        <w:jc w:val="both"/>
        <w:outlineLvl w:val="1"/>
        <w:rPr>
          <w:i/>
          <w:szCs w:val="24"/>
        </w:rPr>
      </w:pPr>
      <w:bookmarkStart w:id="703" w:name="_Toc324786907"/>
      <w:bookmarkStart w:id="704" w:name="_Toc324853968"/>
      <w:bookmarkStart w:id="705" w:name="_Toc327259320"/>
      <w:bookmarkStart w:id="706" w:name="_Toc354998169"/>
      <w:bookmarkStart w:id="707" w:name="_Toc355688629"/>
      <w:bookmarkStart w:id="708" w:name="_Toc386571884"/>
      <w:bookmarkStart w:id="709" w:name="_Toc386572309"/>
      <w:bookmarkStart w:id="710" w:name="_Toc391466157"/>
      <w:bookmarkStart w:id="711" w:name="_Toc391466736"/>
      <w:bookmarkStart w:id="712" w:name="_Toc419180321"/>
      <w:bookmarkStart w:id="713" w:name="_Toc423351839"/>
      <w:bookmarkStart w:id="714" w:name="_Toc473117360"/>
      <w:bookmarkStart w:id="715" w:name="_Toc477779800"/>
      <w:r w:rsidRPr="00A22CFB">
        <w:rPr>
          <w:b/>
          <w:szCs w:val="24"/>
        </w:rPr>
        <w:t>Priorytet/poddziałanie:</w:t>
      </w:r>
      <w:r w:rsidRPr="00A22CFB">
        <w:rPr>
          <w:i/>
          <w:szCs w:val="24"/>
        </w:rPr>
        <w:t xml:space="preserve"> </w:t>
      </w:r>
      <w:r w:rsidRPr="00A22CFB">
        <w:rPr>
          <w:szCs w:val="24"/>
        </w:rPr>
        <w:t xml:space="preserve">VII </w:t>
      </w:r>
      <w:r w:rsidRPr="00A22CFB">
        <w:rPr>
          <w:i/>
          <w:szCs w:val="24"/>
        </w:rPr>
        <w:t>Transport</w:t>
      </w:r>
      <w:r w:rsidRPr="00A22CFB">
        <w:rPr>
          <w:szCs w:val="24"/>
        </w:rPr>
        <w:t xml:space="preserve">/ 7.1.1 </w:t>
      </w:r>
      <w:r w:rsidRPr="00A22CFB">
        <w:rPr>
          <w:i/>
          <w:szCs w:val="24"/>
        </w:rPr>
        <w:t>Modernizacja i rozbudowa sieci drogowej</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747D77AE" w14:textId="68DB7DF8" w:rsidR="00263C92" w:rsidRPr="005D7B93" w:rsidRDefault="00263C92" w:rsidP="00263C92">
      <w:pPr>
        <w:spacing w:after="0"/>
        <w:jc w:val="both"/>
        <w:outlineLvl w:val="1"/>
        <w:rPr>
          <w:color w:val="000000" w:themeColor="text1"/>
          <w:szCs w:val="24"/>
        </w:rPr>
      </w:pPr>
      <w:bookmarkStart w:id="716" w:name="_Toc419180322"/>
      <w:bookmarkStart w:id="717" w:name="_Toc423351840"/>
      <w:bookmarkStart w:id="718" w:name="_Toc473117361"/>
      <w:bookmarkStart w:id="719" w:name="_Toc477779801"/>
      <w:r w:rsidRPr="00A22CFB">
        <w:rPr>
          <w:b/>
          <w:szCs w:val="24"/>
        </w:rPr>
        <w:t>Całkowita wartość projektu:</w:t>
      </w:r>
      <w:r w:rsidRPr="00A22CFB">
        <w:rPr>
          <w:szCs w:val="24"/>
        </w:rPr>
        <w:t xml:space="preserve"> </w:t>
      </w:r>
      <w:bookmarkEnd w:id="716"/>
      <w:bookmarkEnd w:id="717"/>
      <w:r w:rsidR="00250EF5">
        <w:rPr>
          <w:color w:val="000000" w:themeColor="text1"/>
          <w:szCs w:val="24"/>
        </w:rPr>
        <w:t>107,55 mln EUR</w:t>
      </w:r>
      <w:bookmarkEnd w:id="718"/>
      <w:bookmarkEnd w:id="719"/>
    </w:p>
    <w:p w14:paraId="0C654F64" w14:textId="109BE2C0" w:rsidR="00263C92" w:rsidRDefault="00263C92" w:rsidP="00263C92">
      <w:pPr>
        <w:spacing w:after="0"/>
        <w:jc w:val="both"/>
        <w:outlineLvl w:val="1"/>
        <w:rPr>
          <w:szCs w:val="24"/>
        </w:rPr>
      </w:pPr>
      <w:bookmarkStart w:id="720" w:name="_Toc419180323"/>
      <w:bookmarkStart w:id="721" w:name="_Toc423351841"/>
      <w:bookmarkStart w:id="722" w:name="_Toc473117362"/>
      <w:bookmarkStart w:id="723" w:name="_Toc477779802"/>
      <w:r w:rsidRPr="00A22CFB">
        <w:rPr>
          <w:b/>
          <w:szCs w:val="24"/>
        </w:rPr>
        <w:t>Kwota dofinansowania</w:t>
      </w:r>
      <w:r>
        <w:rPr>
          <w:b/>
          <w:szCs w:val="24"/>
        </w:rPr>
        <w:t xml:space="preserve"> z decyzji o dofinansowanie</w:t>
      </w:r>
      <w:r w:rsidRPr="00A22CFB">
        <w:rPr>
          <w:b/>
          <w:szCs w:val="24"/>
        </w:rPr>
        <w:t xml:space="preserve">: </w:t>
      </w:r>
      <w:bookmarkEnd w:id="720"/>
      <w:bookmarkEnd w:id="721"/>
      <w:r w:rsidR="00250EF5">
        <w:t>37,87 mln EUR</w:t>
      </w:r>
      <w:bookmarkEnd w:id="722"/>
      <w:bookmarkEnd w:id="723"/>
      <w:r w:rsidRPr="00A22CFB">
        <w:rPr>
          <w:szCs w:val="24"/>
        </w:rPr>
        <w:t xml:space="preserve"> </w:t>
      </w:r>
    </w:p>
    <w:p w14:paraId="25A36880" w14:textId="616BD1F2" w:rsidR="00263C92" w:rsidRPr="00A22CFB" w:rsidRDefault="00263C92" w:rsidP="00263C92">
      <w:pPr>
        <w:spacing w:after="0"/>
        <w:jc w:val="both"/>
        <w:outlineLvl w:val="1"/>
        <w:rPr>
          <w:szCs w:val="24"/>
        </w:rPr>
      </w:pPr>
      <w:bookmarkStart w:id="724" w:name="_Toc473117363"/>
      <w:bookmarkStart w:id="725" w:name="_Toc477779803"/>
      <w:r w:rsidRPr="00D23940">
        <w:rPr>
          <w:b/>
          <w:szCs w:val="24"/>
        </w:rPr>
        <w:t>Kwota dofinansowania po wypłacie płatności końcowej:</w:t>
      </w:r>
      <w:r>
        <w:rPr>
          <w:szCs w:val="24"/>
        </w:rPr>
        <w:t xml:space="preserve"> </w:t>
      </w:r>
      <w:r w:rsidR="00250EF5">
        <w:rPr>
          <w:color w:val="000000" w:themeColor="text1"/>
          <w:szCs w:val="24"/>
        </w:rPr>
        <w:t>50,42 mln EUR</w:t>
      </w:r>
      <w:bookmarkEnd w:id="724"/>
      <w:bookmarkEnd w:id="725"/>
    </w:p>
    <w:p w14:paraId="08ECC0AF" w14:textId="77777777" w:rsidR="00263C92" w:rsidRPr="00A22CFB" w:rsidRDefault="00263C92" w:rsidP="00263C92">
      <w:pPr>
        <w:spacing w:after="0"/>
        <w:jc w:val="both"/>
        <w:outlineLvl w:val="1"/>
        <w:rPr>
          <w:szCs w:val="24"/>
        </w:rPr>
      </w:pPr>
      <w:bookmarkStart w:id="726" w:name="_Toc324786910"/>
      <w:bookmarkStart w:id="727" w:name="_Toc324853971"/>
      <w:bookmarkStart w:id="728" w:name="_Toc327259323"/>
      <w:bookmarkStart w:id="729" w:name="_Toc354998172"/>
      <w:bookmarkStart w:id="730" w:name="_Toc355688632"/>
      <w:bookmarkStart w:id="731" w:name="_Toc386571885"/>
      <w:bookmarkStart w:id="732" w:name="_Toc386572310"/>
      <w:bookmarkStart w:id="733" w:name="_Toc391466158"/>
      <w:bookmarkStart w:id="734" w:name="_Toc391466737"/>
      <w:bookmarkStart w:id="735" w:name="_Toc419180324"/>
      <w:bookmarkStart w:id="736" w:name="_Toc423351842"/>
      <w:bookmarkStart w:id="737" w:name="_Toc473117364"/>
      <w:bookmarkStart w:id="738" w:name="_Toc477779804"/>
      <w:r w:rsidRPr="00A22CFB">
        <w:rPr>
          <w:b/>
          <w:szCs w:val="24"/>
        </w:rPr>
        <w:lastRenderedPageBreak/>
        <w:t xml:space="preserve">Przewidywany okres realizacji: </w:t>
      </w:r>
      <w:r w:rsidRPr="00A22CFB">
        <w:rPr>
          <w:szCs w:val="24"/>
        </w:rPr>
        <w:t>20</w:t>
      </w:r>
      <w:r>
        <w:rPr>
          <w:szCs w:val="24"/>
        </w:rPr>
        <w:t>12</w:t>
      </w:r>
      <w:r w:rsidRPr="00A22CFB">
        <w:rPr>
          <w:szCs w:val="24"/>
        </w:rPr>
        <w:t>-2014</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7DA8A64E" w14:textId="50EA064F" w:rsidR="00263C92" w:rsidRDefault="00263C92" w:rsidP="00263C92">
      <w:pPr>
        <w:tabs>
          <w:tab w:val="left" w:pos="284"/>
          <w:tab w:val="left" w:pos="426"/>
        </w:tabs>
        <w:spacing w:after="0"/>
        <w:jc w:val="both"/>
        <w:rPr>
          <w:noProof/>
          <w:szCs w:val="24"/>
        </w:rPr>
      </w:pPr>
      <w:r w:rsidRPr="00A22CFB">
        <w:rPr>
          <w:b/>
          <w:noProof/>
          <w:szCs w:val="24"/>
        </w:rPr>
        <w:t>Opis projektu</w:t>
      </w:r>
      <w:r w:rsidR="00250EF5">
        <w:rPr>
          <w:noProof/>
          <w:szCs w:val="24"/>
        </w:rPr>
        <w:t>: projekt miał</w:t>
      </w:r>
      <w:r w:rsidRPr="00A22CFB">
        <w:rPr>
          <w:noProof/>
          <w:szCs w:val="24"/>
        </w:rPr>
        <w:t xml:space="preserve"> na celu zapewnienie sprawnych powiązań komunikacyjnych w węzłowym obszarze konurbacji katowickiej, w tym miast, przez które przebiega, dla obsłużenia ruchu mającego swoje źródła i cele wewnątrz konurbacji. Projekt został podzielony na trzy zadania (podprojekty). Pierwsze zadanie (podprojekt) Beneficjent zrealizował z innych środków finansowych, natomiast w ramach dwóch pozostałych zadań (pod</w:t>
      </w:r>
      <w:r w:rsidR="00250EF5">
        <w:rPr>
          <w:noProof/>
          <w:szCs w:val="24"/>
        </w:rPr>
        <w:t>projektów) Beneficjent wnioskował</w:t>
      </w:r>
      <w:r w:rsidRPr="00A22CFB">
        <w:rPr>
          <w:noProof/>
          <w:szCs w:val="24"/>
        </w:rPr>
        <w:t xml:space="preserve"> o środki unijne z RPO WSL. </w:t>
      </w:r>
    </w:p>
    <w:p w14:paraId="4A00E909" w14:textId="77777777" w:rsidR="00263C92" w:rsidRPr="00A22CFB" w:rsidRDefault="00263C92" w:rsidP="00263C92">
      <w:pPr>
        <w:tabs>
          <w:tab w:val="left" w:pos="284"/>
          <w:tab w:val="left" w:pos="426"/>
        </w:tabs>
        <w:spacing w:after="0"/>
        <w:jc w:val="both"/>
        <w:rPr>
          <w:noProof/>
          <w:szCs w:val="24"/>
        </w:rPr>
      </w:pPr>
    </w:p>
    <w:p w14:paraId="1FF8CAEC" w14:textId="77777777" w:rsidR="00263C92" w:rsidRPr="00A22CFB" w:rsidRDefault="00263C92" w:rsidP="00263C92">
      <w:pPr>
        <w:tabs>
          <w:tab w:val="left" w:pos="284"/>
          <w:tab w:val="left" w:pos="426"/>
        </w:tabs>
        <w:spacing w:after="0"/>
        <w:jc w:val="both"/>
        <w:rPr>
          <w:noProof/>
          <w:szCs w:val="24"/>
        </w:rPr>
      </w:pPr>
      <w:r w:rsidRPr="00A22CFB">
        <w:rPr>
          <w:b/>
          <w:noProof/>
          <w:szCs w:val="24"/>
        </w:rPr>
        <w:t>Zaawansowanie prac</w:t>
      </w:r>
      <w:r w:rsidRPr="00A22CFB">
        <w:rPr>
          <w:noProof/>
          <w:szCs w:val="24"/>
        </w:rPr>
        <w:t xml:space="preserve">: </w:t>
      </w:r>
    </w:p>
    <w:p w14:paraId="268D929B" w14:textId="77777777" w:rsidR="00263C92" w:rsidRPr="00A22CFB" w:rsidRDefault="00263C92" w:rsidP="004914D8">
      <w:pPr>
        <w:numPr>
          <w:ilvl w:val="0"/>
          <w:numId w:val="61"/>
        </w:numPr>
        <w:tabs>
          <w:tab w:val="left" w:pos="284"/>
          <w:tab w:val="left" w:pos="426"/>
        </w:tabs>
        <w:spacing w:after="0"/>
        <w:jc w:val="both"/>
        <w:rPr>
          <w:noProof/>
          <w:szCs w:val="24"/>
        </w:rPr>
      </w:pPr>
      <w:r w:rsidRPr="00A22CFB">
        <w:rPr>
          <w:noProof/>
          <w:szCs w:val="24"/>
        </w:rPr>
        <w:t>projekt przeszedł pozytywnie wstępną ocenę formalną i merytoryczno-techniczną,</w:t>
      </w:r>
    </w:p>
    <w:p w14:paraId="203E1A1B" w14:textId="77777777" w:rsidR="00263C92" w:rsidRPr="00A22CFB" w:rsidRDefault="00263C92" w:rsidP="004914D8">
      <w:pPr>
        <w:numPr>
          <w:ilvl w:val="0"/>
          <w:numId w:val="61"/>
        </w:numPr>
        <w:tabs>
          <w:tab w:val="left" w:pos="284"/>
          <w:tab w:val="left" w:pos="426"/>
        </w:tabs>
        <w:spacing w:after="0"/>
        <w:jc w:val="both"/>
        <w:rPr>
          <w:noProof/>
          <w:szCs w:val="24"/>
        </w:rPr>
      </w:pPr>
      <w:r w:rsidRPr="00A22CFB">
        <w:rPr>
          <w:noProof/>
          <w:szCs w:val="24"/>
        </w:rPr>
        <w:t>lipiec 2008r. podpisano umowę ramową z Beneficjentem,</w:t>
      </w:r>
    </w:p>
    <w:p w14:paraId="097C3077" w14:textId="77777777" w:rsidR="00263C92" w:rsidRDefault="00263C92" w:rsidP="004914D8">
      <w:pPr>
        <w:numPr>
          <w:ilvl w:val="0"/>
          <w:numId w:val="61"/>
        </w:numPr>
        <w:tabs>
          <w:tab w:val="left" w:pos="284"/>
          <w:tab w:val="left" w:pos="426"/>
        </w:tabs>
        <w:spacing w:after="0"/>
        <w:jc w:val="both"/>
        <w:rPr>
          <w:noProof/>
          <w:szCs w:val="24"/>
        </w:rPr>
      </w:pPr>
      <w:r w:rsidRPr="00A22CFB">
        <w:rPr>
          <w:noProof/>
          <w:szCs w:val="24"/>
        </w:rPr>
        <w:t>wniosek o dofinansowanie został złożony 16 maja 2011,</w:t>
      </w:r>
    </w:p>
    <w:p w14:paraId="7C5BF09C" w14:textId="77777777" w:rsidR="00263C92" w:rsidRPr="005D7B93" w:rsidRDefault="00263C92" w:rsidP="004914D8">
      <w:pPr>
        <w:numPr>
          <w:ilvl w:val="0"/>
          <w:numId w:val="61"/>
        </w:numPr>
        <w:tabs>
          <w:tab w:val="left" w:pos="284"/>
          <w:tab w:val="left" w:pos="426"/>
        </w:tabs>
        <w:spacing w:after="0"/>
        <w:jc w:val="both"/>
        <w:rPr>
          <w:noProof/>
          <w:color w:val="000000" w:themeColor="text1"/>
          <w:szCs w:val="24"/>
        </w:rPr>
      </w:pPr>
      <w:r w:rsidRPr="005D7B93">
        <w:rPr>
          <w:noProof/>
          <w:color w:val="000000" w:themeColor="text1"/>
          <w:szCs w:val="24"/>
        </w:rPr>
        <w:t>9 sierpnia 2011 r. dokonanie warunkowego wyboru do dofinansowania</w:t>
      </w:r>
    </w:p>
    <w:p w14:paraId="6E2A9764" w14:textId="77777777" w:rsidR="00263C92" w:rsidRPr="005D7B93" w:rsidRDefault="00263C92" w:rsidP="004914D8">
      <w:pPr>
        <w:numPr>
          <w:ilvl w:val="0"/>
          <w:numId w:val="61"/>
        </w:numPr>
        <w:tabs>
          <w:tab w:val="left" w:pos="284"/>
          <w:tab w:val="left" w:pos="426"/>
        </w:tabs>
        <w:spacing w:after="0"/>
        <w:jc w:val="both"/>
        <w:rPr>
          <w:noProof/>
          <w:color w:val="000000" w:themeColor="text1"/>
          <w:szCs w:val="24"/>
        </w:rPr>
      </w:pPr>
      <w:r w:rsidRPr="005D7B93">
        <w:rPr>
          <w:noProof/>
          <w:color w:val="000000" w:themeColor="text1"/>
          <w:szCs w:val="24"/>
        </w:rPr>
        <w:t xml:space="preserve">9 stycznia 2012 r. został wysłany do KE, </w:t>
      </w:r>
    </w:p>
    <w:p w14:paraId="72FEC7F1" w14:textId="77777777" w:rsidR="00263C92" w:rsidRPr="005D7B93" w:rsidRDefault="00263C92" w:rsidP="004914D8">
      <w:pPr>
        <w:numPr>
          <w:ilvl w:val="0"/>
          <w:numId w:val="61"/>
        </w:numPr>
        <w:tabs>
          <w:tab w:val="left" w:pos="284"/>
          <w:tab w:val="left" w:pos="426"/>
        </w:tabs>
        <w:spacing w:after="0"/>
        <w:jc w:val="both"/>
        <w:rPr>
          <w:noProof/>
          <w:color w:val="000000" w:themeColor="text1"/>
          <w:szCs w:val="24"/>
        </w:rPr>
      </w:pPr>
      <w:r w:rsidRPr="005D7B93">
        <w:rPr>
          <w:noProof/>
          <w:color w:val="000000" w:themeColor="text1"/>
          <w:szCs w:val="24"/>
        </w:rPr>
        <w:t xml:space="preserve">1 marca 2012 r. podpisano warunkową decyzję o dofinansowanie projektu własnego </w:t>
      </w:r>
      <w:r w:rsidRPr="005D7B93">
        <w:rPr>
          <w:color w:val="000000" w:themeColor="text1"/>
          <w:szCs w:val="24"/>
        </w:rPr>
        <w:t>(w przypadku nie uzyskania akceptacji ze strony KE na realizację inwestycji ze środków unijnych umowa ulega natychmiastowemu rozwiązaniu),</w:t>
      </w:r>
    </w:p>
    <w:p w14:paraId="3349690E" w14:textId="77777777" w:rsidR="00263C92" w:rsidRPr="00C37E50" w:rsidRDefault="00263C92" w:rsidP="004914D8">
      <w:pPr>
        <w:numPr>
          <w:ilvl w:val="0"/>
          <w:numId w:val="61"/>
        </w:numPr>
        <w:tabs>
          <w:tab w:val="left" w:pos="284"/>
          <w:tab w:val="left" w:pos="426"/>
        </w:tabs>
        <w:spacing w:after="0"/>
        <w:jc w:val="both"/>
        <w:rPr>
          <w:noProof/>
          <w:szCs w:val="24"/>
        </w:rPr>
      </w:pPr>
      <w:r w:rsidRPr="00A22CFB">
        <w:rPr>
          <w:noProof/>
          <w:szCs w:val="24"/>
        </w:rPr>
        <w:t>9 maja 2012r. została przeprowadzona kontrola IZ RPO WSL mająca na celu ocenę zgodności realizacji projektu z zakresem określonym w decyzji o dofinansowanie. Kontrola zakońc</w:t>
      </w:r>
      <w:r>
        <w:rPr>
          <w:noProof/>
          <w:szCs w:val="24"/>
        </w:rPr>
        <w:t xml:space="preserve">zyła się wynikiem pozytywnym.  </w:t>
      </w:r>
    </w:p>
    <w:p w14:paraId="22500558" w14:textId="77777777" w:rsidR="00263C92" w:rsidRPr="00A22CFB" w:rsidRDefault="00263C92" w:rsidP="004914D8">
      <w:pPr>
        <w:numPr>
          <w:ilvl w:val="0"/>
          <w:numId w:val="61"/>
        </w:numPr>
        <w:tabs>
          <w:tab w:val="left" w:pos="284"/>
          <w:tab w:val="left" w:pos="426"/>
        </w:tabs>
        <w:spacing w:after="0"/>
        <w:jc w:val="both"/>
        <w:rPr>
          <w:noProof/>
          <w:szCs w:val="24"/>
        </w:rPr>
      </w:pPr>
      <w:r w:rsidRPr="00A22CFB">
        <w:rPr>
          <w:noProof/>
          <w:szCs w:val="24"/>
        </w:rPr>
        <w:t xml:space="preserve"> 8 czerwca 2012r. KE wydała pozytywną decyz</w:t>
      </w:r>
      <w:r>
        <w:rPr>
          <w:noProof/>
          <w:szCs w:val="24"/>
        </w:rPr>
        <w:t>ję ws. dofinansowania projektu,</w:t>
      </w:r>
    </w:p>
    <w:p w14:paraId="72E9D0D7" w14:textId="77777777" w:rsidR="00263C92" w:rsidRPr="005D7B93" w:rsidRDefault="00263C92" w:rsidP="004914D8">
      <w:pPr>
        <w:numPr>
          <w:ilvl w:val="0"/>
          <w:numId w:val="61"/>
        </w:numPr>
        <w:tabs>
          <w:tab w:val="left" w:pos="284"/>
          <w:tab w:val="left" w:pos="426"/>
        </w:tabs>
        <w:spacing w:after="0"/>
        <w:jc w:val="both"/>
        <w:rPr>
          <w:noProof/>
          <w:szCs w:val="24"/>
        </w:rPr>
      </w:pPr>
      <w:r w:rsidRPr="00D01344">
        <w:rPr>
          <w:noProof/>
          <w:szCs w:val="24"/>
        </w:rPr>
        <w:t>Podprojekt 3 - na prośbę Beneficjenta</w:t>
      </w:r>
      <w:r>
        <w:rPr>
          <w:noProof/>
          <w:szCs w:val="24"/>
        </w:rPr>
        <w:t xml:space="preserve">, </w:t>
      </w:r>
      <w:r w:rsidRPr="00D01344">
        <w:rPr>
          <w:noProof/>
          <w:szCs w:val="24"/>
        </w:rPr>
        <w:t>4 marca 2014r.  Zarząd Województwa Śląskiego uchylił decyzję o dofinansowanie projektu w związku z zaawansowanymi pracami związanymi ze zmianą modelu finansowania podprojektu poprzez uzyskanie dofinansowania z Programu Operacyjnego Infrastruktura i Środowisko.</w:t>
      </w:r>
      <w:r w:rsidRPr="00D01344">
        <w:rPr>
          <w:noProof/>
          <w:szCs w:val="20"/>
        </w:rPr>
        <w:t xml:space="preserve"> </w:t>
      </w:r>
      <w:r w:rsidRPr="00D01344">
        <w:rPr>
          <w:noProof/>
          <w:szCs w:val="24"/>
        </w:rPr>
        <w:t xml:space="preserve">8 kwietnia 2014 r. Zarząd Województwa Śląskiego uchwałą nr 636/326/IV/2014 przyjął aktualizację </w:t>
      </w:r>
      <w:r w:rsidRPr="00D01344">
        <w:rPr>
          <w:i/>
          <w:noProof/>
          <w:szCs w:val="24"/>
        </w:rPr>
        <w:t>Szczegółowego Opisu Priorytetów RPO WSL na lata 2007-2013</w:t>
      </w:r>
      <w:r w:rsidRPr="00D01344">
        <w:rPr>
          <w:noProof/>
          <w:szCs w:val="24"/>
        </w:rPr>
        <w:t xml:space="preserve">. </w:t>
      </w:r>
    </w:p>
    <w:p w14:paraId="0EFDBA13" w14:textId="77777777" w:rsidR="00263C92" w:rsidRPr="005D7B93" w:rsidRDefault="00263C92" w:rsidP="004914D8">
      <w:pPr>
        <w:numPr>
          <w:ilvl w:val="0"/>
          <w:numId w:val="61"/>
        </w:numPr>
        <w:tabs>
          <w:tab w:val="left" w:pos="284"/>
          <w:tab w:val="left" w:pos="426"/>
        </w:tabs>
        <w:spacing w:after="0"/>
        <w:jc w:val="both"/>
        <w:rPr>
          <w:color w:val="000000" w:themeColor="text1"/>
        </w:rPr>
      </w:pPr>
      <w:r w:rsidRPr="005D7B93">
        <w:rPr>
          <w:noProof/>
          <w:color w:val="000000" w:themeColor="text1"/>
          <w:szCs w:val="24"/>
        </w:rPr>
        <w:t xml:space="preserve">W dniach od 16 grudnia 2015 r. do 18 grudnia 2015 r. </w:t>
      </w:r>
      <w:r w:rsidRPr="005D7B93">
        <w:rPr>
          <w:color w:val="000000" w:themeColor="text1"/>
        </w:rPr>
        <w:t>IZ RPO WSL przeprowadziła kontrolę na zakończenie realizacji projektu w zakresie zgodności wykorzystania środków finansowych z zakresem określonym w Umowie o dofinansowanie projektu. W wyniku kontroli projektu nie stwierdzono zastrzeżeń. Cel projektu został osiągnięty.</w:t>
      </w:r>
    </w:p>
    <w:p w14:paraId="36D82905" w14:textId="77777777" w:rsidR="00263C92" w:rsidRPr="005D7B93" w:rsidRDefault="00263C92" w:rsidP="004914D8">
      <w:pPr>
        <w:pStyle w:val="Tekstpodstawowy2"/>
        <w:numPr>
          <w:ilvl w:val="0"/>
          <w:numId w:val="61"/>
        </w:numPr>
        <w:tabs>
          <w:tab w:val="left" w:pos="284"/>
        </w:tabs>
        <w:spacing w:line="276" w:lineRule="auto"/>
        <w:jc w:val="both"/>
        <w:rPr>
          <w:color w:val="000000" w:themeColor="text1"/>
          <w:szCs w:val="24"/>
        </w:rPr>
      </w:pPr>
      <w:r w:rsidRPr="005D7B93">
        <w:rPr>
          <w:color w:val="000000" w:themeColor="text1"/>
          <w:szCs w:val="24"/>
        </w:rPr>
        <w:t xml:space="preserve">zakończenie rzeczowe projektu nastąpiło 5 listopada 2014 r., natomiast finansowe 19 grudnia 2014 r. </w:t>
      </w:r>
    </w:p>
    <w:p w14:paraId="57D9D600" w14:textId="77777777" w:rsidR="00BB152A" w:rsidRDefault="00BB152A" w:rsidP="006476B3">
      <w:pPr>
        <w:spacing w:after="120"/>
        <w:jc w:val="both"/>
        <w:rPr>
          <w:b/>
        </w:rPr>
      </w:pPr>
    </w:p>
    <w:p w14:paraId="387B0802" w14:textId="77777777" w:rsidR="006476B3" w:rsidRPr="006476B3" w:rsidRDefault="006476B3" w:rsidP="006476B3">
      <w:pPr>
        <w:spacing w:after="120"/>
        <w:jc w:val="both"/>
        <w:rPr>
          <w:b/>
        </w:rPr>
      </w:pPr>
      <w:r w:rsidRPr="006476B3">
        <w:rPr>
          <w:b/>
        </w:rPr>
        <w:t>Napotkane problemy w realizacji projektu oraz podjęte środki zaradcze:</w:t>
      </w:r>
    </w:p>
    <w:p w14:paraId="62EF11B6" w14:textId="77777777" w:rsidR="006476B3" w:rsidRPr="006476B3" w:rsidRDefault="006476B3" w:rsidP="006476B3">
      <w:pPr>
        <w:spacing w:after="0"/>
        <w:jc w:val="both"/>
      </w:pPr>
      <w:r w:rsidRPr="006476B3">
        <w:t xml:space="preserve">W trakcie realizacji projektu </w:t>
      </w:r>
      <w:r>
        <w:t>nie pojawiły się znaczące problemy wpływające na realizację projektu.</w:t>
      </w:r>
    </w:p>
    <w:p w14:paraId="2E5FC082" w14:textId="77777777" w:rsidR="00263C92" w:rsidRPr="00D90934" w:rsidRDefault="00263C92" w:rsidP="00250EF5">
      <w:pPr>
        <w:pStyle w:val="Tekstpodstawowy2"/>
        <w:tabs>
          <w:tab w:val="left" w:pos="284"/>
          <w:tab w:val="left" w:pos="426"/>
        </w:tabs>
        <w:spacing w:line="276" w:lineRule="auto"/>
        <w:jc w:val="both"/>
        <w:rPr>
          <w:szCs w:val="24"/>
        </w:rPr>
      </w:pPr>
    </w:p>
    <w:p w14:paraId="2A69184A" w14:textId="77777777" w:rsidR="00263C92" w:rsidRDefault="00263C92" w:rsidP="00263C92">
      <w:pPr>
        <w:jc w:val="both"/>
        <w:rPr>
          <w:rFonts w:eastAsia="Calibri"/>
          <w:i/>
          <w:szCs w:val="24"/>
          <w:lang w:eastAsia="en-US"/>
        </w:rPr>
      </w:pPr>
      <w:r w:rsidRPr="00D90934">
        <w:rPr>
          <w:rFonts w:eastAsia="Calibri"/>
          <w:szCs w:val="24"/>
          <w:lang w:eastAsia="en-US"/>
        </w:rPr>
        <w:t xml:space="preserve">Z pomocy w ramach inicjatywy Jaspers korzystali beneficjenci przygotowujący projekt pn. </w:t>
      </w:r>
      <w:r w:rsidRPr="00D90934">
        <w:rPr>
          <w:rFonts w:eastAsia="Calibri"/>
          <w:i/>
          <w:szCs w:val="24"/>
          <w:lang w:eastAsia="en-US"/>
        </w:rPr>
        <w:t>Kontynuacja budowy Drogowej Trasy Średnicowej „Zachód” – odcinek Zabrze – Gliwice</w:t>
      </w:r>
      <w:r w:rsidRPr="00D90934">
        <w:rPr>
          <w:rFonts w:eastAsia="Calibri"/>
          <w:szCs w:val="24"/>
          <w:lang w:eastAsia="en-US"/>
        </w:rPr>
        <w:t xml:space="preserve">, projekt pn. </w:t>
      </w:r>
      <w:r w:rsidRPr="00D90934">
        <w:rPr>
          <w:rFonts w:eastAsia="Calibri"/>
          <w:i/>
          <w:szCs w:val="24"/>
          <w:lang w:eastAsia="en-US"/>
        </w:rPr>
        <w:t>Budowa nowej siedziby Muzeum Śląskiego w Katowicach</w:t>
      </w:r>
      <w:r w:rsidRPr="00D90934">
        <w:rPr>
          <w:rFonts w:eastAsia="Calibri"/>
          <w:szCs w:val="24"/>
          <w:lang w:eastAsia="en-US"/>
        </w:rPr>
        <w:t xml:space="preserve"> oraz projekt pn. </w:t>
      </w:r>
      <w:r w:rsidRPr="00D90934">
        <w:rPr>
          <w:rFonts w:eastAsia="Calibri"/>
          <w:i/>
          <w:szCs w:val="24"/>
          <w:lang w:eastAsia="en-US"/>
        </w:rPr>
        <w:t>Budowa nowoczesnej hali widowiskowo-sportowej Podium.</w:t>
      </w:r>
    </w:p>
    <w:p w14:paraId="50E09060" w14:textId="7A929BC3" w:rsidR="00263C92" w:rsidRDefault="00263C92" w:rsidP="00250EF5">
      <w:pPr>
        <w:jc w:val="both"/>
        <w:rPr>
          <w:rFonts w:eastAsia="Calibri"/>
          <w:szCs w:val="24"/>
          <w:lang w:eastAsia="en-US"/>
        </w:rPr>
      </w:pPr>
      <w:r w:rsidRPr="00D90934">
        <w:rPr>
          <w:rFonts w:eastAsia="Calibri"/>
          <w:szCs w:val="24"/>
          <w:lang w:eastAsia="en-US"/>
        </w:rPr>
        <w:lastRenderedPageBreak/>
        <w:t xml:space="preserve">W ramach RPO WSL 2007-2013 nie </w:t>
      </w:r>
      <w:r w:rsidR="00250EF5">
        <w:rPr>
          <w:rFonts w:eastAsia="Calibri"/>
          <w:szCs w:val="24"/>
          <w:lang w:eastAsia="en-US"/>
        </w:rPr>
        <w:t>zidentyfikowano</w:t>
      </w:r>
      <w:r>
        <w:rPr>
          <w:rFonts w:eastAsia="Calibri"/>
          <w:szCs w:val="24"/>
          <w:lang w:eastAsia="en-US"/>
        </w:rPr>
        <w:t xml:space="preserve"> projektów środowiskowych o </w:t>
      </w:r>
      <w:r w:rsidRPr="00D90934">
        <w:rPr>
          <w:rFonts w:eastAsia="Calibri"/>
          <w:szCs w:val="24"/>
          <w:lang w:eastAsia="en-US"/>
        </w:rPr>
        <w:t>koszcie całkowitym z przedziału 25–50 mln EUR.</w:t>
      </w:r>
    </w:p>
    <w:p w14:paraId="06663D6B" w14:textId="37F9F9C9" w:rsidR="00C80B2A" w:rsidRPr="00C80B2A" w:rsidRDefault="00C80B2A" w:rsidP="004C098D">
      <w:pPr>
        <w:autoSpaceDE w:val="0"/>
        <w:autoSpaceDN w:val="0"/>
        <w:adjustRightInd w:val="0"/>
        <w:spacing w:after="120"/>
        <w:jc w:val="both"/>
        <w:rPr>
          <w:rFonts w:ascii="TimesNewRoman" w:eastAsia="Calibri" w:hAnsi="TimesNewRoman" w:cs="TimesNewRoman"/>
          <w:szCs w:val="24"/>
        </w:rPr>
      </w:pPr>
      <w:r w:rsidRPr="00C80B2A">
        <w:t>IZ RPO WSL nie ustanowiła wykazu dużych projektów roz</w:t>
      </w:r>
      <w:r>
        <w:t>łożonych na etapy realizowane w </w:t>
      </w:r>
      <w:r w:rsidRPr="00C80B2A">
        <w:t>dwóch okresach programowania, tym samym wy</w:t>
      </w:r>
      <w:r>
        <w:t>kaz taki nie został włączony do </w:t>
      </w:r>
      <w:r w:rsidRPr="00C80B2A">
        <w:t>sprawozdania końcowego dotyczącego programu na lata 2007-2013.</w:t>
      </w:r>
    </w:p>
    <w:p w14:paraId="69C1DA71" w14:textId="20ADC327" w:rsidR="00DC46FF" w:rsidRPr="00250EF5" w:rsidRDefault="00DC46FF" w:rsidP="00250EF5">
      <w:pPr>
        <w:jc w:val="both"/>
        <w:rPr>
          <w:rFonts w:eastAsia="Calibri"/>
          <w:i/>
          <w:szCs w:val="24"/>
          <w:lang w:eastAsia="en-US"/>
        </w:rPr>
      </w:pPr>
      <w:r>
        <w:rPr>
          <w:rFonts w:eastAsia="Calibri"/>
          <w:szCs w:val="24"/>
          <w:lang w:eastAsia="en-US"/>
        </w:rPr>
        <w:t xml:space="preserve">W załączniku XIV do niniejszego </w:t>
      </w:r>
      <w:r w:rsidRPr="001D710A">
        <w:rPr>
          <w:rFonts w:eastAsia="Calibri"/>
          <w:i/>
          <w:szCs w:val="24"/>
          <w:lang w:eastAsia="en-US"/>
        </w:rPr>
        <w:t>Sprawozdania</w:t>
      </w:r>
      <w:r>
        <w:rPr>
          <w:rFonts w:eastAsia="Calibri"/>
          <w:szCs w:val="24"/>
          <w:lang w:eastAsia="en-US"/>
        </w:rPr>
        <w:t xml:space="preserve"> </w:t>
      </w:r>
      <w:r w:rsidR="001D710A">
        <w:rPr>
          <w:rFonts w:eastAsia="Calibri"/>
          <w:szCs w:val="24"/>
          <w:lang w:eastAsia="en-US"/>
        </w:rPr>
        <w:t xml:space="preserve">przedstawiono </w:t>
      </w:r>
      <w:r>
        <w:rPr>
          <w:rFonts w:eastAsia="Calibri"/>
          <w:szCs w:val="24"/>
          <w:lang w:eastAsia="en-US"/>
        </w:rPr>
        <w:t xml:space="preserve">wykaz ukończonych </w:t>
      </w:r>
      <w:r w:rsidR="001D710A">
        <w:rPr>
          <w:rFonts w:eastAsia="Calibri"/>
          <w:szCs w:val="24"/>
          <w:lang w:eastAsia="en-US"/>
        </w:rPr>
        <w:t>dużych projektów.</w:t>
      </w:r>
    </w:p>
    <w:p w14:paraId="090894F3" w14:textId="77777777" w:rsidR="00245F70" w:rsidRPr="0094320D" w:rsidRDefault="00A80D21" w:rsidP="001340E4">
      <w:pPr>
        <w:pStyle w:val="Nagwek1"/>
        <w:numPr>
          <w:ilvl w:val="0"/>
          <w:numId w:val="36"/>
        </w:numPr>
        <w:tabs>
          <w:tab w:val="left" w:pos="1560"/>
        </w:tabs>
        <w:spacing w:before="240" w:after="120"/>
        <w:ind w:left="284" w:hanging="284"/>
        <w:jc w:val="both"/>
        <w:rPr>
          <w:spacing w:val="-3"/>
          <w:szCs w:val="24"/>
        </w:rPr>
      </w:pPr>
      <w:bookmarkStart w:id="739" w:name="_Toc423351844"/>
      <w:bookmarkStart w:id="740" w:name="_Toc477779805"/>
      <w:r w:rsidRPr="0094320D">
        <w:rPr>
          <w:spacing w:val="-3"/>
          <w:szCs w:val="24"/>
        </w:rPr>
        <w:t>POMOC TECHNICZNA</w:t>
      </w:r>
      <w:bookmarkEnd w:id="739"/>
      <w:bookmarkEnd w:id="740"/>
    </w:p>
    <w:p w14:paraId="2F045358" w14:textId="6CA22EB6" w:rsidR="001340E4" w:rsidRPr="00D90934" w:rsidRDefault="001340E4" w:rsidP="001340E4">
      <w:pPr>
        <w:spacing w:after="120"/>
        <w:jc w:val="both"/>
        <w:rPr>
          <w:szCs w:val="24"/>
        </w:rPr>
      </w:pPr>
      <w:r w:rsidRPr="00D90934">
        <w:rPr>
          <w:szCs w:val="24"/>
        </w:rPr>
        <w:t xml:space="preserve">Wydatki poniesione z </w:t>
      </w:r>
      <w:r w:rsidRPr="00D90934">
        <w:rPr>
          <w:i/>
          <w:szCs w:val="24"/>
        </w:rPr>
        <w:t>priorytetu X Pomoc Techniczna RPO WSL</w:t>
      </w:r>
      <w:r w:rsidRPr="00D90934">
        <w:rPr>
          <w:szCs w:val="24"/>
        </w:rPr>
        <w:t xml:space="preserve"> miały na celu wsparcie procesu zarządzania i wdrażania oraz informacji i promocji  </w:t>
      </w:r>
      <w:r w:rsidRPr="00D90934">
        <w:rPr>
          <w:i/>
          <w:szCs w:val="24"/>
        </w:rPr>
        <w:t>RPO</w:t>
      </w:r>
      <w:r w:rsidRPr="00D90934">
        <w:rPr>
          <w:szCs w:val="24"/>
        </w:rPr>
        <w:t xml:space="preserve">. </w:t>
      </w:r>
    </w:p>
    <w:p w14:paraId="53FE2A23" w14:textId="24E6F13B" w:rsidR="001340E4" w:rsidRPr="00D90934" w:rsidRDefault="001340E4" w:rsidP="001340E4">
      <w:pPr>
        <w:jc w:val="both"/>
        <w:rPr>
          <w:szCs w:val="24"/>
        </w:rPr>
      </w:pPr>
      <w:r w:rsidRPr="00D90934">
        <w:rPr>
          <w:szCs w:val="24"/>
        </w:rPr>
        <w:t xml:space="preserve">Wysokość alokacji na </w:t>
      </w:r>
      <w:r w:rsidRPr="00D90934">
        <w:rPr>
          <w:i/>
          <w:szCs w:val="24"/>
        </w:rPr>
        <w:t>priorytet X Pomoc techniczna</w:t>
      </w:r>
      <w:r w:rsidRPr="00D90934">
        <w:rPr>
          <w:szCs w:val="24"/>
        </w:rPr>
        <w:t xml:space="preserve"> wynosi</w:t>
      </w:r>
      <w:r>
        <w:rPr>
          <w:szCs w:val="24"/>
        </w:rPr>
        <w:t>ł</w:t>
      </w:r>
      <w:r w:rsidRPr="00D90934">
        <w:rPr>
          <w:szCs w:val="24"/>
        </w:rPr>
        <w:t xml:space="preserve"> 43,20 mln EUR, co stanowi ok. 2,5% całej alokacji na </w:t>
      </w:r>
      <w:r w:rsidRPr="00D90934">
        <w:rPr>
          <w:i/>
          <w:szCs w:val="24"/>
        </w:rPr>
        <w:t>Program.</w:t>
      </w:r>
    </w:p>
    <w:p w14:paraId="58A37261" w14:textId="77777777" w:rsidR="001340E4" w:rsidRPr="00D90934" w:rsidRDefault="001340E4" w:rsidP="001340E4">
      <w:pPr>
        <w:spacing w:after="120"/>
        <w:jc w:val="both"/>
        <w:rPr>
          <w:szCs w:val="24"/>
        </w:rPr>
      </w:pPr>
      <w:r w:rsidRPr="00D90934">
        <w:rPr>
          <w:szCs w:val="24"/>
        </w:rPr>
        <w:t xml:space="preserve">Alokacja na wydatki związane z przygotowaniem, zarządzaniem, monitorowaniem, oceną, kontrolą i ewaluacją realizacji </w:t>
      </w:r>
      <w:r w:rsidRPr="00D90934">
        <w:rPr>
          <w:i/>
          <w:szCs w:val="24"/>
        </w:rPr>
        <w:t>RPO WSL,</w:t>
      </w:r>
      <w:r w:rsidRPr="00D90934">
        <w:rPr>
          <w:szCs w:val="24"/>
        </w:rPr>
        <w:t xml:space="preserve"> działaniami mającymi na celu zwiększenie zdolności administracyjnych oraz informacją i promocją odnośnie </w:t>
      </w:r>
      <w:r w:rsidRPr="00D90934">
        <w:rPr>
          <w:i/>
          <w:szCs w:val="24"/>
        </w:rPr>
        <w:t>Programu z</w:t>
      </w:r>
      <w:r w:rsidRPr="00D90934">
        <w:rPr>
          <w:szCs w:val="24"/>
        </w:rPr>
        <w:t xml:space="preserve">ostała podzielona na działania w ramach </w:t>
      </w:r>
      <w:r w:rsidRPr="00D90934">
        <w:rPr>
          <w:i/>
          <w:szCs w:val="24"/>
        </w:rPr>
        <w:t>priorytetu X Pomoc techniczna</w:t>
      </w:r>
      <w:r w:rsidRPr="00D90934">
        <w:rPr>
          <w:szCs w:val="24"/>
        </w:rPr>
        <w:t xml:space="preserve">. </w:t>
      </w:r>
    </w:p>
    <w:p w14:paraId="1167E223" w14:textId="77777777" w:rsidR="001340E4" w:rsidRPr="00D90934" w:rsidRDefault="001340E4" w:rsidP="001340E4">
      <w:pPr>
        <w:spacing w:after="0"/>
        <w:jc w:val="both"/>
        <w:rPr>
          <w:szCs w:val="24"/>
        </w:rPr>
      </w:pPr>
      <w:r w:rsidRPr="00D90934">
        <w:rPr>
          <w:szCs w:val="24"/>
        </w:rPr>
        <w:t xml:space="preserve">Wysokość alokacji na działania w ramach </w:t>
      </w:r>
      <w:r w:rsidRPr="00D90934">
        <w:rPr>
          <w:i/>
          <w:szCs w:val="24"/>
        </w:rPr>
        <w:t>priorytetu X Pomoc techniczna</w:t>
      </w:r>
      <w:r w:rsidRPr="00D90934">
        <w:rPr>
          <w:szCs w:val="24"/>
        </w:rPr>
        <w:t xml:space="preserve"> przedstawia się następująco:</w:t>
      </w:r>
    </w:p>
    <w:p w14:paraId="595B0598" w14:textId="77777777" w:rsidR="001340E4" w:rsidRDefault="001340E4" w:rsidP="004914D8">
      <w:pPr>
        <w:pStyle w:val="Akapitzlist"/>
        <w:numPr>
          <w:ilvl w:val="0"/>
          <w:numId w:val="66"/>
        </w:numPr>
        <w:spacing w:after="0"/>
        <w:ind w:left="709"/>
        <w:jc w:val="both"/>
        <w:rPr>
          <w:szCs w:val="24"/>
        </w:rPr>
      </w:pPr>
      <w:r>
        <w:rPr>
          <w:szCs w:val="24"/>
        </w:rPr>
        <w:t>d</w:t>
      </w:r>
      <w:r w:rsidRPr="00C74140">
        <w:rPr>
          <w:szCs w:val="24"/>
        </w:rPr>
        <w:t xml:space="preserve">ziałanie 10.1 Wsparcie procesu zarządzania i wdrażania – 39 196 934 euro, co stanowi ok. 91 % całej alokacji na </w:t>
      </w:r>
      <w:r w:rsidRPr="00C74140">
        <w:rPr>
          <w:i/>
          <w:szCs w:val="24"/>
        </w:rPr>
        <w:t>priorytet X</w:t>
      </w:r>
      <w:r>
        <w:rPr>
          <w:szCs w:val="24"/>
        </w:rPr>
        <w:t>,</w:t>
      </w:r>
    </w:p>
    <w:p w14:paraId="13F290DB" w14:textId="77777777" w:rsidR="001340E4" w:rsidRPr="00C74140" w:rsidRDefault="001340E4" w:rsidP="004914D8">
      <w:pPr>
        <w:pStyle w:val="Akapitzlist"/>
        <w:numPr>
          <w:ilvl w:val="0"/>
          <w:numId w:val="66"/>
        </w:numPr>
        <w:spacing w:after="120"/>
        <w:ind w:left="709" w:hanging="357"/>
        <w:jc w:val="both"/>
        <w:rPr>
          <w:szCs w:val="24"/>
        </w:rPr>
      </w:pPr>
      <w:r>
        <w:rPr>
          <w:szCs w:val="24"/>
        </w:rPr>
        <w:t>d</w:t>
      </w:r>
      <w:r w:rsidRPr="00C74140">
        <w:rPr>
          <w:szCs w:val="24"/>
        </w:rPr>
        <w:t xml:space="preserve">ziałanie 10.2. Działania informacyjne i promocyjne- 4 000 000 euro, </w:t>
      </w:r>
      <w:r>
        <w:rPr>
          <w:szCs w:val="24"/>
        </w:rPr>
        <w:t xml:space="preserve">co stanowi ok. 9 % alokacji na </w:t>
      </w:r>
      <w:r w:rsidRPr="00C74140">
        <w:rPr>
          <w:i/>
          <w:szCs w:val="24"/>
        </w:rPr>
        <w:t>priorytet X</w:t>
      </w:r>
      <w:r w:rsidRPr="00C74140">
        <w:rPr>
          <w:szCs w:val="24"/>
        </w:rPr>
        <w:t>.</w:t>
      </w:r>
    </w:p>
    <w:p w14:paraId="5BABE5F7" w14:textId="598E4515" w:rsidR="001340E4" w:rsidRPr="00D90934" w:rsidRDefault="001340E4" w:rsidP="001340E4">
      <w:pPr>
        <w:spacing w:after="120"/>
        <w:jc w:val="both"/>
        <w:rPr>
          <w:szCs w:val="24"/>
        </w:rPr>
      </w:pPr>
      <w:r w:rsidRPr="00D90934">
        <w:rPr>
          <w:szCs w:val="24"/>
        </w:rPr>
        <w:t xml:space="preserve">W ramach </w:t>
      </w:r>
      <w:r w:rsidRPr="00D45C3B">
        <w:rPr>
          <w:i/>
          <w:szCs w:val="24"/>
        </w:rPr>
        <w:t>priorytetu</w:t>
      </w:r>
      <w:r w:rsidRPr="00D90934">
        <w:rPr>
          <w:szCs w:val="24"/>
        </w:rPr>
        <w:t xml:space="preserve"> </w:t>
      </w:r>
      <w:r w:rsidRPr="00D45C3B">
        <w:rPr>
          <w:i/>
          <w:szCs w:val="24"/>
        </w:rPr>
        <w:t>X Pomoc techniczna</w:t>
      </w:r>
      <w:r w:rsidRPr="00D90934">
        <w:rPr>
          <w:szCs w:val="24"/>
        </w:rPr>
        <w:t xml:space="preserve"> re</w:t>
      </w:r>
      <w:r>
        <w:rPr>
          <w:szCs w:val="24"/>
        </w:rPr>
        <w:t>alizowane projekty finansowane były</w:t>
      </w:r>
      <w:r w:rsidRPr="00D90934">
        <w:rPr>
          <w:szCs w:val="24"/>
        </w:rPr>
        <w:t xml:space="preserve"> w 100% ze środków EFRR.</w:t>
      </w:r>
    </w:p>
    <w:p w14:paraId="17CAA6D7" w14:textId="014D2ADF" w:rsidR="001340E4" w:rsidRDefault="001340E4" w:rsidP="001340E4">
      <w:pPr>
        <w:pStyle w:val="Nagwek"/>
        <w:spacing w:before="120" w:after="240"/>
        <w:jc w:val="both"/>
        <w:rPr>
          <w:b/>
        </w:rPr>
      </w:pPr>
      <w:r w:rsidRPr="008B5840">
        <w:t>Od początku realizacji</w:t>
      </w:r>
      <w:r w:rsidR="003312AE">
        <w:t xml:space="preserve"> </w:t>
      </w:r>
      <w:r w:rsidR="003312AE" w:rsidRPr="003312AE">
        <w:rPr>
          <w:i/>
        </w:rPr>
        <w:t>P</w:t>
      </w:r>
      <w:r w:rsidRPr="003312AE">
        <w:rPr>
          <w:i/>
        </w:rPr>
        <w:t>rogramu</w:t>
      </w:r>
      <w:r w:rsidRPr="008B5840">
        <w:t xml:space="preserve"> działania finansowane były zgodnie z zapisami Decyzji Zarządu Województwa, a środki na Pomoc Techniczną były wystarczające.</w:t>
      </w:r>
      <w:r>
        <w:rPr>
          <w:b/>
        </w:rPr>
        <w:t xml:space="preserve"> </w:t>
      </w:r>
    </w:p>
    <w:p w14:paraId="503A584D" w14:textId="68BEFC87" w:rsidR="00817F96" w:rsidRPr="00D90934" w:rsidRDefault="00817F96" w:rsidP="00817F96">
      <w:pPr>
        <w:jc w:val="both"/>
        <w:rPr>
          <w:szCs w:val="24"/>
        </w:rPr>
      </w:pPr>
      <w:r w:rsidRPr="00D90934">
        <w:rPr>
          <w:szCs w:val="24"/>
        </w:rPr>
        <w:t>Poniżej w tabeli zaprezentowano liczbę i wartość pr</w:t>
      </w:r>
      <w:r w:rsidR="003312AE">
        <w:rPr>
          <w:szCs w:val="24"/>
        </w:rPr>
        <w:t>ojektów realizowanych w ramach P</w:t>
      </w:r>
      <w:r w:rsidRPr="00D90934">
        <w:rPr>
          <w:szCs w:val="24"/>
        </w:rPr>
        <w:t xml:space="preserve">rogramu na koniec okresu sprawozdawczego w podziale na typy projektów. </w:t>
      </w:r>
    </w:p>
    <w:p w14:paraId="03B50AA5" w14:textId="77777777" w:rsidR="005E15AF" w:rsidRDefault="005E15AF">
      <w:pPr>
        <w:spacing w:after="0" w:line="240" w:lineRule="auto"/>
        <w:rPr>
          <w:b/>
          <w:bCs/>
          <w:sz w:val="18"/>
          <w:szCs w:val="18"/>
        </w:rPr>
      </w:pPr>
      <w:bookmarkStart w:id="741" w:name="_Toc324853753"/>
      <w:bookmarkStart w:id="742" w:name="_Toc326046390"/>
      <w:bookmarkStart w:id="743" w:name="_Toc355688759"/>
      <w:bookmarkStart w:id="744" w:name="_Toc476131824"/>
      <w:r>
        <w:br w:type="page"/>
      </w:r>
    </w:p>
    <w:p w14:paraId="695A506C" w14:textId="6FD97045" w:rsidR="00817F96" w:rsidRDefault="004D7598" w:rsidP="004D7598">
      <w:pPr>
        <w:pStyle w:val="Legenda"/>
        <w:rPr>
          <w:b w:val="0"/>
          <w:i/>
          <w:color w:val="auto"/>
          <w:sz w:val="20"/>
          <w:szCs w:val="20"/>
        </w:rPr>
      </w:pPr>
      <w:r w:rsidRPr="003A31E7">
        <w:rPr>
          <w:color w:val="auto"/>
        </w:rPr>
        <w:lastRenderedPageBreak/>
        <w:t xml:space="preserve">Tabela </w:t>
      </w:r>
      <w:r w:rsidR="00A44293" w:rsidRPr="003A31E7">
        <w:rPr>
          <w:color w:val="auto"/>
        </w:rPr>
        <w:fldChar w:fldCharType="begin"/>
      </w:r>
      <w:r w:rsidR="00A44293" w:rsidRPr="003A31E7">
        <w:rPr>
          <w:color w:val="auto"/>
        </w:rPr>
        <w:instrText xml:space="preserve"> SEQ Tabela \* ARABIC </w:instrText>
      </w:r>
      <w:r w:rsidR="00A44293" w:rsidRPr="003A31E7">
        <w:rPr>
          <w:color w:val="auto"/>
        </w:rPr>
        <w:fldChar w:fldCharType="separate"/>
      </w:r>
      <w:r w:rsidR="0050297D">
        <w:rPr>
          <w:noProof/>
          <w:color w:val="auto"/>
        </w:rPr>
        <w:t>41</w:t>
      </w:r>
      <w:r w:rsidR="00A44293" w:rsidRPr="003A31E7">
        <w:rPr>
          <w:noProof/>
          <w:color w:val="auto"/>
        </w:rPr>
        <w:fldChar w:fldCharType="end"/>
      </w:r>
      <w:r w:rsidRPr="003A31E7">
        <w:rPr>
          <w:color w:val="auto"/>
        </w:rPr>
        <w:t xml:space="preserve"> </w:t>
      </w:r>
      <w:r w:rsidR="00817F96" w:rsidRPr="00F41E8E">
        <w:rPr>
          <w:b w:val="0"/>
          <w:i/>
          <w:color w:val="auto"/>
          <w:sz w:val="20"/>
          <w:szCs w:val="20"/>
        </w:rPr>
        <w:t>Liczba i wartość wszystkich projektów / planów działań w ram</w:t>
      </w:r>
      <w:r w:rsidR="000D58B4">
        <w:rPr>
          <w:b w:val="0"/>
          <w:i/>
          <w:color w:val="auto"/>
          <w:sz w:val="20"/>
          <w:szCs w:val="20"/>
        </w:rPr>
        <w:t>ach RPO WSL ze </w:t>
      </w:r>
      <w:r w:rsidR="00817F96" w:rsidRPr="00F41E8E">
        <w:rPr>
          <w:b w:val="0"/>
          <w:i/>
          <w:color w:val="auto"/>
          <w:sz w:val="20"/>
          <w:szCs w:val="20"/>
        </w:rPr>
        <w:t>środków pomocy technicznej według głównych typów (projekty objęte decyzjami/ umowami o dofinansowanie)</w:t>
      </w:r>
      <w:bookmarkEnd w:id="741"/>
      <w:bookmarkEnd w:id="742"/>
      <w:bookmarkEnd w:id="743"/>
      <w:bookmarkEnd w:id="744"/>
    </w:p>
    <w:tbl>
      <w:tblPr>
        <w:tblStyle w:val="Tabelasiatki1jasnaakcent1"/>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4632"/>
        <w:gridCol w:w="1779"/>
        <w:gridCol w:w="2372"/>
      </w:tblGrid>
      <w:tr w:rsidR="003312AE" w:rsidRPr="0070239D" w14:paraId="7F9B3DA1" w14:textId="77777777" w:rsidTr="005E15AF">
        <w:trPr>
          <w:trHeight w:val="1826"/>
        </w:trPr>
        <w:tc>
          <w:tcPr>
            <w:tcW w:w="539" w:type="dxa"/>
            <w:shd w:val="clear" w:color="auto" w:fill="92D050"/>
            <w:vAlign w:val="center"/>
          </w:tcPr>
          <w:p w14:paraId="6773C52F" w14:textId="362A8550" w:rsidR="003312AE" w:rsidRPr="00BB152A" w:rsidRDefault="001D040C" w:rsidP="003312AE">
            <w:pPr>
              <w:spacing w:before="120" w:after="120"/>
              <w:jc w:val="center"/>
              <w:rPr>
                <w:b/>
                <w:color w:val="0D0D0D" w:themeColor="text1" w:themeTint="F2"/>
                <w:sz w:val="20"/>
                <w:szCs w:val="20"/>
              </w:rPr>
            </w:pPr>
            <w:r w:rsidRPr="00BB152A">
              <w:rPr>
                <w:b/>
                <w:color w:val="0D0D0D" w:themeColor="text1" w:themeTint="F2"/>
                <w:sz w:val="20"/>
                <w:szCs w:val="20"/>
              </w:rPr>
              <w:t>LP.</w:t>
            </w:r>
          </w:p>
        </w:tc>
        <w:tc>
          <w:tcPr>
            <w:tcW w:w="4632" w:type="dxa"/>
            <w:shd w:val="clear" w:color="auto" w:fill="92D050"/>
            <w:vAlign w:val="center"/>
          </w:tcPr>
          <w:p w14:paraId="5F60778F" w14:textId="485EC82B" w:rsidR="003312AE" w:rsidRPr="00BB152A" w:rsidRDefault="001D040C" w:rsidP="003312AE">
            <w:pPr>
              <w:spacing w:before="120" w:after="120"/>
              <w:jc w:val="center"/>
              <w:rPr>
                <w:b/>
                <w:color w:val="0D0D0D" w:themeColor="text1" w:themeTint="F2"/>
                <w:sz w:val="20"/>
                <w:szCs w:val="20"/>
              </w:rPr>
            </w:pPr>
            <w:r w:rsidRPr="00BB152A">
              <w:rPr>
                <w:b/>
                <w:color w:val="0D0D0D" w:themeColor="text1" w:themeTint="F2"/>
                <w:sz w:val="20"/>
                <w:szCs w:val="20"/>
              </w:rPr>
              <w:t>TYP PROJEKTU</w:t>
            </w:r>
          </w:p>
        </w:tc>
        <w:tc>
          <w:tcPr>
            <w:tcW w:w="1779" w:type="dxa"/>
            <w:shd w:val="clear" w:color="auto" w:fill="92D050"/>
            <w:vAlign w:val="center"/>
          </w:tcPr>
          <w:p w14:paraId="12D7A0D6" w14:textId="53DF95D2" w:rsidR="003312AE" w:rsidRPr="00BB152A" w:rsidRDefault="001D040C" w:rsidP="003312AE">
            <w:pPr>
              <w:spacing w:before="120" w:after="120"/>
              <w:jc w:val="center"/>
              <w:rPr>
                <w:b/>
                <w:color w:val="0D0D0D" w:themeColor="text1" w:themeTint="F2"/>
                <w:sz w:val="20"/>
                <w:szCs w:val="20"/>
              </w:rPr>
            </w:pPr>
            <w:r w:rsidRPr="00BB152A">
              <w:rPr>
                <w:b/>
                <w:color w:val="0D0D0D" w:themeColor="text1" w:themeTint="F2"/>
                <w:sz w:val="20"/>
                <w:szCs w:val="20"/>
              </w:rPr>
              <w:t>LICZBA PROJEKTÓW OBJĘTYCH DECYZJAMI/ UMOWAMI OD URUCHOMIENIA  PROGRAMU</w:t>
            </w:r>
          </w:p>
        </w:tc>
        <w:tc>
          <w:tcPr>
            <w:tcW w:w="2372" w:type="dxa"/>
            <w:shd w:val="clear" w:color="auto" w:fill="92D050"/>
            <w:vAlign w:val="center"/>
          </w:tcPr>
          <w:p w14:paraId="7541FD31" w14:textId="2676F88E" w:rsidR="003312AE" w:rsidRPr="00BB152A" w:rsidRDefault="001D040C" w:rsidP="003312AE">
            <w:pPr>
              <w:spacing w:before="120" w:after="120"/>
              <w:jc w:val="center"/>
              <w:rPr>
                <w:b/>
                <w:color w:val="0D0D0D" w:themeColor="text1" w:themeTint="F2"/>
                <w:sz w:val="20"/>
                <w:szCs w:val="20"/>
              </w:rPr>
            </w:pPr>
            <w:r w:rsidRPr="00BB152A">
              <w:rPr>
                <w:b/>
                <w:color w:val="0D0D0D" w:themeColor="text1" w:themeTint="F2"/>
                <w:sz w:val="20"/>
                <w:szCs w:val="20"/>
              </w:rPr>
              <w:t xml:space="preserve">WARTOŚĆ PROJEKTÓW </w:t>
            </w:r>
            <w:r w:rsidRPr="00BB152A">
              <w:rPr>
                <w:b/>
                <w:color w:val="0D0D0D" w:themeColor="text1" w:themeTint="F2"/>
                <w:sz w:val="20"/>
                <w:szCs w:val="20"/>
              </w:rPr>
              <w:br/>
              <w:t>OBJĘTYCH DECYZJAMI/ UMOWAMI (W CZĘŚCI DOFINANSOWANIA</w:t>
            </w:r>
            <w:r w:rsidRPr="00BB152A">
              <w:rPr>
                <w:b/>
                <w:color w:val="0D0D0D" w:themeColor="text1" w:themeTint="F2"/>
                <w:sz w:val="20"/>
                <w:szCs w:val="20"/>
              </w:rPr>
              <w:br/>
              <w:t xml:space="preserve"> ZE ŚRODKÓW UE)</w:t>
            </w:r>
            <w:r w:rsidRPr="00BB152A">
              <w:rPr>
                <w:b/>
                <w:color w:val="0D0D0D" w:themeColor="text1" w:themeTint="F2"/>
                <w:sz w:val="20"/>
                <w:szCs w:val="20"/>
              </w:rPr>
              <w:br/>
              <w:t>OD URUCHOMIENIA PROGRAMU</w:t>
            </w:r>
          </w:p>
        </w:tc>
      </w:tr>
      <w:tr w:rsidR="003312AE" w:rsidRPr="0070239D" w14:paraId="4BCDE74B" w14:textId="77777777" w:rsidTr="005E15AF">
        <w:trPr>
          <w:trHeight w:val="516"/>
        </w:trPr>
        <w:tc>
          <w:tcPr>
            <w:tcW w:w="539" w:type="dxa"/>
          </w:tcPr>
          <w:p w14:paraId="01983B02" w14:textId="77777777" w:rsidR="003312AE" w:rsidRPr="001D040C" w:rsidRDefault="003312AE" w:rsidP="003312AE">
            <w:pPr>
              <w:spacing w:beforeLines="40" w:before="96" w:afterLines="40" w:after="96"/>
              <w:rPr>
                <w:sz w:val="20"/>
                <w:szCs w:val="20"/>
              </w:rPr>
            </w:pPr>
            <w:r w:rsidRPr="001D040C">
              <w:rPr>
                <w:sz w:val="20"/>
                <w:szCs w:val="20"/>
              </w:rPr>
              <w:t>1.</w:t>
            </w:r>
          </w:p>
        </w:tc>
        <w:tc>
          <w:tcPr>
            <w:tcW w:w="4632" w:type="dxa"/>
            <w:vAlign w:val="center"/>
          </w:tcPr>
          <w:p w14:paraId="481C7665" w14:textId="77777777" w:rsidR="003312AE" w:rsidRPr="001D040C" w:rsidRDefault="003312AE" w:rsidP="003312AE">
            <w:pPr>
              <w:rPr>
                <w:sz w:val="20"/>
                <w:szCs w:val="20"/>
              </w:rPr>
            </w:pPr>
            <w:r w:rsidRPr="001D040C">
              <w:rPr>
                <w:sz w:val="20"/>
                <w:szCs w:val="20"/>
              </w:rPr>
              <w:t>Szkolenia</w:t>
            </w:r>
          </w:p>
        </w:tc>
        <w:tc>
          <w:tcPr>
            <w:tcW w:w="1779" w:type="dxa"/>
            <w:vAlign w:val="center"/>
          </w:tcPr>
          <w:p w14:paraId="06F6E327" w14:textId="45036E7C" w:rsidR="003312AE" w:rsidRPr="003312AE" w:rsidRDefault="003312AE" w:rsidP="001D040C">
            <w:pPr>
              <w:jc w:val="right"/>
              <w:rPr>
                <w:sz w:val="20"/>
                <w:szCs w:val="20"/>
              </w:rPr>
            </w:pPr>
            <w:r w:rsidRPr="003312AE">
              <w:rPr>
                <w:sz w:val="20"/>
                <w:szCs w:val="20"/>
              </w:rPr>
              <w:t>27</w:t>
            </w:r>
          </w:p>
        </w:tc>
        <w:tc>
          <w:tcPr>
            <w:tcW w:w="2372" w:type="dxa"/>
            <w:vAlign w:val="center"/>
          </w:tcPr>
          <w:p w14:paraId="487501AB" w14:textId="128F6888" w:rsidR="003312AE" w:rsidRPr="003312AE" w:rsidRDefault="003312AE" w:rsidP="001D040C">
            <w:pPr>
              <w:jc w:val="right"/>
              <w:rPr>
                <w:sz w:val="20"/>
                <w:szCs w:val="20"/>
              </w:rPr>
            </w:pPr>
            <w:r w:rsidRPr="003312AE">
              <w:rPr>
                <w:sz w:val="20"/>
                <w:szCs w:val="20"/>
              </w:rPr>
              <w:t>2 068 951,57</w:t>
            </w:r>
          </w:p>
        </w:tc>
      </w:tr>
      <w:tr w:rsidR="003312AE" w:rsidRPr="0070239D" w14:paraId="6D119859" w14:textId="77777777" w:rsidTr="005E15AF">
        <w:tc>
          <w:tcPr>
            <w:tcW w:w="539" w:type="dxa"/>
          </w:tcPr>
          <w:p w14:paraId="352F10D9" w14:textId="77777777" w:rsidR="003312AE" w:rsidRPr="001D040C" w:rsidRDefault="003312AE" w:rsidP="003312AE">
            <w:pPr>
              <w:spacing w:beforeLines="40" w:before="96" w:afterLines="40" w:after="96"/>
              <w:rPr>
                <w:sz w:val="20"/>
                <w:szCs w:val="20"/>
              </w:rPr>
            </w:pPr>
            <w:r w:rsidRPr="001D040C">
              <w:rPr>
                <w:sz w:val="20"/>
                <w:szCs w:val="20"/>
              </w:rPr>
              <w:t>2.</w:t>
            </w:r>
          </w:p>
        </w:tc>
        <w:tc>
          <w:tcPr>
            <w:tcW w:w="4632" w:type="dxa"/>
            <w:vAlign w:val="center"/>
          </w:tcPr>
          <w:p w14:paraId="69A61E2F" w14:textId="77777777" w:rsidR="003312AE" w:rsidRPr="001D040C" w:rsidRDefault="003312AE" w:rsidP="003312AE">
            <w:pPr>
              <w:rPr>
                <w:sz w:val="20"/>
                <w:szCs w:val="20"/>
              </w:rPr>
            </w:pPr>
            <w:r w:rsidRPr="001D040C">
              <w:rPr>
                <w:sz w:val="20"/>
                <w:szCs w:val="20"/>
              </w:rPr>
              <w:t>Zatrudnienie</w:t>
            </w:r>
          </w:p>
        </w:tc>
        <w:tc>
          <w:tcPr>
            <w:tcW w:w="1779" w:type="dxa"/>
            <w:vAlign w:val="center"/>
          </w:tcPr>
          <w:p w14:paraId="24E0EA9C" w14:textId="2FB257C6" w:rsidR="003312AE" w:rsidRPr="003312AE" w:rsidRDefault="003312AE" w:rsidP="001D040C">
            <w:pPr>
              <w:jc w:val="right"/>
              <w:rPr>
                <w:sz w:val="20"/>
                <w:szCs w:val="20"/>
              </w:rPr>
            </w:pPr>
            <w:r w:rsidRPr="003312AE">
              <w:rPr>
                <w:sz w:val="20"/>
                <w:szCs w:val="20"/>
              </w:rPr>
              <w:t>23</w:t>
            </w:r>
          </w:p>
        </w:tc>
        <w:tc>
          <w:tcPr>
            <w:tcW w:w="2372" w:type="dxa"/>
            <w:vAlign w:val="center"/>
          </w:tcPr>
          <w:p w14:paraId="63952DF9" w14:textId="6A49533C" w:rsidR="003312AE" w:rsidRPr="003312AE" w:rsidRDefault="003312AE" w:rsidP="001D040C">
            <w:pPr>
              <w:jc w:val="right"/>
              <w:rPr>
                <w:sz w:val="20"/>
                <w:szCs w:val="20"/>
              </w:rPr>
            </w:pPr>
            <w:r w:rsidRPr="003312AE">
              <w:rPr>
                <w:sz w:val="20"/>
                <w:szCs w:val="20"/>
              </w:rPr>
              <w:t>31 271 447,50</w:t>
            </w:r>
          </w:p>
        </w:tc>
      </w:tr>
      <w:tr w:rsidR="003312AE" w:rsidRPr="0070239D" w14:paraId="38321347" w14:textId="77777777" w:rsidTr="005E15AF">
        <w:tc>
          <w:tcPr>
            <w:tcW w:w="539" w:type="dxa"/>
          </w:tcPr>
          <w:p w14:paraId="570E87F1" w14:textId="77777777" w:rsidR="003312AE" w:rsidRPr="001D040C" w:rsidRDefault="003312AE" w:rsidP="003312AE">
            <w:pPr>
              <w:spacing w:beforeLines="40" w:before="96" w:afterLines="40" w:after="96"/>
              <w:rPr>
                <w:sz w:val="20"/>
                <w:szCs w:val="20"/>
              </w:rPr>
            </w:pPr>
            <w:r w:rsidRPr="001D040C">
              <w:rPr>
                <w:sz w:val="20"/>
                <w:szCs w:val="20"/>
              </w:rPr>
              <w:t>3.</w:t>
            </w:r>
          </w:p>
        </w:tc>
        <w:tc>
          <w:tcPr>
            <w:tcW w:w="4632" w:type="dxa"/>
            <w:vAlign w:val="center"/>
          </w:tcPr>
          <w:p w14:paraId="6381FAE5" w14:textId="77777777" w:rsidR="003312AE" w:rsidRPr="001D040C" w:rsidRDefault="003312AE" w:rsidP="003312AE">
            <w:pPr>
              <w:rPr>
                <w:sz w:val="20"/>
                <w:szCs w:val="20"/>
              </w:rPr>
            </w:pPr>
            <w:r w:rsidRPr="001D040C">
              <w:rPr>
                <w:sz w:val="20"/>
                <w:szCs w:val="20"/>
              </w:rPr>
              <w:t>Sprzęt komputerowy</w:t>
            </w:r>
          </w:p>
        </w:tc>
        <w:tc>
          <w:tcPr>
            <w:tcW w:w="1779" w:type="dxa"/>
            <w:vAlign w:val="center"/>
          </w:tcPr>
          <w:p w14:paraId="0C8314F0" w14:textId="67DE20C4" w:rsidR="003312AE" w:rsidRPr="003312AE" w:rsidRDefault="003312AE" w:rsidP="001D040C">
            <w:pPr>
              <w:jc w:val="right"/>
              <w:rPr>
                <w:sz w:val="20"/>
                <w:szCs w:val="20"/>
              </w:rPr>
            </w:pPr>
            <w:r w:rsidRPr="003312AE">
              <w:rPr>
                <w:sz w:val="20"/>
                <w:szCs w:val="20"/>
              </w:rPr>
              <w:t>25</w:t>
            </w:r>
          </w:p>
        </w:tc>
        <w:tc>
          <w:tcPr>
            <w:tcW w:w="2372" w:type="dxa"/>
            <w:vAlign w:val="center"/>
          </w:tcPr>
          <w:p w14:paraId="1BC6E453" w14:textId="3801C966" w:rsidR="003312AE" w:rsidRPr="003312AE" w:rsidRDefault="003312AE" w:rsidP="001D040C">
            <w:pPr>
              <w:jc w:val="right"/>
              <w:rPr>
                <w:sz w:val="20"/>
                <w:szCs w:val="20"/>
              </w:rPr>
            </w:pPr>
            <w:r w:rsidRPr="003312AE">
              <w:rPr>
                <w:sz w:val="20"/>
                <w:szCs w:val="20"/>
              </w:rPr>
              <w:t>530 653,99</w:t>
            </w:r>
          </w:p>
        </w:tc>
      </w:tr>
      <w:tr w:rsidR="003312AE" w:rsidRPr="0070239D" w14:paraId="7DD9B54F" w14:textId="77777777" w:rsidTr="005E15AF">
        <w:trPr>
          <w:trHeight w:val="611"/>
        </w:trPr>
        <w:tc>
          <w:tcPr>
            <w:tcW w:w="539" w:type="dxa"/>
          </w:tcPr>
          <w:p w14:paraId="741A5D70" w14:textId="77777777" w:rsidR="003312AE" w:rsidRPr="001D040C" w:rsidRDefault="003312AE" w:rsidP="003312AE">
            <w:pPr>
              <w:spacing w:beforeLines="40" w:before="96" w:afterLines="40" w:after="96"/>
              <w:rPr>
                <w:sz w:val="20"/>
                <w:szCs w:val="20"/>
              </w:rPr>
            </w:pPr>
            <w:r w:rsidRPr="001D040C">
              <w:rPr>
                <w:sz w:val="20"/>
                <w:szCs w:val="20"/>
              </w:rPr>
              <w:t>4.</w:t>
            </w:r>
          </w:p>
        </w:tc>
        <w:tc>
          <w:tcPr>
            <w:tcW w:w="4632" w:type="dxa"/>
            <w:vAlign w:val="center"/>
          </w:tcPr>
          <w:p w14:paraId="327F78F1" w14:textId="77777777" w:rsidR="003312AE" w:rsidRPr="001D040C" w:rsidRDefault="003312AE" w:rsidP="003312AE">
            <w:pPr>
              <w:rPr>
                <w:sz w:val="20"/>
                <w:szCs w:val="20"/>
              </w:rPr>
            </w:pPr>
            <w:r w:rsidRPr="001D040C">
              <w:rPr>
                <w:sz w:val="20"/>
                <w:szCs w:val="20"/>
              </w:rPr>
              <w:t>Wyposażenie remont/wynajem powierzchni biurowych</w:t>
            </w:r>
          </w:p>
        </w:tc>
        <w:tc>
          <w:tcPr>
            <w:tcW w:w="1779" w:type="dxa"/>
            <w:vAlign w:val="center"/>
          </w:tcPr>
          <w:p w14:paraId="5F4F74B7" w14:textId="4F9BF73D" w:rsidR="003312AE" w:rsidRPr="003312AE" w:rsidRDefault="003312AE" w:rsidP="001D040C">
            <w:pPr>
              <w:jc w:val="right"/>
              <w:rPr>
                <w:sz w:val="20"/>
                <w:szCs w:val="20"/>
              </w:rPr>
            </w:pPr>
            <w:r w:rsidRPr="003312AE">
              <w:rPr>
                <w:sz w:val="20"/>
                <w:szCs w:val="20"/>
              </w:rPr>
              <w:t>33</w:t>
            </w:r>
          </w:p>
        </w:tc>
        <w:tc>
          <w:tcPr>
            <w:tcW w:w="2372" w:type="dxa"/>
            <w:vAlign w:val="center"/>
          </w:tcPr>
          <w:p w14:paraId="063D6F0B" w14:textId="60CCAA0E" w:rsidR="003312AE" w:rsidRPr="003312AE" w:rsidRDefault="003312AE" w:rsidP="001D040C">
            <w:pPr>
              <w:jc w:val="right"/>
              <w:rPr>
                <w:sz w:val="20"/>
                <w:szCs w:val="20"/>
              </w:rPr>
            </w:pPr>
            <w:r w:rsidRPr="003312AE">
              <w:rPr>
                <w:sz w:val="20"/>
                <w:szCs w:val="20"/>
              </w:rPr>
              <w:t>3 045 022,28</w:t>
            </w:r>
          </w:p>
        </w:tc>
      </w:tr>
      <w:tr w:rsidR="003312AE" w:rsidRPr="0070239D" w14:paraId="0CEA53FD" w14:textId="77777777" w:rsidTr="005E15AF">
        <w:tc>
          <w:tcPr>
            <w:tcW w:w="539" w:type="dxa"/>
          </w:tcPr>
          <w:p w14:paraId="240DA05F" w14:textId="77777777" w:rsidR="003312AE" w:rsidRPr="001D040C" w:rsidRDefault="003312AE" w:rsidP="003312AE">
            <w:pPr>
              <w:spacing w:beforeLines="40" w:before="96" w:afterLines="40" w:after="96"/>
              <w:rPr>
                <w:sz w:val="20"/>
                <w:szCs w:val="20"/>
              </w:rPr>
            </w:pPr>
            <w:r w:rsidRPr="001D040C">
              <w:rPr>
                <w:sz w:val="20"/>
                <w:szCs w:val="20"/>
              </w:rPr>
              <w:t>5.</w:t>
            </w:r>
          </w:p>
        </w:tc>
        <w:tc>
          <w:tcPr>
            <w:tcW w:w="4632" w:type="dxa"/>
            <w:vAlign w:val="center"/>
          </w:tcPr>
          <w:p w14:paraId="39CE1BFA" w14:textId="77777777" w:rsidR="003312AE" w:rsidRPr="001D040C" w:rsidRDefault="003312AE" w:rsidP="003312AE">
            <w:pPr>
              <w:rPr>
                <w:sz w:val="20"/>
                <w:szCs w:val="20"/>
              </w:rPr>
            </w:pPr>
            <w:r w:rsidRPr="001D040C">
              <w:rPr>
                <w:sz w:val="20"/>
                <w:szCs w:val="20"/>
              </w:rPr>
              <w:t>Promocja i informacja</w:t>
            </w:r>
          </w:p>
        </w:tc>
        <w:tc>
          <w:tcPr>
            <w:tcW w:w="1779" w:type="dxa"/>
            <w:vAlign w:val="center"/>
          </w:tcPr>
          <w:p w14:paraId="331419E4" w14:textId="2D68B88D" w:rsidR="003312AE" w:rsidRPr="003312AE" w:rsidRDefault="003312AE" w:rsidP="001D040C">
            <w:pPr>
              <w:jc w:val="right"/>
              <w:rPr>
                <w:sz w:val="20"/>
                <w:szCs w:val="20"/>
              </w:rPr>
            </w:pPr>
            <w:r w:rsidRPr="003312AE">
              <w:rPr>
                <w:sz w:val="20"/>
                <w:szCs w:val="20"/>
              </w:rPr>
              <w:t>17</w:t>
            </w:r>
          </w:p>
        </w:tc>
        <w:tc>
          <w:tcPr>
            <w:tcW w:w="2372" w:type="dxa"/>
            <w:vAlign w:val="center"/>
          </w:tcPr>
          <w:p w14:paraId="25321207" w14:textId="1A139EDF" w:rsidR="003312AE" w:rsidRPr="003312AE" w:rsidRDefault="003312AE" w:rsidP="001D040C">
            <w:pPr>
              <w:jc w:val="right"/>
              <w:rPr>
                <w:sz w:val="20"/>
                <w:szCs w:val="20"/>
              </w:rPr>
            </w:pPr>
            <w:r w:rsidRPr="003312AE">
              <w:rPr>
                <w:sz w:val="20"/>
                <w:szCs w:val="20"/>
              </w:rPr>
              <w:t>2 222 570,18</w:t>
            </w:r>
          </w:p>
        </w:tc>
      </w:tr>
      <w:tr w:rsidR="003312AE" w:rsidRPr="0070239D" w14:paraId="1224EA31" w14:textId="77777777" w:rsidTr="005E15AF">
        <w:tc>
          <w:tcPr>
            <w:tcW w:w="539" w:type="dxa"/>
          </w:tcPr>
          <w:p w14:paraId="14A4C24A" w14:textId="77777777" w:rsidR="003312AE" w:rsidRPr="001D040C" w:rsidRDefault="003312AE" w:rsidP="003312AE">
            <w:pPr>
              <w:spacing w:beforeLines="40" w:before="96" w:afterLines="40" w:after="96"/>
              <w:rPr>
                <w:sz w:val="20"/>
                <w:szCs w:val="20"/>
              </w:rPr>
            </w:pPr>
            <w:r w:rsidRPr="001D040C">
              <w:rPr>
                <w:sz w:val="20"/>
                <w:szCs w:val="20"/>
              </w:rPr>
              <w:t>6.</w:t>
            </w:r>
          </w:p>
        </w:tc>
        <w:tc>
          <w:tcPr>
            <w:tcW w:w="4632" w:type="dxa"/>
            <w:vAlign w:val="center"/>
          </w:tcPr>
          <w:p w14:paraId="0FBE5F43" w14:textId="77777777" w:rsidR="003312AE" w:rsidRPr="001D040C" w:rsidRDefault="003312AE" w:rsidP="003312AE">
            <w:pPr>
              <w:rPr>
                <w:sz w:val="20"/>
                <w:szCs w:val="20"/>
              </w:rPr>
            </w:pPr>
            <w:r w:rsidRPr="001D040C">
              <w:rPr>
                <w:sz w:val="20"/>
                <w:szCs w:val="20"/>
              </w:rPr>
              <w:t>Ekspertyzy/doradztwo</w:t>
            </w:r>
          </w:p>
        </w:tc>
        <w:tc>
          <w:tcPr>
            <w:tcW w:w="1779" w:type="dxa"/>
            <w:vAlign w:val="center"/>
          </w:tcPr>
          <w:p w14:paraId="155940AB" w14:textId="257CC773" w:rsidR="003312AE" w:rsidRPr="003312AE" w:rsidRDefault="003312AE" w:rsidP="001D040C">
            <w:pPr>
              <w:jc w:val="right"/>
              <w:rPr>
                <w:sz w:val="20"/>
                <w:szCs w:val="20"/>
              </w:rPr>
            </w:pPr>
            <w:r w:rsidRPr="003312AE">
              <w:rPr>
                <w:sz w:val="20"/>
                <w:szCs w:val="20"/>
              </w:rPr>
              <w:t>19</w:t>
            </w:r>
          </w:p>
        </w:tc>
        <w:tc>
          <w:tcPr>
            <w:tcW w:w="2372" w:type="dxa"/>
            <w:vAlign w:val="center"/>
          </w:tcPr>
          <w:p w14:paraId="1C12A3DC" w14:textId="2E161668" w:rsidR="003312AE" w:rsidRPr="003312AE" w:rsidRDefault="003312AE" w:rsidP="001D040C">
            <w:pPr>
              <w:jc w:val="right"/>
              <w:rPr>
                <w:sz w:val="20"/>
                <w:szCs w:val="20"/>
              </w:rPr>
            </w:pPr>
            <w:r w:rsidRPr="003312AE">
              <w:rPr>
                <w:sz w:val="20"/>
                <w:szCs w:val="20"/>
              </w:rPr>
              <w:t>57 182,59</w:t>
            </w:r>
          </w:p>
        </w:tc>
      </w:tr>
      <w:tr w:rsidR="003312AE" w:rsidRPr="0070239D" w14:paraId="70A3A3B4" w14:textId="77777777" w:rsidTr="005E15AF">
        <w:tc>
          <w:tcPr>
            <w:tcW w:w="539" w:type="dxa"/>
          </w:tcPr>
          <w:p w14:paraId="2D392747" w14:textId="77777777" w:rsidR="003312AE" w:rsidRPr="001D040C" w:rsidRDefault="003312AE" w:rsidP="003312AE">
            <w:pPr>
              <w:spacing w:beforeLines="40" w:before="96" w:afterLines="40" w:after="96"/>
              <w:rPr>
                <w:sz w:val="20"/>
                <w:szCs w:val="20"/>
              </w:rPr>
            </w:pPr>
            <w:r w:rsidRPr="001D040C">
              <w:rPr>
                <w:sz w:val="20"/>
                <w:szCs w:val="20"/>
              </w:rPr>
              <w:t>7.</w:t>
            </w:r>
          </w:p>
        </w:tc>
        <w:tc>
          <w:tcPr>
            <w:tcW w:w="4632" w:type="dxa"/>
            <w:vAlign w:val="center"/>
          </w:tcPr>
          <w:p w14:paraId="04A4A198" w14:textId="77777777" w:rsidR="003312AE" w:rsidRPr="001D040C" w:rsidRDefault="003312AE" w:rsidP="003312AE">
            <w:pPr>
              <w:rPr>
                <w:sz w:val="20"/>
                <w:szCs w:val="20"/>
              </w:rPr>
            </w:pPr>
            <w:r w:rsidRPr="001D040C">
              <w:rPr>
                <w:sz w:val="20"/>
                <w:szCs w:val="20"/>
              </w:rPr>
              <w:t>Ewaluacje</w:t>
            </w:r>
          </w:p>
        </w:tc>
        <w:tc>
          <w:tcPr>
            <w:tcW w:w="1779" w:type="dxa"/>
            <w:vAlign w:val="center"/>
          </w:tcPr>
          <w:p w14:paraId="3AD7ECAE" w14:textId="3EFC5288" w:rsidR="003312AE" w:rsidRPr="003312AE" w:rsidRDefault="003312AE" w:rsidP="001D040C">
            <w:pPr>
              <w:jc w:val="right"/>
              <w:rPr>
                <w:sz w:val="20"/>
                <w:szCs w:val="20"/>
              </w:rPr>
            </w:pPr>
            <w:r w:rsidRPr="003312AE">
              <w:rPr>
                <w:sz w:val="20"/>
                <w:szCs w:val="20"/>
              </w:rPr>
              <w:t>12</w:t>
            </w:r>
          </w:p>
        </w:tc>
        <w:tc>
          <w:tcPr>
            <w:tcW w:w="2372" w:type="dxa"/>
            <w:vAlign w:val="center"/>
          </w:tcPr>
          <w:p w14:paraId="089FAC5A" w14:textId="11E1DCF5" w:rsidR="003312AE" w:rsidRPr="003312AE" w:rsidRDefault="003312AE" w:rsidP="001D040C">
            <w:pPr>
              <w:jc w:val="right"/>
              <w:rPr>
                <w:sz w:val="20"/>
                <w:szCs w:val="20"/>
              </w:rPr>
            </w:pPr>
            <w:r w:rsidRPr="003312AE">
              <w:rPr>
                <w:sz w:val="20"/>
                <w:szCs w:val="20"/>
              </w:rPr>
              <w:t>580 386,52</w:t>
            </w:r>
          </w:p>
        </w:tc>
      </w:tr>
      <w:tr w:rsidR="003312AE" w:rsidRPr="0070239D" w14:paraId="17637197" w14:textId="77777777" w:rsidTr="005E15AF">
        <w:tc>
          <w:tcPr>
            <w:tcW w:w="539" w:type="dxa"/>
          </w:tcPr>
          <w:p w14:paraId="50CC1445" w14:textId="77777777" w:rsidR="003312AE" w:rsidRPr="001D040C" w:rsidRDefault="003312AE" w:rsidP="003312AE">
            <w:pPr>
              <w:spacing w:beforeLines="40" w:before="96" w:afterLines="40" w:after="96"/>
              <w:rPr>
                <w:sz w:val="20"/>
                <w:szCs w:val="20"/>
              </w:rPr>
            </w:pPr>
            <w:r w:rsidRPr="001D040C">
              <w:rPr>
                <w:sz w:val="20"/>
                <w:szCs w:val="20"/>
              </w:rPr>
              <w:t>8.</w:t>
            </w:r>
          </w:p>
        </w:tc>
        <w:tc>
          <w:tcPr>
            <w:tcW w:w="4632" w:type="dxa"/>
            <w:vAlign w:val="center"/>
          </w:tcPr>
          <w:p w14:paraId="403279DA" w14:textId="77777777" w:rsidR="003312AE" w:rsidRPr="001D040C" w:rsidRDefault="003312AE" w:rsidP="003312AE">
            <w:pPr>
              <w:rPr>
                <w:sz w:val="20"/>
                <w:szCs w:val="20"/>
              </w:rPr>
            </w:pPr>
            <w:r w:rsidRPr="001D040C">
              <w:rPr>
                <w:sz w:val="20"/>
                <w:szCs w:val="20"/>
              </w:rPr>
              <w:t>Kontrola/audyt</w:t>
            </w:r>
          </w:p>
        </w:tc>
        <w:tc>
          <w:tcPr>
            <w:tcW w:w="1779" w:type="dxa"/>
            <w:vAlign w:val="center"/>
          </w:tcPr>
          <w:p w14:paraId="6B79716A" w14:textId="70F6F762" w:rsidR="003312AE" w:rsidRPr="003312AE" w:rsidRDefault="003312AE" w:rsidP="001D040C">
            <w:pPr>
              <w:jc w:val="right"/>
              <w:rPr>
                <w:sz w:val="20"/>
                <w:szCs w:val="20"/>
              </w:rPr>
            </w:pPr>
            <w:r w:rsidRPr="003312AE">
              <w:rPr>
                <w:sz w:val="20"/>
                <w:szCs w:val="20"/>
              </w:rPr>
              <w:t>7</w:t>
            </w:r>
          </w:p>
        </w:tc>
        <w:tc>
          <w:tcPr>
            <w:tcW w:w="2372" w:type="dxa"/>
            <w:vAlign w:val="center"/>
          </w:tcPr>
          <w:p w14:paraId="2D00EBD1" w14:textId="4184A7DA" w:rsidR="003312AE" w:rsidRPr="003312AE" w:rsidRDefault="003312AE" w:rsidP="001D040C">
            <w:pPr>
              <w:jc w:val="right"/>
              <w:rPr>
                <w:sz w:val="20"/>
                <w:szCs w:val="20"/>
              </w:rPr>
            </w:pPr>
            <w:r w:rsidRPr="003312AE">
              <w:rPr>
                <w:sz w:val="20"/>
                <w:szCs w:val="20"/>
              </w:rPr>
              <w:t>83 390,65</w:t>
            </w:r>
          </w:p>
        </w:tc>
      </w:tr>
      <w:tr w:rsidR="003312AE" w:rsidRPr="0070239D" w14:paraId="2D6B8BE5" w14:textId="77777777" w:rsidTr="005E15AF">
        <w:trPr>
          <w:trHeight w:val="439"/>
        </w:trPr>
        <w:tc>
          <w:tcPr>
            <w:tcW w:w="539" w:type="dxa"/>
          </w:tcPr>
          <w:p w14:paraId="5D097E54" w14:textId="77777777" w:rsidR="003312AE" w:rsidRPr="001D040C" w:rsidRDefault="003312AE" w:rsidP="003312AE">
            <w:pPr>
              <w:spacing w:beforeLines="40" w:before="96" w:afterLines="40" w:after="96"/>
              <w:rPr>
                <w:sz w:val="20"/>
                <w:szCs w:val="20"/>
              </w:rPr>
            </w:pPr>
            <w:r w:rsidRPr="001D040C">
              <w:rPr>
                <w:sz w:val="20"/>
                <w:szCs w:val="20"/>
              </w:rPr>
              <w:t>9.</w:t>
            </w:r>
          </w:p>
        </w:tc>
        <w:tc>
          <w:tcPr>
            <w:tcW w:w="4632" w:type="dxa"/>
            <w:vAlign w:val="center"/>
          </w:tcPr>
          <w:p w14:paraId="50403980" w14:textId="77777777" w:rsidR="003312AE" w:rsidRPr="001D040C" w:rsidRDefault="003312AE" w:rsidP="003312AE">
            <w:pPr>
              <w:rPr>
                <w:sz w:val="20"/>
                <w:szCs w:val="20"/>
              </w:rPr>
            </w:pPr>
            <w:r w:rsidRPr="001D040C">
              <w:rPr>
                <w:sz w:val="20"/>
                <w:szCs w:val="20"/>
              </w:rPr>
              <w:t>Organizacja procesu wyboru projektów</w:t>
            </w:r>
          </w:p>
        </w:tc>
        <w:tc>
          <w:tcPr>
            <w:tcW w:w="1779" w:type="dxa"/>
            <w:vAlign w:val="center"/>
          </w:tcPr>
          <w:p w14:paraId="4AEACD4C" w14:textId="4D7D4B7C" w:rsidR="003312AE" w:rsidRPr="003312AE" w:rsidRDefault="003312AE" w:rsidP="001D040C">
            <w:pPr>
              <w:jc w:val="right"/>
              <w:rPr>
                <w:sz w:val="20"/>
                <w:szCs w:val="20"/>
              </w:rPr>
            </w:pPr>
            <w:r w:rsidRPr="003312AE">
              <w:rPr>
                <w:sz w:val="20"/>
                <w:szCs w:val="20"/>
              </w:rPr>
              <w:t>16</w:t>
            </w:r>
          </w:p>
        </w:tc>
        <w:tc>
          <w:tcPr>
            <w:tcW w:w="2372" w:type="dxa"/>
            <w:vAlign w:val="center"/>
          </w:tcPr>
          <w:p w14:paraId="2CD2C8BB" w14:textId="377C8749" w:rsidR="003312AE" w:rsidRPr="003312AE" w:rsidRDefault="003312AE" w:rsidP="001D040C">
            <w:pPr>
              <w:jc w:val="right"/>
              <w:rPr>
                <w:sz w:val="20"/>
                <w:szCs w:val="20"/>
              </w:rPr>
            </w:pPr>
            <w:r w:rsidRPr="003312AE">
              <w:rPr>
                <w:sz w:val="20"/>
                <w:szCs w:val="20"/>
              </w:rPr>
              <w:t>375 002,56</w:t>
            </w:r>
          </w:p>
        </w:tc>
      </w:tr>
      <w:tr w:rsidR="003312AE" w:rsidRPr="0070239D" w14:paraId="7E2A6F29" w14:textId="77777777" w:rsidTr="005E15AF">
        <w:trPr>
          <w:trHeight w:val="798"/>
        </w:trPr>
        <w:tc>
          <w:tcPr>
            <w:tcW w:w="539" w:type="dxa"/>
          </w:tcPr>
          <w:p w14:paraId="11E2A17E" w14:textId="77777777" w:rsidR="003312AE" w:rsidRPr="00C57237" w:rsidRDefault="003312AE" w:rsidP="003312AE">
            <w:pPr>
              <w:spacing w:beforeLines="40" w:before="96" w:afterLines="40" w:after="96"/>
              <w:rPr>
                <w:sz w:val="20"/>
                <w:szCs w:val="20"/>
              </w:rPr>
            </w:pPr>
            <w:r w:rsidRPr="00C57237">
              <w:rPr>
                <w:sz w:val="20"/>
                <w:szCs w:val="20"/>
              </w:rPr>
              <w:t>10.</w:t>
            </w:r>
          </w:p>
        </w:tc>
        <w:tc>
          <w:tcPr>
            <w:tcW w:w="4632" w:type="dxa"/>
            <w:vAlign w:val="center"/>
          </w:tcPr>
          <w:p w14:paraId="3E5A1552" w14:textId="77777777" w:rsidR="003312AE" w:rsidRPr="00C57237" w:rsidRDefault="003312AE" w:rsidP="003312AE">
            <w:pPr>
              <w:rPr>
                <w:sz w:val="20"/>
                <w:szCs w:val="20"/>
              </w:rPr>
            </w:pPr>
            <w:r w:rsidRPr="00C57237">
              <w:rPr>
                <w:sz w:val="20"/>
                <w:szCs w:val="20"/>
              </w:rPr>
              <w:t>Organizacja komitetów monitorujących i podkomitetów</w:t>
            </w:r>
          </w:p>
        </w:tc>
        <w:tc>
          <w:tcPr>
            <w:tcW w:w="1779" w:type="dxa"/>
            <w:vAlign w:val="center"/>
          </w:tcPr>
          <w:p w14:paraId="20F0CD9F" w14:textId="5AC5A8A4" w:rsidR="003312AE" w:rsidRPr="003312AE" w:rsidRDefault="003312AE" w:rsidP="00C57237">
            <w:pPr>
              <w:jc w:val="right"/>
              <w:rPr>
                <w:sz w:val="20"/>
                <w:szCs w:val="20"/>
              </w:rPr>
            </w:pPr>
            <w:r w:rsidRPr="003312AE">
              <w:rPr>
                <w:sz w:val="20"/>
                <w:szCs w:val="20"/>
              </w:rPr>
              <w:t>9</w:t>
            </w:r>
          </w:p>
        </w:tc>
        <w:tc>
          <w:tcPr>
            <w:tcW w:w="2372" w:type="dxa"/>
            <w:vAlign w:val="center"/>
          </w:tcPr>
          <w:p w14:paraId="510D16A4" w14:textId="3237D299" w:rsidR="003312AE" w:rsidRPr="003312AE" w:rsidRDefault="003312AE" w:rsidP="00C57237">
            <w:pPr>
              <w:jc w:val="right"/>
              <w:rPr>
                <w:sz w:val="20"/>
                <w:szCs w:val="20"/>
              </w:rPr>
            </w:pPr>
            <w:r w:rsidRPr="003312AE">
              <w:rPr>
                <w:sz w:val="20"/>
                <w:szCs w:val="20"/>
              </w:rPr>
              <w:t>5 876,13</w:t>
            </w:r>
          </w:p>
        </w:tc>
      </w:tr>
      <w:tr w:rsidR="003312AE" w:rsidRPr="0070239D" w14:paraId="233CCC21" w14:textId="77777777" w:rsidTr="005E15AF">
        <w:tc>
          <w:tcPr>
            <w:tcW w:w="539" w:type="dxa"/>
          </w:tcPr>
          <w:p w14:paraId="3CF77314" w14:textId="77777777" w:rsidR="003312AE" w:rsidRPr="00C57237" w:rsidRDefault="003312AE" w:rsidP="003312AE">
            <w:pPr>
              <w:spacing w:beforeLines="40" w:before="96" w:afterLines="40" w:after="96"/>
              <w:rPr>
                <w:sz w:val="20"/>
                <w:szCs w:val="20"/>
              </w:rPr>
            </w:pPr>
            <w:r w:rsidRPr="00C57237">
              <w:rPr>
                <w:sz w:val="20"/>
                <w:szCs w:val="20"/>
              </w:rPr>
              <w:t>11.</w:t>
            </w:r>
          </w:p>
        </w:tc>
        <w:tc>
          <w:tcPr>
            <w:tcW w:w="4632" w:type="dxa"/>
            <w:vAlign w:val="center"/>
          </w:tcPr>
          <w:p w14:paraId="7C06916A" w14:textId="77777777" w:rsidR="003312AE" w:rsidRPr="00C57237" w:rsidRDefault="003312AE" w:rsidP="003312AE">
            <w:pPr>
              <w:rPr>
                <w:sz w:val="20"/>
                <w:szCs w:val="20"/>
              </w:rPr>
            </w:pPr>
            <w:r w:rsidRPr="00C57237">
              <w:rPr>
                <w:sz w:val="20"/>
                <w:szCs w:val="20"/>
              </w:rPr>
              <w:t>Inne</w:t>
            </w:r>
          </w:p>
        </w:tc>
        <w:tc>
          <w:tcPr>
            <w:tcW w:w="1779" w:type="dxa"/>
            <w:vAlign w:val="center"/>
          </w:tcPr>
          <w:p w14:paraId="230596D5" w14:textId="6BE37830" w:rsidR="003312AE" w:rsidRPr="003312AE" w:rsidRDefault="003312AE" w:rsidP="00C57237">
            <w:pPr>
              <w:jc w:val="right"/>
              <w:rPr>
                <w:sz w:val="20"/>
                <w:szCs w:val="20"/>
              </w:rPr>
            </w:pPr>
            <w:r w:rsidRPr="003312AE">
              <w:rPr>
                <w:sz w:val="20"/>
                <w:szCs w:val="20"/>
              </w:rPr>
              <w:t>20</w:t>
            </w:r>
          </w:p>
        </w:tc>
        <w:tc>
          <w:tcPr>
            <w:tcW w:w="2372" w:type="dxa"/>
            <w:vAlign w:val="center"/>
          </w:tcPr>
          <w:p w14:paraId="28781EA8" w14:textId="16ACC31E" w:rsidR="003312AE" w:rsidRPr="003312AE" w:rsidRDefault="003312AE" w:rsidP="00C57237">
            <w:pPr>
              <w:jc w:val="right"/>
              <w:rPr>
                <w:sz w:val="20"/>
                <w:szCs w:val="20"/>
              </w:rPr>
            </w:pPr>
            <w:r w:rsidRPr="003312AE">
              <w:rPr>
                <w:sz w:val="20"/>
                <w:szCs w:val="20"/>
              </w:rPr>
              <w:t>449 062,92</w:t>
            </w:r>
          </w:p>
        </w:tc>
      </w:tr>
      <w:tr w:rsidR="003312AE" w:rsidRPr="0070239D" w14:paraId="42B8CD57" w14:textId="77777777" w:rsidTr="005E15AF">
        <w:trPr>
          <w:trHeight w:val="560"/>
        </w:trPr>
        <w:tc>
          <w:tcPr>
            <w:tcW w:w="539" w:type="dxa"/>
            <w:shd w:val="clear" w:color="auto" w:fill="FFFFFF" w:themeFill="background1"/>
          </w:tcPr>
          <w:p w14:paraId="6E6FD132" w14:textId="77777777" w:rsidR="003312AE" w:rsidRPr="00BB152A" w:rsidRDefault="003312AE" w:rsidP="003312AE">
            <w:pPr>
              <w:spacing w:beforeLines="40" w:before="96" w:afterLines="40" w:after="96"/>
              <w:rPr>
                <w:b/>
                <w:sz w:val="20"/>
                <w:szCs w:val="20"/>
              </w:rPr>
            </w:pPr>
            <w:r w:rsidRPr="00BB152A">
              <w:rPr>
                <w:b/>
                <w:sz w:val="20"/>
                <w:szCs w:val="20"/>
              </w:rPr>
              <w:t>12.</w:t>
            </w:r>
          </w:p>
        </w:tc>
        <w:tc>
          <w:tcPr>
            <w:tcW w:w="4632" w:type="dxa"/>
            <w:shd w:val="clear" w:color="auto" w:fill="FFFFFF" w:themeFill="background1"/>
            <w:vAlign w:val="center"/>
          </w:tcPr>
          <w:p w14:paraId="52B968BE" w14:textId="77777777" w:rsidR="003312AE" w:rsidRPr="00BB152A" w:rsidRDefault="003312AE" w:rsidP="003312AE">
            <w:pPr>
              <w:rPr>
                <w:b/>
                <w:bCs/>
                <w:sz w:val="20"/>
                <w:szCs w:val="20"/>
              </w:rPr>
            </w:pPr>
            <w:r w:rsidRPr="00BB152A">
              <w:rPr>
                <w:b/>
                <w:bCs/>
                <w:sz w:val="20"/>
                <w:szCs w:val="20"/>
              </w:rPr>
              <w:t>Razem</w:t>
            </w:r>
          </w:p>
        </w:tc>
        <w:tc>
          <w:tcPr>
            <w:tcW w:w="1779" w:type="dxa"/>
            <w:shd w:val="clear" w:color="auto" w:fill="FFFFFF" w:themeFill="background1"/>
            <w:vAlign w:val="center"/>
          </w:tcPr>
          <w:p w14:paraId="2DF42B59" w14:textId="1B1E0AEB" w:rsidR="003312AE" w:rsidRPr="00BB152A" w:rsidRDefault="003312AE" w:rsidP="00C57237">
            <w:pPr>
              <w:jc w:val="right"/>
              <w:rPr>
                <w:b/>
                <w:sz w:val="20"/>
                <w:szCs w:val="20"/>
              </w:rPr>
            </w:pPr>
            <w:r w:rsidRPr="00BB152A">
              <w:rPr>
                <w:b/>
                <w:sz w:val="20"/>
                <w:szCs w:val="20"/>
              </w:rPr>
              <w:t>36</w:t>
            </w:r>
          </w:p>
        </w:tc>
        <w:tc>
          <w:tcPr>
            <w:tcW w:w="2372" w:type="dxa"/>
            <w:shd w:val="clear" w:color="auto" w:fill="FFFFFF" w:themeFill="background1"/>
            <w:vAlign w:val="center"/>
          </w:tcPr>
          <w:p w14:paraId="0B2FC582" w14:textId="57DD9174" w:rsidR="003312AE" w:rsidRPr="00BB152A" w:rsidRDefault="003312AE" w:rsidP="00C57237">
            <w:pPr>
              <w:jc w:val="right"/>
              <w:rPr>
                <w:b/>
                <w:sz w:val="20"/>
                <w:szCs w:val="20"/>
              </w:rPr>
            </w:pPr>
            <w:r w:rsidRPr="00BB152A">
              <w:rPr>
                <w:b/>
                <w:sz w:val="20"/>
                <w:szCs w:val="20"/>
              </w:rPr>
              <w:t>40 689 546,88</w:t>
            </w:r>
          </w:p>
        </w:tc>
      </w:tr>
    </w:tbl>
    <w:p w14:paraId="495C3515" w14:textId="77777777" w:rsidR="004A2C4B" w:rsidRPr="0094320D" w:rsidRDefault="004A2C4B" w:rsidP="0094320D">
      <w:pPr>
        <w:jc w:val="both"/>
        <w:rPr>
          <w:szCs w:val="24"/>
        </w:rPr>
      </w:pPr>
    </w:p>
    <w:p w14:paraId="716D37D9" w14:textId="77777777" w:rsidR="00245F70" w:rsidRPr="0094320D" w:rsidRDefault="00A80D21" w:rsidP="0021401A">
      <w:pPr>
        <w:pStyle w:val="Nagwek1"/>
        <w:numPr>
          <w:ilvl w:val="0"/>
          <w:numId w:val="36"/>
        </w:numPr>
        <w:tabs>
          <w:tab w:val="left" w:pos="1560"/>
        </w:tabs>
        <w:spacing w:before="240" w:after="120"/>
        <w:ind w:left="284" w:hanging="284"/>
        <w:jc w:val="both"/>
        <w:rPr>
          <w:szCs w:val="24"/>
        </w:rPr>
      </w:pPr>
      <w:bookmarkStart w:id="745" w:name="_Toc423351845"/>
      <w:bookmarkStart w:id="746" w:name="_Toc477779806"/>
      <w:r w:rsidRPr="0094320D">
        <w:rPr>
          <w:spacing w:val="-3"/>
          <w:szCs w:val="24"/>
        </w:rPr>
        <w:t>PROMOCJA I INFORMACJA</w:t>
      </w:r>
      <w:bookmarkEnd w:id="745"/>
      <w:bookmarkEnd w:id="746"/>
    </w:p>
    <w:p w14:paraId="06047C24" w14:textId="77777777" w:rsidR="0005410E" w:rsidRPr="0094320D" w:rsidRDefault="0005410E" w:rsidP="0094320D">
      <w:pPr>
        <w:widowControl w:val="0"/>
        <w:autoSpaceDE w:val="0"/>
        <w:autoSpaceDN w:val="0"/>
        <w:adjustRightInd w:val="0"/>
        <w:spacing w:after="0"/>
        <w:jc w:val="both"/>
        <w:rPr>
          <w:i/>
          <w:szCs w:val="24"/>
        </w:rPr>
      </w:pPr>
      <w:r w:rsidRPr="0094320D">
        <w:rPr>
          <w:szCs w:val="24"/>
        </w:rPr>
        <w:t>Dane dot. powyższego punktu zosta</w:t>
      </w:r>
      <w:r w:rsidR="00EF16AF" w:rsidRPr="0094320D">
        <w:rPr>
          <w:szCs w:val="24"/>
        </w:rPr>
        <w:t xml:space="preserve">ły umieszczone w załączniku nr </w:t>
      </w:r>
      <w:r w:rsidR="007D4D61" w:rsidRPr="0094320D">
        <w:rPr>
          <w:szCs w:val="24"/>
        </w:rPr>
        <w:t>X</w:t>
      </w:r>
      <w:r w:rsidRPr="0094320D">
        <w:rPr>
          <w:szCs w:val="24"/>
        </w:rPr>
        <w:t xml:space="preserve"> do niniejszego </w:t>
      </w:r>
      <w:r w:rsidRPr="0094320D">
        <w:rPr>
          <w:i/>
          <w:szCs w:val="24"/>
        </w:rPr>
        <w:t>Sprawozdania.</w:t>
      </w:r>
    </w:p>
    <w:p w14:paraId="751B31BD" w14:textId="77777777" w:rsidR="001B017A" w:rsidRPr="0094320D" w:rsidRDefault="001B017A" w:rsidP="0094320D">
      <w:pPr>
        <w:spacing w:after="0"/>
        <w:jc w:val="both"/>
        <w:rPr>
          <w:rStyle w:val="Nagwek1Znak"/>
          <w:szCs w:val="24"/>
        </w:rPr>
      </w:pPr>
      <w:bookmarkStart w:id="747" w:name="_Toc262032014"/>
      <w:r w:rsidRPr="0094320D">
        <w:rPr>
          <w:rStyle w:val="Nagwek1Znak"/>
          <w:szCs w:val="24"/>
        </w:rPr>
        <w:br w:type="page"/>
      </w:r>
    </w:p>
    <w:p w14:paraId="2F50167F" w14:textId="6A252584" w:rsidR="00151BFE" w:rsidRPr="0018564D" w:rsidRDefault="00435E27" w:rsidP="0094320D">
      <w:pPr>
        <w:jc w:val="both"/>
        <w:rPr>
          <w:b/>
          <w:sz w:val="20"/>
          <w:szCs w:val="20"/>
        </w:rPr>
      </w:pPr>
      <w:bookmarkStart w:id="748" w:name="_Toc423351846"/>
      <w:bookmarkStart w:id="749" w:name="_Toc477779807"/>
      <w:r w:rsidRPr="0018564D">
        <w:rPr>
          <w:rStyle w:val="Nagwek1Znak"/>
          <w:sz w:val="20"/>
          <w:szCs w:val="20"/>
        </w:rPr>
        <w:lastRenderedPageBreak/>
        <w:t>ZAŁĄCZNIKI</w:t>
      </w:r>
      <w:bookmarkEnd w:id="748"/>
      <w:r w:rsidRPr="0018564D">
        <w:rPr>
          <w:rStyle w:val="Nagwek1Znak"/>
          <w:sz w:val="20"/>
          <w:szCs w:val="20"/>
        </w:rPr>
        <w:t xml:space="preserve"> </w:t>
      </w:r>
      <w:r w:rsidR="0018564D" w:rsidRPr="0018564D">
        <w:rPr>
          <w:rStyle w:val="Nagwek1Znak"/>
          <w:sz w:val="20"/>
          <w:szCs w:val="20"/>
        </w:rPr>
        <w:t>DO SPRAWZODANIA KOŃCOWEGO</w:t>
      </w:r>
      <w:bookmarkEnd w:id="749"/>
    </w:p>
    <w:p w14:paraId="2E7BE346"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1. Postęp fizyczny RPO WSL</w:t>
      </w:r>
    </w:p>
    <w:p w14:paraId="61CAC5CD"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 xml:space="preserve"> Tabela 2. Osie priorytetowe w podziale na źródło finansowania (w EUR)</w:t>
      </w:r>
    </w:p>
    <w:p w14:paraId="3B132D5A"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3. Podział kumulatywny przyznanego wkładu wspólnotowego wg kategorii</w:t>
      </w:r>
    </w:p>
    <w:p w14:paraId="69BFB467"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4. Postęp fizyczny wg priorytetów</w:t>
      </w:r>
    </w:p>
    <w:p w14:paraId="7A78C408"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5. Wskaźniki kontekstowe</w:t>
      </w:r>
    </w:p>
    <w:p w14:paraId="06056756"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6. EU 2020</w:t>
      </w:r>
    </w:p>
    <w:p w14:paraId="185A0E9C"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 xml:space="preserve"> Tabela 7. SUE RMB</w:t>
      </w:r>
    </w:p>
    <w:p w14:paraId="51EF2B45"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8. Wskaźniki kluczowe (core indicators) 2007-2013</w:t>
      </w:r>
    </w:p>
    <w:p w14:paraId="5F5BE389"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Tabela 9. Matryca instrumentów finansowych 2007-2013</w:t>
      </w:r>
    </w:p>
    <w:p w14:paraId="6334E711" w14:textId="77777777" w:rsidR="00151BFE" w:rsidRPr="0050297D" w:rsidRDefault="00151BFE" w:rsidP="005D7E36">
      <w:pPr>
        <w:pStyle w:val="Akapitzlist"/>
        <w:numPr>
          <w:ilvl w:val="0"/>
          <w:numId w:val="31"/>
        </w:numPr>
        <w:tabs>
          <w:tab w:val="left" w:pos="851"/>
        </w:tabs>
        <w:spacing w:after="0"/>
        <w:ind w:left="426" w:hanging="142"/>
        <w:jc w:val="both"/>
        <w:rPr>
          <w:i/>
          <w:sz w:val="20"/>
          <w:szCs w:val="20"/>
        </w:rPr>
      </w:pPr>
      <w:r w:rsidRPr="0050297D">
        <w:rPr>
          <w:i/>
          <w:sz w:val="20"/>
          <w:szCs w:val="20"/>
        </w:rPr>
        <w:t>Formularz dot. informacji i promocji</w:t>
      </w:r>
    </w:p>
    <w:p w14:paraId="7F917161" w14:textId="3E84A8B1" w:rsidR="00151BFE" w:rsidRPr="0050297D" w:rsidRDefault="00DC46FF" w:rsidP="005D7E36">
      <w:pPr>
        <w:pStyle w:val="Akapitzlist"/>
        <w:numPr>
          <w:ilvl w:val="0"/>
          <w:numId w:val="31"/>
        </w:numPr>
        <w:spacing w:after="0"/>
        <w:ind w:left="426" w:hanging="142"/>
        <w:jc w:val="both"/>
        <w:rPr>
          <w:i/>
          <w:sz w:val="20"/>
          <w:szCs w:val="20"/>
        </w:rPr>
      </w:pPr>
      <w:r w:rsidRPr="0050297D">
        <w:rPr>
          <w:i/>
          <w:sz w:val="20"/>
          <w:szCs w:val="20"/>
        </w:rPr>
        <w:t xml:space="preserve"> Przykłady projektów komplementarnych</w:t>
      </w:r>
    </w:p>
    <w:p w14:paraId="09B7A043" w14:textId="77777777" w:rsidR="00151BFE" w:rsidRPr="0050297D" w:rsidRDefault="00151BFE" w:rsidP="005D7E36">
      <w:pPr>
        <w:pStyle w:val="Akapitzlist"/>
        <w:numPr>
          <w:ilvl w:val="0"/>
          <w:numId w:val="31"/>
        </w:numPr>
        <w:spacing w:after="0"/>
        <w:ind w:left="426" w:hanging="142"/>
        <w:jc w:val="both"/>
        <w:rPr>
          <w:i/>
          <w:sz w:val="20"/>
          <w:szCs w:val="20"/>
        </w:rPr>
      </w:pPr>
      <w:r w:rsidRPr="0050297D">
        <w:rPr>
          <w:i/>
          <w:sz w:val="20"/>
          <w:szCs w:val="20"/>
        </w:rPr>
        <w:t>Realizacja projektów kluczowych</w:t>
      </w:r>
    </w:p>
    <w:p w14:paraId="02486479" w14:textId="54810F4E" w:rsidR="00DC46FF" w:rsidRPr="0050297D" w:rsidRDefault="00DC46FF" w:rsidP="005D7E36">
      <w:pPr>
        <w:pStyle w:val="Akapitzlist"/>
        <w:numPr>
          <w:ilvl w:val="0"/>
          <w:numId w:val="31"/>
        </w:numPr>
        <w:spacing w:after="0"/>
        <w:ind w:left="426" w:hanging="142"/>
        <w:jc w:val="both"/>
        <w:rPr>
          <w:i/>
          <w:sz w:val="20"/>
          <w:szCs w:val="20"/>
        </w:rPr>
      </w:pPr>
      <w:r w:rsidRPr="0050297D">
        <w:rPr>
          <w:i/>
          <w:sz w:val="20"/>
          <w:szCs w:val="20"/>
        </w:rPr>
        <w:t>Projekty niefunkcjonujące</w:t>
      </w:r>
    </w:p>
    <w:p w14:paraId="2E432517" w14:textId="7634FC59" w:rsidR="00DC46FF" w:rsidRPr="0050297D" w:rsidRDefault="00DC46FF" w:rsidP="005D7E36">
      <w:pPr>
        <w:pStyle w:val="Akapitzlist"/>
        <w:numPr>
          <w:ilvl w:val="0"/>
          <w:numId w:val="31"/>
        </w:numPr>
        <w:spacing w:after="0"/>
        <w:ind w:left="426" w:hanging="142"/>
        <w:jc w:val="both"/>
        <w:rPr>
          <w:i/>
          <w:sz w:val="20"/>
          <w:szCs w:val="20"/>
        </w:rPr>
      </w:pPr>
      <w:r w:rsidRPr="0050297D">
        <w:rPr>
          <w:i/>
          <w:sz w:val="20"/>
          <w:szCs w:val="20"/>
        </w:rPr>
        <w:t>Duże projekty</w:t>
      </w:r>
    </w:p>
    <w:p w14:paraId="34EB3278" w14:textId="69A63594" w:rsidR="003D03C4" w:rsidRPr="0050297D" w:rsidRDefault="003D03C4" w:rsidP="005D7E36">
      <w:pPr>
        <w:pStyle w:val="Akapitzlist"/>
        <w:numPr>
          <w:ilvl w:val="0"/>
          <w:numId w:val="31"/>
        </w:numPr>
        <w:spacing w:after="0"/>
        <w:ind w:left="426" w:hanging="142"/>
        <w:jc w:val="both"/>
        <w:rPr>
          <w:i/>
          <w:sz w:val="20"/>
          <w:szCs w:val="20"/>
        </w:rPr>
      </w:pPr>
      <w:r w:rsidRPr="0050297D">
        <w:rPr>
          <w:i/>
          <w:sz w:val="20"/>
          <w:szCs w:val="20"/>
        </w:rPr>
        <w:t>Projekty zawieszone</w:t>
      </w:r>
    </w:p>
    <w:p w14:paraId="62680803" w14:textId="77777777" w:rsidR="004F749A" w:rsidRPr="0094320D" w:rsidRDefault="004F749A" w:rsidP="0094320D">
      <w:pPr>
        <w:pStyle w:val="Akapitzlist"/>
        <w:spacing w:after="0"/>
        <w:ind w:left="426"/>
        <w:jc w:val="both"/>
        <w:rPr>
          <w:i/>
          <w:szCs w:val="24"/>
        </w:rPr>
      </w:pPr>
    </w:p>
    <w:p w14:paraId="7861104F" w14:textId="77777777" w:rsidR="00367271" w:rsidRPr="0050297D" w:rsidRDefault="00435E27" w:rsidP="0094320D">
      <w:pPr>
        <w:spacing w:after="120"/>
        <w:jc w:val="both"/>
        <w:rPr>
          <w:i/>
          <w:noProof/>
          <w:sz w:val="20"/>
          <w:szCs w:val="20"/>
        </w:rPr>
      </w:pPr>
      <w:bookmarkStart w:id="750" w:name="_Toc423351847"/>
      <w:bookmarkStart w:id="751" w:name="_Toc477779808"/>
      <w:r w:rsidRPr="003A31E7">
        <w:rPr>
          <w:rStyle w:val="Nagwek1Znak"/>
          <w:sz w:val="20"/>
          <w:szCs w:val="20"/>
        </w:rPr>
        <w:t>SPIS RYSUNKÓW</w:t>
      </w:r>
      <w:bookmarkEnd w:id="750"/>
      <w:bookmarkEnd w:id="751"/>
      <w:r w:rsidR="00D70441" w:rsidRPr="003A31E7">
        <w:rPr>
          <w:rStyle w:val="Nagwek1Znak"/>
          <w:b w:val="0"/>
          <w:iCs/>
          <w:sz w:val="20"/>
          <w:szCs w:val="20"/>
        </w:rPr>
        <w:fldChar w:fldCharType="begin"/>
      </w:r>
      <w:r w:rsidR="00151BFE" w:rsidRPr="003A31E7">
        <w:rPr>
          <w:rStyle w:val="Nagwek1Znak"/>
          <w:b w:val="0"/>
          <w:sz w:val="20"/>
          <w:szCs w:val="20"/>
        </w:rPr>
        <w:instrText xml:space="preserve"> TOC \h \z \c "Rysunek" </w:instrText>
      </w:r>
      <w:r w:rsidR="00D70441" w:rsidRPr="003A31E7">
        <w:rPr>
          <w:rStyle w:val="Nagwek1Znak"/>
          <w:b w:val="0"/>
          <w:iCs/>
          <w:sz w:val="20"/>
          <w:szCs w:val="20"/>
        </w:rPr>
        <w:fldChar w:fldCharType="separate"/>
      </w:r>
    </w:p>
    <w:p w14:paraId="3EBB9E49"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0" w:history="1">
        <w:r w:rsidR="00367271" w:rsidRPr="0050297D">
          <w:rPr>
            <w:rStyle w:val="Hipercze"/>
            <w:rFonts w:ascii="Times New Roman" w:hAnsi="Times New Roman"/>
            <w:noProof/>
          </w:rPr>
          <w:t>Rysunek 1 Alokacja poszczególnych priorytetów w EUR wraz z procentem alokacji programu.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6</w:t>
        </w:r>
        <w:r w:rsidR="00367271" w:rsidRPr="0050297D">
          <w:rPr>
            <w:rFonts w:ascii="Times New Roman" w:hAnsi="Times New Roman"/>
            <w:noProof/>
            <w:webHidden/>
          </w:rPr>
          <w:fldChar w:fldCharType="end"/>
        </w:r>
      </w:hyperlink>
    </w:p>
    <w:p w14:paraId="3EB42C76"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1" w:history="1">
        <w:r w:rsidR="00367271" w:rsidRPr="0050297D">
          <w:rPr>
            <w:rStyle w:val="Hipercze"/>
            <w:rFonts w:ascii="Times New Roman" w:hAnsi="Times New Roman"/>
            <w:noProof/>
          </w:rPr>
          <w:t>Rysunek 2 Zestawienie dokumentów programowych</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8</w:t>
        </w:r>
        <w:r w:rsidR="00367271" w:rsidRPr="0050297D">
          <w:rPr>
            <w:rFonts w:ascii="Times New Roman" w:hAnsi="Times New Roman"/>
            <w:noProof/>
            <w:webHidden/>
          </w:rPr>
          <w:fldChar w:fldCharType="end"/>
        </w:r>
      </w:hyperlink>
    </w:p>
    <w:p w14:paraId="211A91D2"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2" w:history="1">
        <w:r w:rsidR="00367271" w:rsidRPr="0050297D">
          <w:rPr>
            <w:rStyle w:val="Hipercze"/>
            <w:rFonts w:ascii="Times New Roman" w:hAnsi="Times New Roman"/>
            <w:noProof/>
          </w:rPr>
          <w:t>Rysunek 3 Postęp finansowy RPO WSL 2007-2013</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_Toc476832922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15</w:t>
        </w:r>
        <w:r w:rsidR="00367271" w:rsidRPr="0050297D">
          <w:rPr>
            <w:rFonts w:ascii="Times New Roman" w:hAnsi="Times New Roman"/>
            <w:noProof/>
            <w:webHidden/>
          </w:rPr>
          <w:fldChar w:fldCharType="end"/>
        </w:r>
      </w:hyperlink>
    </w:p>
    <w:p w14:paraId="1358EECC"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3" w:history="1">
        <w:r w:rsidR="00367271" w:rsidRPr="0050297D">
          <w:rPr>
            <w:rStyle w:val="Hipercze"/>
            <w:rFonts w:ascii="Times New Roman" w:hAnsi="Times New Roman"/>
            <w:noProof/>
          </w:rPr>
          <w:t>Rysunek 4 Rozkład projektów w ramach RPO WSL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_Toc476832923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18</w:t>
        </w:r>
        <w:r w:rsidR="00367271" w:rsidRPr="0050297D">
          <w:rPr>
            <w:rFonts w:ascii="Times New Roman" w:hAnsi="Times New Roman"/>
            <w:noProof/>
            <w:webHidden/>
          </w:rPr>
          <w:fldChar w:fldCharType="end"/>
        </w:r>
      </w:hyperlink>
    </w:p>
    <w:p w14:paraId="55CDC2DA"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4" w:history="1">
        <w:r w:rsidR="00367271" w:rsidRPr="0050297D">
          <w:rPr>
            <w:rStyle w:val="Hipercze"/>
            <w:rFonts w:ascii="Times New Roman" w:hAnsi="Times New Roman"/>
            <w:noProof/>
          </w:rPr>
          <w:t>Rysunek 5 Rozkład projektów w ramach RPO WSL w podziale na powiaty (liczba)</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_Toc476832924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20</w:t>
        </w:r>
        <w:r w:rsidR="00367271" w:rsidRPr="0050297D">
          <w:rPr>
            <w:rFonts w:ascii="Times New Roman" w:hAnsi="Times New Roman"/>
            <w:noProof/>
            <w:webHidden/>
          </w:rPr>
          <w:fldChar w:fldCharType="end"/>
        </w:r>
      </w:hyperlink>
    </w:p>
    <w:p w14:paraId="51B90E9E"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5" w:history="1">
        <w:r w:rsidR="00367271" w:rsidRPr="0050297D">
          <w:rPr>
            <w:rStyle w:val="Hipercze"/>
            <w:rFonts w:ascii="Times New Roman" w:hAnsi="Times New Roman"/>
            <w:noProof/>
          </w:rPr>
          <w:t>Rysunek 6 Rozkład projektów w ramach RPO WSL w podziale na powiaty (wartość w mln EUR)</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_Toc476832925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21</w:t>
        </w:r>
        <w:r w:rsidR="00367271" w:rsidRPr="0050297D">
          <w:rPr>
            <w:rFonts w:ascii="Times New Roman" w:hAnsi="Times New Roman"/>
            <w:noProof/>
            <w:webHidden/>
          </w:rPr>
          <w:fldChar w:fldCharType="end"/>
        </w:r>
      </w:hyperlink>
    </w:p>
    <w:p w14:paraId="4372B30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6" w:history="1">
        <w:r w:rsidR="00367271" w:rsidRPr="0050297D">
          <w:rPr>
            <w:rStyle w:val="Hipercze"/>
            <w:rFonts w:ascii="Times New Roman" w:hAnsi="Times New Roman"/>
            <w:noProof/>
          </w:rPr>
          <w:t>Rysunek 7 Spójność RPO WSL z priorytetami Krajowego Programu Reform na rzecz Strategii Europa 2020</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_Toc476832926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39</w:t>
        </w:r>
        <w:r w:rsidR="00367271" w:rsidRPr="0050297D">
          <w:rPr>
            <w:rFonts w:ascii="Times New Roman" w:hAnsi="Times New Roman"/>
            <w:noProof/>
            <w:webHidden/>
          </w:rPr>
          <w:fldChar w:fldCharType="end"/>
        </w:r>
      </w:hyperlink>
    </w:p>
    <w:p w14:paraId="224B7933"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7" w:history="1">
        <w:r w:rsidR="00367271" w:rsidRPr="0050297D">
          <w:rPr>
            <w:rStyle w:val="Hipercze"/>
            <w:rFonts w:ascii="Times New Roman" w:hAnsi="Times New Roman"/>
            <w:noProof/>
          </w:rPr>
          <w:t>Rysunek 8 Procentowy udział ludności wg województwa w 2015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_Toc476832927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45</w:t>
        </w:r>
        <w:r w:rsidR="00367271" w:rsidRPr="0050297D">
          <w:rPr>
            <w:rFonts w:ascii="Times New Roman" w:hAnsi="Times New Roman"/>
            <w:noProof/>
            <w:webHidden/>
          </w:rPr>
          <w:fldChar w:fldCharType="end"/>
        </w:r>
      </w:hyperlink>
    </w:p>
    <w:p w14:paraId="447568F4"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8" w:history="1">
        <w:r w:rsidR="00367271" w:rsidRPr="0050297D">
          <w:rPr>
            <w:rStyle w:val="Hipercze"/>
            <w:rFonts w:ascii="Times New Roman" w:hAnsi="Times New Roman"/>
            <w:noProof/>
          </w:rPr>
          <w:t>Rysunek 9 Gęstość zaludnienia w województwie śląskim w 2015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_Toc476832928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46</w:t>
        </w:r>
        <w:r w:rsidR="00367271" w:rsidRPr="0050297D">
          <w:rPr>
            <w:rFonts w:ascii="Times New Roman" w:hAnsi="Times New Roman"/>
            <w:noProof/>
            <w:webHidden/>
          </w:rPr>
          <w:fldChar w:fldCharType="end"/>
        </w:r>
      </w:hyperlink>
    </w:p>
    <w:p w14:paraId="674820C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29" w:history="1">
        <w:r w:rsidR="00367271" w:rsidRPr="0050297D">
          <w:rPr>
            <w:rStyle w:val="Hipercze"/>
            <w:rFonts w:ascii="Times New Roman" w:hAnsi="Times New Roman"/>
            <w:noProof/>
          </w:rPr>
          <w:t>Rysunek 10 Zmiana liczby ludności w latach 2000-2015 (%)</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_Toc476832929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46</w:t>
        </w:r>
        <w:r w:rsidR="00367271" w:rsidRPr="0050297D">
          <w:rPr>
            <w:rFonts w:ascii="Times New Roman" w:hAnsi="Times New Roman"/>
            <w:noProof/>
            <w:webHidden/>
          </w:rPr>
          <w:fldChar w:fldCharType="end"/>
        </w:r>
      </w:hyperlink>
    </w:p>
    <w:p w14:paraId="551F08E0"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0" w:history="1">
        <w:r w:rsidR="00367271" w:rsidRPr="0050297D">
          <w:rPr>
            <w:rStyle w:val="Hipercze"/>
            <w:rFonts w:ascii="Times New Roman" w:hAnsi="Times New Roman"/>
            <w:noProof/>
          </w:rPr>
          <w:t>Rysunek 11 Procentowa zmiana liczby ludności w latach 2000 -2015</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47</w:t>
        </w:r>
        <w:r w:rsidR="00367271" w:rsidRPr="0050297D">
          <w:rPr>
            <w:rFonts w:ascii="Times New Roman" w:hAnsi="Times New Roman"/>
            <w:noProof/>
            <w:webHidden/>
          </w:rPr>
          <w:fldChar w:fldCharType="end"/>
        </w:r>
      </w:hyperlink>
    </w:p>
    <w:p w14:paraId="22A46041"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1" w:history="1">
        <w:r w:rsidR="00367271" w:rsidRPr="0050297D">
          <w:rPr>
            <w:rStyle w:val="Hipercze"/>
            <w:rFonts w:ascii="Times New Roman" w:hAnsi="Times New Roman"/>
            <w:noProof/>
          </w:rPr>
          <w:t>Rysunek 12 Piramida wieku ludności województwa śląskiego w 2015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48</w:t>
        </w:r>
        <w:r w:rsidR="00367271" w:rsidRPr="0050297D">
          <w:rPr>
            <w:rFonts w:ascii="Times New Roman" w:hAnsi="Times New Roman"/>
            <w:noProof/>
            <w:webHidden/>
          </w:rPr>
          <w:fldChar w:fldCharType="end"/>
        </w:r>
      </w:hyperlink>
    </w:p>
    <w:p w14:paraId="170D6027"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2" w:history="1">
        <w:r w:rsidR="00367271" w:rsidRPr="0050297D">
          <w:rPr>
            <w:rStyle w:val="Hipercze"/>
            <w:rFonts w:ascii="Times New Roman" w:hAnsi="Times New Roman"/>
            <w:noProof/>
          </w:rPr>
          <w:t>Rysunek 13 Wskaźnik obciążenia demograficznego w województwie śląskim w 2015 roku (liczba ludności w wieku poprodukcyjnym na 100 osób w wieku produkcyjnym)</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_Toc476832932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49</w:t>
        </w:r>
        <w:r w:rsidR="00367271" w:rsidRPr="0050297D">
          <w:rPr>
            <w:rFonts w:ascii="Times New Roman" w:hAnsi="Times New Roman"/>
            <w:noProof/>
            <w:webHidden/>
          </w:rPr>
          <w:fldChar w:fldCharType="end"/>
        </w:r>
      </w:hyperlink>
    </w:p>
    <w:p w14:paraId="772E7708"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3" w:history="1">
        <w:r w:rsidR="00367271" w:rsidRPr="0050297D">
          <w:rPr>
            <w:rStyle w:val="Hipercze"/>
            <w:rFonts w:ascii="Times New Roman" w:hAnsi="Times New Roman"/>
            <w:noProof/>
          </w:rPr>
          <w:t>Rysunek 14 Przyrost naturalny na 1000 mieszkańców w gminach województwa śląskiego w 2015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_Toc476832933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52</w:t>
        </w:r>
        <w:r w:rsidR="00367271" w:rsidRPr="0050297D">
          <w:rPr>
            <w:rFonts w:ascii="Times New Roman" w:hAnsi="Times New Roman"/>
            <w:noProof/>
            <w:webHidden/>
          </w:rPr>
          <w:fldChar w:fldCharType="end"/>
        </w:r>
      </w:hyperlink>
    </w:p>
    <w:p w14:paraId="4C9956F5"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4" w:history="1">
        <w:r w:rsidR="00367271" w:rsidRPr="0050297D">
          <w:rPr>
            <w:rStyle w:val="Hipercze"/>
            <w:rFonts w:ascii="Times New Roman" w:hAnsi="Times New Roman"/>
            <w:noProof/>
          </w:rPr>
          <w:t xml:space="preserve">Rysunek 15 </w:t>
        </w:r>
        <w:r w:rsidR="00367271" w:rsidRPr="0050297D">
          <w:rPr>
            <w:rStyle w:val="Hipercze"/>
            <w:rFonts w:ascii="Times New Roman" w:eastAsia="Calibri" w:hAnsi="Times New Roman"/>
            <w:noProof/>
          </w:rPr>
          <w:t>Saldo migracji na 1000 mieszkańców w 2014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_Toc476832934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52</w:t>
        </w:r>
        <w:r w:rsidR="00367271" w:rsidRPr="0050297D">
          <w:rPr>
            <w:rFonts w:ascii="Times New Roman" w:hAnsi="Times New Roman"/>
            <w:noProof/>
            <w:webHidden/>
          </w:rPr>
          <w:fldChar w:fldCharType="end"/>
        </w:r>
      </w:hyperlink>
    </w:p>
    <w:p w14:paraId="31A9C1F5"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5" w:history="1">
        <w:r w:rsidR="00367271" w:rsidRPr="0050297D">
          <w:rPr>
            <w:rStyle w:val="Hipercze"/>
            <w:rFonts w:ascii="Times New Roman" w:hAnsi="Times New Roman"/>
            <w:noProof/>
          </w:rPr>
          <w:t>Rysunek 16 Zmiana liczby ludności w Polsce i poszczególnych województwach do 2050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_Toc476832935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53</w:t>
        </w:r>
        <w:r w:rsidR="00367271" w:rsidRPr="0050297D">
          <w:rPr>
            <w:rFonts w:ascii="Times New Roman" w:hAnsi="Times New Roman"/>
            <w:noProof/>
            <w:webHidden/>
          </w:rPr>
          <w:fldChar w:fldCharType="end"/>
        </w:r>
      </w:hyperlink>
    </w:p>
    <w:p w14:paraId="58829C62"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6" w:history="1">
        <w:r w:rsidR="00367271" w:rsidRPr="0050297D">
          <w:rPr>
            <w:rStyle w:val="Hipercze"/>
            <w:rFonts w:ascii="Times New Roman" w:hAnsi="Times New Roman"/>
            <w:noProof/>
          </w:rPr>
          <w:t>Rysunek 17 Zmiany liczby ludności w poszczególnych powiatach województwa śląskiego do 2050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_Toc476832936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54</w:t>
        </w:r>
        <w:r w:rsidR="00367271" w:rsidRPr="0050297D">
          <w:rPr>
            <w:rFonts w:ascii="Times New Roman" w:hAnsi="Times New Roman"/>
            <w:noProof/>
            <w:webHidden/>
          </w:rPr>
          <w:fldChar w:fldCharType="end"/>
        </w:r>
      </w:hyperlink>
    </w:p>
    <w:p w14:paraId="25B64747"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7" w:history="1">
        <w:r w:rsidR="00367271" w:rsidRPr="0050297D">
          <w:rPr>
            <w:rStyle w:val="Hipercze"/>
            <w:rFonts w:ascii="Times New Roman" w:hAnsi="Times New Roman"/>
            <w:noProof/>
          </w:rPr>
          <w:t>Rysunek 18 Struktura pracujących według sekcji w województwie śląskim i Polsce w 2015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_Toc476832937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55</w:t>
        </w:r>
        <w:r w:rsidR="00367271" w:rsidRPr="0050297D">
          <w:rPr>
            <w:rFonts w:ascii="Times New Roman" w:hAnsi="Times New Roman"/>
            <w:noProof/>
            <w:webHidden/>
          </w:rPr>
          <w:fldChar w:fldCharType="end"/>
        </w:r>
      </w:hyperlink>
    </w:p>
    <w:p w14:paraId="5CD922F1"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8" w:history="1">
        <w:r w:rsidR="00367271" w:rsidRPr="0050297D">
          <w:rPr>
            <w:rStyle w:val="Hipercze"/>
            <w:rFonts w:ascii="Times New Roman" w:hAnsi="Times New Roman"/>
            <w:noProof/>
          </w:rPr>
          <w:t>Rysunek 19 Stopa bezrobocia rejestrowanego w podziale na powiaty w województwie śląskim w 2015 roku.</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_Toc476832938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57</w:t>
        </w:r>
        <w:r w:rsidR="00367271" w:rsidRPr="0050297D">
          <w:rPr>
            <w:rFonts w:ascii="Times New Roman" w:hAnsi="Times New Roman"/>
            <w:noProof/>
            <w:webHidden/>
          </w:rPr>
          <w:fldChar w:fldCharType="end"/>
        </w:r>
      </w:hyperlink>
    </w:p>
    <w:p w14:paraId="111E6194"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39" w:history="1">
        <w:r w:rsidR="00367271" w:rsidRPr="0050297D">
          <w:rPr>
            <w:rStyle w:val="Hipercze"/>
            <w:rFonts w:ascii="Times New Roman" w:hAnsi="Times New Roman"/>
            <w:noProof/>
          </w:rPr>
          <w:t>Rysunek 20 Produkt Krajowy Brutto w przeliczeniu na 1 mieszkańca w latach 2000-2015* (w zł).</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_Toc476832939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59</w:t>
        </w:r>
        <w:r w:rsidR="00367271" w:rsidRPr="0050297D">
          <w:rPr>
            <w:rFonts w:ascii="Times New Roman" w:hAnsi="Times New Roman"/>
            <w:noProof/>
            <w:webHidden/>
          </w:rPr>
          <w:fldChar w:fldCharType="end"/>
        </w:r>
      </w:hyperlink>
    </w:p>
    <w:p w14:paraId="55921F11"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0" w:history="1">
        <w:r w:rsidR="00367271" w:rsidRPr="0050297D">
          <w:rPr>
            <w:rStyle w:val="Hipercze"/>
            <w:rFonts w:ascii="Times New Roman" w:hAnsi="Times New Roman"/>
            <w:noProof/>
          </w:rPr>
          <w:t>Rysunek 21 Produkt Krajowy Brutto w przeliczeniu na 1 mieszkańca wytworzony w województwie śląskim (Polska=100%).</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60</w:t>
        </w:r>
        <w:r w:rsidR="00367271" w:rsidRPr="0050297D">
          <w:rPr>
            <w:rFonts w:ascii="Times New Roman" w:hAnsi="Times New Roman"/>
            <w:noProof/>
            <w:webHidden/>
          </w:rPr>
          <w:fldChar w:fldCharType="end"/>
        </w:r>
      </w:hyperlink>
    </w:p>
    <w:p w14:paraId="61BEA0C5"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1" w:history="1">
        <w:r w:rsidR="00367271" w:rsidRPr="0050297D">
          <w:rPr>
            <w:rStyle w:val="Hipercze"/>
            <w:rFonts w:ascii="Times New Roman" w:hAnsi="Times New Roman"/>
            <w:noProof/>
          </w:rPr>
          <w:t>Rysunek 22 Udział województwa śląskiego w krajowym PKB (%) oraz pozycja województwa śląskiego pod względem PKB per capita.</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61</w:t>
        </w:r>
        <w:r w:rsidR="00367271" w:rsidRPr="0050297D">
          <w:rPr>
            <w:rFonts w:ascii="Times New Roman" w:hAnsi="Times New Roman"/>
            <w:noProof/>
            <w:webHidden/>
          </w:rPr>
          <w:fldChar w:fldCharType="end"/>
        </w:r>
      </w:hyperlink>
    </w:p>
    <w:p w14:paraId="692A9E59"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2" w:history="1">
        <w:r w:rsidR="00367271" w:rsidRPr="0050297D">
          <w:rPr>
            <w:rStyle w:val="Hipercze"/>
            <w:rFonts w:ascii="Times New Roman" w:hAnsi="Times New Roman"/>
            <w:noProof/>
          </w:rPr>
          <w:t>Rysunek 23 Przyrost wartości PKB per capita w latach 2000-2014.</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_Toc476832942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62</w:t>
        </w:r>
        <w:r w:rsidR="00367271" w:rsidRPr="0050297D">
          <w:rPr>
            <w:rFonts w:ascii="Times New Roman" w:hAnsi="Times New Roman"/>
            <w:noProof/>
            <w:webHidden/>
          </w:rPr>
          <w:fldChar w:fldCharType="end"/>
        </w:r>
      </w:hyperlink>
    </w:p>
    <w:p w14:paraId="2309B50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3" w:history="1">
        <w:r w:rsidR="00367271" w:rsidRPr="0050297D">
          <w:rPr>
            <w:rStyle w:val="Hipercze"/>
            <w:rFonts w:ascii="Times New Roman" w:hAnsi="Times New Roman"/>
            <w:noProof/>
          </w:rPr>
          <w:t>Rysunek 24 Wartość PKB per capita w stosunku do średniej krajowej (Polska=100%) w roku 2000 oraz 2014.</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_Toc476832943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63</w:t>
        </w:r>
        <w:r w:rsidR="00367271" w:rsidRPr="0050297D">
          <w:rPr>
            <w:rFonts w:ascii="Times New Roman" w:hAnsi="Times New Roman"/>
            <w:noProof/>
            <w:webHidden/>
          </w:rPr>
          <w:fldChar w:fldCharType="end"/>
        </w:r>
      </w:hyperlink>
    </w:p>
    <w:p w14:paraId="46733260"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4" w:history="1">
        <w:r w:rsidR="00367271" w:rsidRPr="0050297D">
          <w:rPr>
            <w:rStyle w:val="Hipercze"/>
            <w:rFonts w:ascii="Times New Roman" w:hAnsi="Times New Roman"/>
            <w:noProof/>
          </w:rPr>
          <w:t>Rysunek 25 Postęp finansowy priorytetu 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_Toc476832944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92</w:t>
        </w:r>
        <w:r w:rsidR="00367271" w:rsidRPr="0050297D">
          <w:rPr>
            <w:rFonts w:ascii="Times New Roman" w:hAnsi="Times New Roman"/>
            <w:noProof/>
            <w:webHidden/>
          </w:rPr>
          <w:fldChar w:fldCharType="end"/>
        </w:r>
      </w:hyperlink>
    </w:p>
    <w:p w14:paraId="4C605C60"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5" w:history="1">
        <w:r w:rsidR="00367271" w:rsidRPr="0050297D">
          <w:rPr>
            <w:rStyle w:val="Hipercze"/>
            <w:rFonts w:ascii="Times New Roman" w:hAnsi="Times New Roman"/>
            <w:noProof/>
          </w:rPr>
          <w:t>Rysunek 26 Rozkład projektów w ramach priorytetu I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_Toc476832945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95</w:t>
        </w:r>
        <w:r w:rsidR="00367271" w:rsidRPr="0050297D">
          <w:rPr>
            <w:rFonts w:ascii="Times New Roman" w:hAnsi="Times New Roman"/>
            <w:noProof/>
            <w:webHidden/>
          </w:rPr>
          <w:fldChar w:fldCharType="end"/>
        </w:r>
      </w:hyperlink>
    </w:p>
    <w:p w14:paraId="27C49E00"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6" w:history="1">
        <w:r w:rsidR="00367271" w:rsidRPr="0050297D">
          <w:rPr>
            <w:rStyle w:val="Hipercze"/>
            <w:rFonts w:ascii="Times New Roman" w:hAnsi="Times New Roman"/>
            <w:noProof/>
          </w:rPr>
          <w:t>Rysunek 27 Rozkład projektów w ramach priorytetu I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_Toc476832946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96</w:t>
        </w:r>
        <w:r w:rsidR="00367271" w:rsidRPr="0050297D">
          <w:rPr>
            <w:rFonts w:ascii="Times New Roman" w:hAnsi="Times New Roman"/>
            <w:noProof/>
            <w:webHidden/>
          </w:rPr>
          <w:fldChar w:fldCharType="end"/>
        </w:r>
      </w:hyperlink>
    </w:p>
    <w:p w14:paraId="3CEE38A5"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7" w:history="1">
        <w:r w:rsidR="00367271" w:rsidRPr="0050297D">
          <w:rPr>
            <w:rStyle w:val="Hipercze"/>
            <w:rFonts w:ascii="Times New Roman" w:hAnsi="Times New Roman"/>
            <w:noProof/>
          </w:rPr>
          <w:t>Rysunek 28 Osiągnięty poziom wartości docelowej wskaźników w ramach priorytetu 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_Toc476832947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99</w:t>
        </w:r>
        <w:r w:rsidR="00367271" w:rsidRPr="0050297D">
          <w:rPr>
            <w:rFonts w:ascii="Times New Roman" w:hAnsi="Times New Roman"/>
            <w:noProof/>
            <w:webHidden/>
          </w:rPr>
          <w:fldChar w:fldCharType="end"/>
        </w:r>
      </w:hyperlink>
    </w:p>
    <w:p w14:paraId="19FFF932"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8" w:history="1">
        <w:r w:rsidR="00367271" w:rsidRPr="0050297D">
          <w:rPr>
            <w:rStyle w:val="Hipercze"/>
            <w:rFonts w:ascii="Times New Roman" w:hAnsi="Times New Roman"/>
            <w:noProof/>
          </w:rPr>
          <w:t>Rysunek 29 Postęp finansowy w ramach priorytetu 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_Toc476832948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103</w:t>
        </w:r>
        <w:r w:rsidR="00367271" w:rsidRPr="0050297D">
          <w:rPr>
            <w:rFonts w:ascii="Times New Roman" w:hAnsi="Times New Roman"/>
            <w:noProof/>
            <w:webHidden/>
          </w:rPr>
          <w:fldChar w:fldCharType="end"/>
        </w:r>
      </w:hyperlink>
    </w:p>
    <w:p w14:paraId="0C07B22F"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49" w:history="1">
        <w:r w:rsidR="00367271" w:rsidRPr="0050297D">
          <w:rPr>
            <w:rStyle w:val="Hipercze"/>
            <w:rFonts w:ascii="Times New Roman" w:hAnsi="Times New Roman"/>
            <w:noProof/>
          </w:rPr>
          <w:t>Rysunek 30 Rozkład projektów w ramach priorytetu II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_Toc476832949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104</w:t>
        </w:r>
        <w:r w:rsidR="00367271" w:rsidRPr="0050297D">
          <w:rPr>
            <w:rFonts w:ascii="Times New Roman" w:hAnsi="Times New Roman"/>
            <w:noProof/>
            <w:webHidden/>
          </w:rPr>
          <w:fldChar w:fldCharType="end"/>
        </w:r>
      </w:hyperlink>
    </w:p>
    <w:p w14:paraId="1E4B5F56"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0" w:history="1">
        <w:r w:rsidR="00367271" w:rsidRPr="0050297D">
          <w:rPr>
            <w:rStyle w:val="Hipercze"/>
            <w:rFonts w:ascii="Times New Roman" w:hAnsi="Times New Roman"/>
            <w:noProof/>
          </w:rPr>
          <w:t>Rysunek 31 Rozkład projektów w ramach priorytetu II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105</w:t>
        </w:r>
        <w:r w:rsidR="00367271" w:rsidRPr="0050297D">
          <w:rPr>
            <w:rFonts w:ascii="Times New Roman" w:hAnsi="Times New Roman"/>
            <w:noProof/>
            <w:webHidden/>
          </w:rPr>
          <w:fldChar w:fldCharType="end"/>
        </w:r>
      </w:hyperlink>
    </w:p>
    <w:p w14:paraId="4C952ACD"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1" w:history="1">
        <w:r w:rsidR="00367271" w:rsidRPr="0050297D">
          <w:rPr>
            <w:rStyle w:val="Hipercze"/>
            <w:rFonts w:ascii="Times New Roman" w:hAnsi="Times New Roman"/>
            <w:noProof/>
          </w:rPr>
          <w:t>Rysunek 32 Osiągnięty poziom wartości docelowej wskaźników w ramach priorytetu 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107</w:t>
        </w:r>
        <w:r w:rsidR="00367271" w:rsidRPr="0050297D">
          <w:rPr>
            <w:rFonts w:ascii="Times New Roman" w:hAnsi="Times New Roman"/>
            <w:noProof/>
            <w:webHidden/>
          </w:rPr>
          <w:fldChar w:fldCharType="end"/>
        </w:r>
      </w:hyperlink>
    </w:p>
    <w:p w14:paraId="1197DC08"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2" w:history="1">
        <w:r w:rsidR="00367271" w:rsidRPr="0050297D">
          <w:rPr>
            <w:rStyle w:val="Hipercze"/>
            <w:rFonts w:ascii="Times New Roman" w:hAnsi="Times New Roman"/>
            <w:noProof/>
          </w:rPr>
          <w:t>Rysunek 33 Postęp finansowy w ramach priorytetu III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_Toc476832952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112</w:t>
        </w:r>
        <w:r w:rsidR="00367271" w:rsidRPr="0050297D">
          <w:rPr>
            <w:rFonts w:ascii="Times New Roman" w:hAnsi="Times New Roman"/>
            <w:noProof/>
            <w:webHidden/>
          </w:rPr>
          <w:fldChar w:fldCharType="end"/>
        </w:r>
      </w:hyperlink>
    </w:p>
    <w:p w14:paraId="09E0E56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3" w:history="1">
        <w:r w:rsidR="00367271" w:rsidRPr="0050297D">
          <w:rPr>
            <w:rStyle w:val="Hipercze"/>
            <w:rFonts w:ascii="Times New Roman" w:hAnsi="Times New Roman"/>
            <w:noProof/>
          </w:rPr>
          <w:t>Rysunek 34 Rozkład projektów w ramach priorytetu III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_Toc476832953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114</w:t>
        </w:r>
        <w:r w:rsidR="00367271" w:rsidRPr="0050297D">
          <w:rPr>
            <w:rFonts w:ascii="Times New Roman" w:hAnsi="Times New Roman"/>
            <w:noProof/>
            <w:webHidden/>
          </w:rPr>
          <w:fldChar w:fldCharType="end"/>
        </w:r>
      </w:hyperlink>
    </w:p>
    <w:p w14:paraId="13CDEA6D"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4" w:history="1">
        <w:r w:rsidR="00367271" w:rsidRPr="0050297D">
          <w:rPr>
            <w:rStyle w:val="Hipercze"/>
            <w:rFonts w:ascii="Times New Roman" w:hAnsi="Times New Roman"/>
            <w:noProof/>
          </w:rPr>
          <w:t>Rysunek 35 Rozkład projektów w ramach priorytetu III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_Toc476832954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115</w:t>
        </w:r>
        <w:r w:rsidR="00367271" w:rsidRPr="0050297D">
          <w:rPr>
            <w:rFonts w:ascii="Times New Roman" w:hAnsi="Times New Roman"/>
            <w:noProof/>
            <w:webHidden/>
          </w:rPr>
          <w:fldChar w:fldCharType="end"/>
        </w:r>
      </w:hyperlink>
    </w:p>
    <w:p w14:paraId="5DA7260C"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5" w:history="1">
        <w:r w:rsidR="00367271" w:rsidRPr="0050297D">
          <w:rPr>
            <w:rStyle w:val="Hipercze"/>
            <w:rFonts w:ascii="Times New Roman" w:hAnsi="Times New Roman"/>
            <w:noProof/>
          </w:rPr>
          <w:t>Rysunek 36 Osiągnięty poziom wartości docelowej wskaźników w ramach priorytetu III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_Toc476832955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117</w:t>
        </w:r>
        <w:r w:rsidR="00367271" w:rsidRPr="0050297D">
          <w:rPr>
            <w:rFonts w:ascii="Times New Roman" w:hAnsi="Times New Roman"/>
            <w:noProof/>
            <w:webHidden/>
          </w:rPr>
          <w:fldChar w:fldCharType="end"/>
        </w:r>
      </w:hyperlink>
    </w:p>
    <w:p w14:paraId="706B7B04"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6" w:history="1">
        <w:r w:rsidR="00367271" w:rsidRPr="0050297D">
          <w:rPr>
            <w:rStyle w:val="Hipercze"/>
            <w:rFonts w:ascii="Times New Roman" w:hAnsi="Times New Roman"/>
            <w:noProof/>
          </w:rPr>
          <w:t>Rysunek 37 Postęp finansowy priorytetu IV</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_Toc476832956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121</w:t>
        </w:r>
        <w:r w:rsidR="00367271" w:rsidRPr="0050297D">
          <w:rPr>
            <w:rFonts w:ascii="Times New Roman" w:hAnsi="Times New Roman"/>
            <w:noProof/>
            <w:webHidden/>
          </w:rPr>
          <w:fldChar w:fldCharType="end"/>
        </w:r>
      </w:hyperlink>
    </w:p>
    <w:p w14:paraId="665B2E6E"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7" w:history="1">
        <w:r w:rsidR="00367271" w:rsidRPr="0050297D">
          <w:rPr>
            <w:rStyle w:val="Hipercze"/>
            <w:rFonts w:ascii="Times New Roman" w:hAnsi="Times New Roman"/>
            <w:noProof/>
          </w:rPr>
          <w:t>Rysunek 38 Rozkład projektów w ramach priorytetu IV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_Toc476832957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122</w:t>
        </w:r>
        <w:r w:rsidR="00367271" w:rsidRPr="0050297D">
          <w:rPr>
            <w:rFonts w:ascii="Times New Roman" w:hAnsi="Times New Roman"/>
            <w:noProof/>
            <w:webHidden/>
          </w:rPr>
          <w:fldChar w:fldCharType="end"/>
        </w:r>
      </w:hyperlink>
    </w:p>
    <w:p w14:paraId="5311140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8" w:history="1">
        <w:r w:rsidR="00367271" w:rsidRPr="0050297D">
          <w:rPr>
            <w:rStyle w:val="Hipercze"/>
            <w:rFonts w:ascii="Times New Roman" w:hAnsi="Times New Roman"/>
            <w:noProof/>
          </w:rPr>
          <w:t>Rysunek 39 Rozkład projektów w ramach priorytetu IV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_Toc476832958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124</w:t>
        </w:r>
        <w:r w:rsidR="00367271" w:rsidRPr="0050297D">
          <w:rPr>
            <w:rFonts w:ascii="Times New Roman" w:hAnsi="Times New Roman"/>
            <w:noProof/>
            <w:webHidden/>
          </w:rPr>
          <w:fldChar w:fldCharType="end"/>
        </w:r>
      </w:hyperlink>
    </w:p>
    <w:p w14:paraId="513ABAE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59" w:history="1">
        <w:r w:rsidR="00367271" w:rsidRPr="0050297D">
          <w:rPr>
            <w:rStyle w:val="Hipercze"/>
            <w:rFonts w:ascii="Times New Roman" w:hAnsi="Times New Roman"/>
            <w:noProof/>
          </w:rPr>
          <w:t>Rysunek 40 Osiągnięty poziom wartości docelowej wskaźników w ramach priorytetu IV</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_Toc476832959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126</w:t>
        </w:r>
        <w:r w:rsidR="00367271" w:rsidRPr="0050297D">
          <w:rPr>
            <w:rFonts w:ascii="Times New Roman" w:hAnsi="Times New Roman"/>
            <w:noProof/>
            <w:webHidden/>
          </w:rPr>
          <w:fldChar w:fldCharType="end"/>
        </w:r>
      </w:hyperlink>
    </w:p>
    <w:p w14:paraId="5521A9CE"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0" w:history="1">
        <w:r w:rsidR="00367271" w:rsidRPr="0050297D">
          <w:rPr>
            <w:rStyle w:val="Hipercze"/>
            <w:rFonts w:ascii="Times New Roman" w:hAnsi="Times New Roman"/>
            <w:noProof/>
          </w:rPr>
          <w:t>Rysunek 41 Postęp finansowy priorytetu V</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130</w:t>
        </w:r>
        <w:r w:rsidR="00367271" w:rsidRPr="0050297D">
          <w:rPr>
            <w:rFonts w:ascii="Times New Roman" w:hAnsi="Times New Roman"/>
            <w:noProof/>
            <w:webHidden/>
          </w:rPr>
          <w:fldChar w:fldCharType="end"/>
        </w:r>
      </w:hyperlink>
    </w:p>
    <w:p w14:paraId="077C14EA"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1" w:history="1">
        <w:r w:rsidR="00367271" w:rsidRPr="0050297D">
          <w:rPr>
            <w:rStyle w:val="Hipercze"/>
            <w:rFonts w:ascii="Times New Roman" w:hAnsi="Times New Roman"/>
            <w:noProof/>
          </w:rPr>
          <w:t>Rysunek 42 Rozkład projektów w ramach priorytetu V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131</w:t>
        </w:r>
        <w:r w:rsidR="00367271" w:rsidRPr="0050297D">
          <w:rPr>
            <w:rFonts w:ascii="Times New Roman" w:hAnsi="Times New Roman"/>
            <w:noProof/>
            <w:webHidden/>
          </w:rPr>
          <w:fldChar w:fldCharType="end"/>
        </w:r>
      </w:hyperlink>
    </w:p>
    <w:p w14:paraId="3E3AF6A7"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2" w:history="1">
        <w:r w:rsidR="00367271" w:rsidRPr="0050297D">
          <w:rPr>
            <w:rStyle w:val="Hipercze"/>
            <w:rFonts w:ascii="Times New Roman" w:hAnsi="Times New Roman"/>
            <w:noProof/>
          </w:rPr>
          <w:t>Rysunek 43 Rozkład projektów w ramach priorytetu V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_Toc476832962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133</w:t>
        </w:r>
        <w:r w:rsidR="00367271" w:rsidRPr="0050297D">
          <w:rPr>
            <w:rFonts w:ascii="Times New Roman" w:hAnsi="Times New Roman"/>
            <w:noProof/>
            <w:webHidden/>
          </w:rPr>
          <w:fldChar w:fldCharType="end"/>
        </w:r>
      </w:hyperlink>
    </w:p>
    <w:p w14:paraId="77152D7F"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3" w:history="1">
        <w:r w:rsidR="00367271" w:rsidRPr="0050297D">
          <w:rPr>
            <w:rStyle w:val="Hipercze"/>
            <w:rFonts w:ascii="Times New Roman" w:hAnsi="Times New Roman"/>
            <w:noProof/>
          </w:rPr>
          <w:t>Rysunek 44 Osiągnięty poziom wartości docelowej wskaźników w ramach priorytetu V</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_Toc476832963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134</w:t>
        </w:r>
        <w:r w:rsidR="00367271" w:rsidRPr="0050297D">
          <w:rPr>
            <w:rFonts w:ascii="Times New Roman" w:hAnsi="Times New Roman"/>
            <w:noProof/>
            <w:webHidden/>
          </w:rPr>
          <w:fldChar w:fldCharType="end"/>
        </w:r>
      </w:hyperlink>
    </w:p>
    <w:p w14:paraId="027F5042"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4" w:history="1">
        <w:r w:rsidR="00367271" w:rsidRPr="0050297D">
          <w:rPr>
            <w:rStyle w:val="Hipercze"/>
            <w:rFonts w:ascii="Times New Roman" w:hAnsi="Times New Roman"/>
            <w:noProof/>
          </w:rPr>
          <w:t>Rysunek 45 Postęp finansowy priorytetu VI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_Toc476832964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138</w:t>
        </w:r>
        <w:r w:rsidR="00367271" w:rsidRPr="0050297D">
          <w:rPr>
            <w:rFonts w:ascii="Times New Roman" w:hAnsi="Times New Roman"/>
            <w:noProof/>
            <w:webHidden/>
          </w:rPr>
          <w:fldChar w:fldCharType="end"/>
        </w:r>
      </w:hyperlink>
    </w:p>
    <w:p w14:paraId="6936B5D6"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5" w:history="1">
        <w:r w:rsidR="00367271" w:rsidRPr="0050297D">
          <w:rPr>
            <w:rStyle w:val="Hipercze"/>
            <w:rFonts w:ascii="Times New Roman" w:hAnsi="Times New Roman"/>
            <w:noProof/>
          </w:rPr>
          <w:t>Rysunek 46 Rozkład projektów w ramach priorytetu VI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_Toc476832965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139</w:t>
        </w:r>
        <w:r w:rsidR="00367271" w:rsidRPr="0050297D">
          <w:rPr>
            <w:rFonts w:ascii="Times New Roman" w:hAnsi="Times New Roman"/>
            <w:noProof/>
            <w:webHidden/>
          </w:rPr>
          <w:fldChar w:fldCharType="end"/>
        </w:r>
      </w:hyperlink>
    </w:p>
    <w:p w14:paraId="72EAC5F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6" w:history="1">
        <w:r w:rsidR="00367271" w:rsidRPr="0050297D">
          <w:rPr>
            <w:rStyle w:val="Hipercze"/>
            <w:rFonts w:ascii="Times New Roman" w:hAnsi="Times New Roman"/>
            <w:noProof/>
          </w:rPr>
          <w:t>Rysunek 47 Rozkład projektów w ramach priorytetu VI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_Toc476832966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141</w:t>
        </w:r>
        <w:r w:rsidR="00367271" w:rsidRPr="0050297D">
          <w:rPr>
            <w:rFonts w:ascii="Times New Roman" w:hAnsi="Times New Roman"/>
            <w:noProof/>
            <w:webHidden/>
          </w:rPr>
          <w:fldChar w:fldCharType="end"/>
        </w:r>
      </w:hyperlink>
    </w:p>
    <w:p w14:paraId="33BA2CF7"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7" w:history="1">
        <w:r w:rsidR="00367271" w:rsidRPr="0050297D">
          <w:rPr>
            <w:rStyle w:val="Hipercze"/>
            <w:rFonts w:ascii="Times New Roman" w:hAnsi="Times New Roman"/>
            <w:noProof/>
          </w:rPr>
          <w:t>Rysunek 48 Realizacja wskaźników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_Toc476832967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143</w:t>
        </w:r>
        <w:r w:rsidR="00367271" w:rsidRPr="0050297D">
          <w:rPr>
            <w:rFonts w:ascii="Times New Roman" w:hAnsi="Times New Roman"/>
            <w:noProof/>
            <w:webHidden/>
          </w:rPr>
          <w:fldChar w:fldCharType="end"/>
        </w:r>
      </w:hyperlink>
    </w:p>
    <w:p w14:paraId="085BC019"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8" w:history="1">
        <w:r w:rsidR="00367271" w:rsidRPr="0050297D">
          <w:rPr>
            <w:rStyle w:val="Hipercze"/>
            <w:rFonts w:ascii="Times New Roman" w:hAnsi="Times New Roman"/>
            <w:noProof/>
          </w:rPr>
          <w:t>Rysunek 49 Postęp finansowy priorytetu VII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_Toc476832968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146</w:t>
        </w:r>
        <w:r w:rsidR="00367271" w:rsidRPr="0050297D">
          <w:rPr>
            <w:rFonts w:ascii="Times New Roman" w:hAnsi="Times New Roman"/>
            <w:noProof/>
            <w:webHidden/>
          </w:rPr>
          <w:fldChar w:fldCharType="end"/>
        </w:r>
      </w:hyperlink>
    </w:p>
    <w:p w14:paraId="42E533AF"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69" w:history="1">
        <w:r w:rsidR="00367271" w:rsidRPr="0050297D">
          <w:rPr>
            <w:rStyle w:val="Hipercze"/>
            <w:rFonts w:ascii="Times New Roman" w:hAnsi="Times New Roman"/>
            <w:noProof/>
          </w:rPr>
          <w:t>Rysunek 50 Rozkład projektów w ramach priorytetu VII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_Toc476832969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148</w:t>
        </w:r>
        <w:r w:rsidR="00367271" w:rsidRPr="0050297D">
          <w:rPr>
            <w:rFonts w:ascii="Times New Roman" w:hAnsi="Times New Roman"/>
            <w:noProof/>
            <w:webHidden/>
          </w:rPr>
          <w:fldChar w:fldCharType="end"/>
        </w:r>
      </w:hyperlink>
    </w:p>
    <w:p w14:paraId="6DFC87AE"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0" w:history="1">
        <w:r w:rsidR="00367271" w:rsidRPr="0050297D">
          <w:rPr>
            <w:rStyle w:val="Hipercze"/>
            <w:rFonts w:ascii="Times New Roman" w:hAnsi="Times New Roman"/>
            <w:noProof/>
          </w:rPr>
          <w:t>Rysunek 51 Rozkład projektów w ramach priorytetu VII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150</w:t>
        </w:r>
        <w:r w:rsidR="00367271" w:rsidRPr="0050297D">
          <w:rPr>
            <w:rFonts w:ascii="Times New Roman" w:hAnsi="Times New Roman"/>
            <w:noProof/>
            <w:webHidden/>
          </w:rPr>
          <w:fldChar w:fldCharType="end"/>
        </w:r>
      </w:hyperlink>
    </w:p>
    <w:p w14:paraId="0BEE0684"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1" w:history="1">
        <w:r w:rsidR="00367271" w:rsidRPr="0050297D">
          <w:rPr>
            <w:rStyle w:val="Hipercze"/>
            <w:rFonts w:ascii="Times New Roman" w:hAnsi="Times New Roman"/>
            <w:noProof/>
          </w:rPr>
          <w:t>Rysunek 52 Osiągnięty poziom wartości docelowej wskaźników w ramach priorytetu VII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153</w:t>
        </w:r>
        <w:r w:rsidR="00367271" w:rsidRPr="0050297D">
          <w:rPr>
            <w:rFonts w:ascii="Times New Roman" w:hAnsi="Times New Roman"/>
            <w:noProof/>
            <w:webHidden/>
          </w:rPr>
          <w:fldChar w:fldCharType="end"/>
        </w:r>
      </w:hyperlink>
    </w:p>
    <w:p w14:paraId="457CA36F"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2" w:history="1">
        <w:r w:rsidR="00367271" w:rsidRPr="0050297D">
          <w:rPr>
            <w:rStyle w:val="Hipercze"/>
            <w:rFonts w:ascii="Times New Roman" w:hAnsi="Times New Roman"/>
            <w:noProof/>
          </w:rPr>
          <w:t>Rysunek 53 Postęp finansowy priorytetu VIII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_Toc476832972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157</w:t>
        </w:r>
        <w:r w:rsidR="00367271" w:rsidRPr="0050297D">
          <w:rPr>
            <w:rFonts w:ascii="Times New Roman" w:hAnsi="Times New Roman"/>
            <w:noProof/>
            <w:webHidden/>
          </w:rPr>
          <w:fldChar w:fldCharType="end"/>
        </w:r>
      </w:hyperlink>
    </w:p>
    <w:p w14:paraId="5996BCFA"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3" w:history="1">
        <w:r w:rsidR="00367271" w:rsidRPr="0050297D">
          <w:rPr>
            <w:rStyle w:val="Hipercze"/>
            <w:rFonts w:ascii="Times New Roman" w:hAnsi="Times New Roman"/>
            <w:noProof/>
          </w:rPr>
          <w:t>Rysunek 54 Rozkład projektów w ramach priorytetu VIII w podziale na beneficjentów</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_Toc476832973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158</w:t>
        </w:r>
        <w:r w:rsidR="00367271" w:rsidRPr="0050297D">
          <w:rPr>
            <w:rFonts w:ascii="Times New Roman" w:hAnsi="Times New Roman"/>
            <w:noProof/>
            <w:webHidden/>
          </w:rPr>
          <w:fldChar w:fldCharType="end"/>
        </w:r>
      </w:hyperlink>
    </w:p>
    <w:p w14:paraId="06DCB2FE"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4" w:history="1">
        <w:r w:rsidR="00367271" w:rsidRPr="0050297D">
          <w:rPr>
            <w:rStyle w:val="Hipercze"/>
            <w:rFonts w:ascii="Times New Roman" w:hAnsi="Times New Roman"/>
            <w:noProof/>
          </w:rPr>
          <w:t>Rysunek 55 Rozkład projektów w ramach priorytetu VIII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_Toc476832974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160</w:t>
        </w:r>
        <w:r w:rsidR="00367271" w:rsidRPr="0050297D">
          <w:rPr>
            <w:rFonts w:ascii="Times New Roman" w:hAnsi="Times New Roman"/>
            <w:noProof/>
            <w:webHidden/>
          </w:rPr>
          <w:fldChar w:fldCharType="end"/>
        </w:r>
      </w:hyperlink>
    </w:p>
    <w:p w14:paraId="5BCB6A87"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5" w:history="1">
        <w:r w:rsidR="00367271" w:rsidRPr="0050297D">
          <w:rPr>
            <w:rStyle w:val="Hipercze"/>
            <w:rFonts w:ascii="Times New Roman" w:hAnsi="Times New Roman"/>
            <w:noProof/>
          </w:rPr>
          <w:t>Rysunek 56 Osiągnięty poziom wartości docelowej wskaźników w ramach priorytetu VIII</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_Toc476832975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162</w:t>
        </w:r>
        <w:r w:rsidR="00367271" w:rsidRPr="0050297D">
          <w:rPr>
            <w:rFonts w:ascii="Times New Roman" w:hAnsi="Times New Roman"/>
            <w:noProof/>
            <w:webHidden/>
          </w:rPr>
          <w:fldChar w:fldCharType="end"/>
        </w:r>
      </w:hyperlink>
    </w:p>
    <w:p w14:paraId="25C295FC"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6" w:history="1">
        <w:r w:rsidR="00367271" w:rsidRPr="0050297D">
          <w:rPr>
            <w:rStyle w:val="Hipercze"/>
            <w:rFonts w:ascii="Times New Roman" w:hAnsi="Times New Roman"/>
            <w:noProof/>
          </w:rPr>
          <w:t xml:space="preserve">Rysunek 57 </w:t>
        </w:r>
        <w:r w:rsidR="00367271" w:rsidRPr="0050297D">
          <w:rPr>
            <w:rStyle w:val="Hipercze"/>
            <w:rFonts w:ascii="Times New Roman" w:hAnsi="Times New Roman"/>
            <w:b/>
            <w:noProof/>
          </w:rPr>
          <w:t>Postęp finansowy priorytetu IX</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_Toc476832976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166</w:t>
        </w:r>
        <w:r w:rsidR="00367271" w:rsidRPr="0050297D">
          <w:rPr>
            <w:rFonts w:ascii="Times New Roman" w:hAnsi="Times New Roman"/>
            <w:noProof/>
            <w:webHidden/>
          </w:rPr>
          <w:fldChar w:fldCharType="end"/>
        </w:r>
      </w:hyperlink>
    </w:p>
    <w:p w14:paraId="3500AF54"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7" w:history="1">
        <w:r w:rsidR="00367271" w:rsidRPr="0050297D">
          <w:rPr>
            <w:rStyle w:val="Hipercze"/>
            <w:rFonts w:ascii="Times New Roman" w:hAnsi="Times New Roman"/>
            <w:noProof/>
          </w:rPr>
          <w:t>Rysunek 58 Rozkład projektów w ramach priorytetu IX w podziale na beneficjenta</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_Toc476832977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167</w:t>
        </w:r>
        <w:r w:rsidR="00367271" w:rsidRPr="0050297D">
          <w:rPr>
            <w:rFonts w:ascii="Times New Roman" w:hAnsi="Times New Roman"/>
            <w:noProof/>
            <w:webHidden/>
          </w:rPr>
          <w:fldChar w:fldCharType="end"/>
        </w:r>
      </w:hyperlink>
    </w:p>
    <w:p w14:paraId="7652E7A1"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8" w:history="1">
        <w:r w:rsidR="00367271" w:rsidRPr="0050297D">
          <w:rPr>
            <w:rStyle w:val="Hipercze"/>
            <w:rFonts w:ascii="Times New Roman" w:hAnsi="Times New Roman"/>
            <w:noProof/>
          </w:rPr>
          <w:t>Rysunek 59 Rozkład projektów w ramach priorytetu IX w podziale na powiaty</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_Toc476832978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169</w:t>
        </w:r>
        <w:r w:rsidR="00367271" w:rsidRPr="0050297D">
          <w:rPr>
            <w:rFonts w:ascii="Times New Roman" w:hAnsi="Times New Roman"/>
            <w:noProof/>
            <w:webHidden/>
          </w:rPr>
          <w:fldChar w:fldCharType="end"/>
        </w:r>
      </w:hyperlink>
    </w:p>
    <w:p w14:paraId="658CFB94"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79" w:history="1">
        <w:r w:rsidR="00367271" w:rsidRPr="0050297D">
          <w:rPr>
            <w:rStyle w:val="Hipercze"/>
            <w:rFonts w:ascii="Times New Roman" w:hAnsi="Times New Roman"/>
            <w:noProof/>
          </w:rPr>
          <w:t>Rysunek 60 Osiągnięty poziom wartości docelowej wskaźników w ramach priorytetu IX</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_Toc476832979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170</w:t>
        </w:r>
        <w:r w:rsidR="00367271" w:rsidRPr="0050297D">
          <w:rPr>
            <w:rFonts w:ascii="Times New Roman" w:hAnsi="Times New Roman"/>
            <w:noProof/>
            <w:webHidden/>
          </w:rPr>
          <w:fldChar w:fldCharType="end"/>
        </w:r>
      </w:hyperlink>
    </w:p>
    <w:p w14:paraId="6C9C52C6"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80" w:history="1">
        <w:r w:rsidR="00367271" w:rsidRPr="0050297D">
          <w:rPr>
            <w:rStyle w:val="Hipercze"/>
            <w:rFonts w:ascii="Times New Roman" w:hAnsi="Times New Roman"/>
            <w:noProof/>
          </w:rPr>
          <w:t>Rysunek 61 Postęp finansowy priorytetu X</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_Toc476832980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174</w:t>
        </w:r>
        <w:r w:rsidR="00367271" w:rsidRPr="0050297D">
          <w:rPr>
            <w:rFonts w:ascii="Times New Roman" w:hAnsi="Times New Roman"/>
            <w:noProof/>
            <w:webHidden/>
          </w:rPr>
          <w:fldChar w:fldCharType="end"/>
        </w:r>
      </w:hyperlink>
    </w:p>
    <w:p w14:paraId="4420795B" w14:textId="77777777" w:rsidR="00367271" w:rsidRPr="0050297D" w:rsidRDefault="004361E1">
      <w:pPr>
        <w:pStyle w:val="Spisilustracji"/>
        <w:tabs>
          <w:tab w:val="right" w:leader="dot" w:pos="9060"/>
        </w:tabs>
        <w:rPr>
          <w:rFonts w:ascii="Times New Roman" w:eastAsiaTheme="minorEastAsia" w:hAnsi="Times New Roman"/>
          <w:iCs w:val="0"/>
          <w:noProof/>
        </w:rPr>
      </w:pPr>
      <w:hyperlink w:anchor="_Toc476832981" w:history="1">
        <w:r w:rsidR="00367271" w:rsidRPr="0050297D">
          <w:rPr>
            <w:rStyle w:val="Hipercze"/>
            <w:rFonts w:ascii="Times New Roman" w:hAnsi="Times New Roman"/>
            <w:noProof/>
          </w:rPr>
          <w:t>Rysunek 62 Osiągnięty poziom wartości docelowej wskaźników w ramach priorytetu X</w:t>
        </w:r>
        <w:r w:rsidR="00367271" w:rsidRPr="0050297D">
          <w:rPr>
            <w:rFonts w:ascii="Times New Roman" w:hAnsi="Times New Roman"/>
            <w:noProof/>
            <w:webHidden/>
          </w:rPr>
          <w:tab/>
        </w:r>
        <w:r w:rsidR="00367271" w:rsidRPr="0050297D">
          <w:rPr>
            <w:rFonts w:ascii="Times New Roman" w:hAnsi="Times New Roman"/>
            <w:noProof/>
            <w:webHidden/>
          </w:rPr>
          <w:fldChar w:fldCharType="begin"/>
        </w:r>
        <w:r w:rsidR="00367271" w:rsidRPr="0050297D">
          <w:rPr>
            <w:rFonts w:ascii="Times New Roman" w:hAnsi="Times New Roman"/>
            <w:noProof/>
            <w:webHidden/>
          </w:rPr>
          <w:instrText xml:space="preserve"> PAGEREF _Toc476832981 \h </w:instrText>
        </w:r>
        <w:r w:rsidR="00367271" w:rsidRPr="0050297D">
          <w:rPr>
            <w:rFonts w:ascii="Times New Roman" w:hAnsi="Times New Roman"/>
            <w:noProof/>
            <w:webHidden/>
          </w:rPr>
        </w:r>
        <w:r w:rsidR="00367271" w:rsidRPr="0050297D">
          <w:rPr>
            <w:rFonts w:ascii="Times New Roman" w:hAnsi="Times New Roman"/>
            <w:noProof/>
            <w:webHidden/>
          </w:rPr>
          <w:fldChar w:fldCharType="separate"/>
        </w:r>
        <w:r w:rsidR="0050297D">
          <w:rPr>
            <w:rFonts w:ascii="Times New Roman" w:hAnsi="Times New Roman"/>
            <w:noProof/>
            <w:webHidden/>
          </w:rPr>
          <w:t>176</w:t>
        </w:r>
        <w:r w:rsidR="00367271" w:rsidRPr="0050297D">
          <w:rPr>
            <w:rFonts w:ascii="Times New Roman" w:hAnsi="Times New Roman"/>
            <w:noProof/>
            <w:webHidden/>
          </w:rPr>
          <w:fldChar w:fldCharType="end"/>
        </w:r>
      </w:hyperlink>
    </w:p>
    <w:p w14:paraId="3DA33A8D" w14:textId="77777777" w:rsidR="00151BFE" w:rsidRPr="003A31E7" w:rsidRDefault="00D70441" w:rsidP="0094320D">
      <w:pPr>
        <w:spacing w:after="0"/>
        <w:jc w:val="both"/>
        <w:rPr>
          <w:rStyle w:val="Nagwek1Znak"/>
          <w:sz w:val="20"/>
          <w:szCs w:val="20"/>
        </w:rPr>
      </w:pPr>
      <w:r w:rsidRPr="003A31E7">
        <w:rPr>
          <w:rStyle w:val="Nagwek1Znak"/>
          <w:b w:val="0"/>
          <w:sz w:val="20"/>
          <w:szCs w:val="20"/>
        </w:rPr>
        <w:fldChar w:fldCharType="end"/>
      </w:r>
    </w:p>
    <w:p w14:paraId="3A0A1096" w14:textId="77777777" w:rsidR="00151BFE" w:rsidRPr="003A31E7" w:rsidRDefault="00435E27" w:rsidP="0094320D">
      <w:pPr>
        <w:spacing w:after="120"/>
        <w:jc w:val="both"/>
        <w:rPr>
          <w:rStyle w:val="Nagwek1Znak"/>
          <w:sz w:val="20"/>
          <w:szCs w:val="20"/>
        </w:rPr>
      </w:pPr>
      <w:bookmarkStart w:id="752" w:name="_Toc423351848"/>
      <w:bookmarkStart w:id="753" w:name="_Toc477779809"/>
      <w:r w:rsidRPr="003A31E7">
        <w:rPr>
          <w:rStyle w:val="Nagwek1Znak"/>
          <w:sz w:val="20"/>
          <w:szCs w:val="20"/>
        </w:rPr>
        <w:t>SPIS TABEL</w:t>
      </w:r>
      <w:bookmarkEnd w:id="752"/>
      <w:bookmarkEnd w:id="753"/>
    </w:p>
    <w:p w14:paraId="3A06BC51" w14:textId="77777777" w:rsidR="005F3DE4" w:rsidRPr="0050297D" w:rsidRDefault="00D70441">
      <w:pPr>
        <w:pStyle w:val="Spisilustracji"/>
        <w:tabs>
          <w:tab w:val="right" w:leader="dot" w:pos="9060"/>
        </w:tabs>
        <w:rPr>
          <w:rFonts w:ascii="Times New Roman" w:eastAsiaTheme="minorEastAsia" w:hAnsi="Times New Roman"/>
          <w:iCs w:val="0"/>
          <w:noProof/>
          <w:sz w:val="22"/>
          <w:szCs w:val="22"/>
        </w:rPr>
      </w:pPr>
      <w:r w:rsidRPr="002B2F3B">
        <w:rPr>
          <w:rStyle w:val="Nagwek1Znak"/>
          <w:b w:val="0"/>
          <w:i w:val="0"/>
          <w:sz w:val="20"/>
          <w:szCs w:val="20"/>
        </w:rPr>
        <w:fldChar w:fldCharType="begin"/>
      </w:r>
      <w:r w:rsidR="00151BFE" w:rsidRPr="005F3DE4">
        <w:rPr>
          <w:rStyle w:val="Nagwek1Znak"/>
          <w:b w:val="0"/>
          <w:i w:val="0"/>
          <w:sz w:val="20"/>
          <w:szCs w:val="20"/>
        </w:rPr>
        <w:instrText xml:space="preserve"> TOC \h \z \c "Tabela" </w:instrText>
      </w:r>
      <w:r w:rsidRPr="002B2F3B">
        <w:rPr>
          <w:rStyle w:val="Nagwek1Znak"/>
          <w:b w:val="0"/>
          <w:i w:val="0"/>
          <w:sz w:val="20"/>
          <w:szCs w:val="20"/>
        </w:rPr>
        <w:fldChar w:fldCharType="separate"/>
      </w:r>
      <w:hyperlink w:anchor="_Toc476131784" w:history="1">
        <w:r w:rsidR="005F3DE4" w:rsidRPr="0050297D">
          <w:rPr>
            <w:rStyle w:val="Hipercze"/>
            <w:rFonts w:ascii="Times New Roman" w:hAnsi="Times New Roman"/>
            <w:noProof/>
          </w:rPr>
          <w:t>Tabela 1 Postęp realizacji PRS</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_Toc476131784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17</w:t>
        </w:r>
        <w:r w:rsidR="005F3DE4" w:rsidRPr="0050297D">
          <w:rPr>
            <w:rFonts w:ascii="Times New Roman" w:hAnsi="Times New Roman"/>
            <w:noProof/>
            <w:webHidden/>
          </w:rPr>
          <w:fldChar w:fldCharType="end"/>
        </w:r>
      </w:hyperlink>
    </w:p>
    <w:p w14:paraId="2F7331BD"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85" w:history="1">
        <w:r w:rsidR="005F3DE4" w:rsidRPr="0050297D">
          <w:rPr>
            <w:rStyle w:val="Hipercze"/>
            <w:rFonts w:ascii="Times New Roman" w:hAnsi="Times New Roman"/>
            <w:noProof/>
          </w:rPr>
          <w:t>Tabela 2 Rozkład projektów w ramach RPO WSL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_Toc476131785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19</w:t>
        </w:r>
        <w:r w:rsidR="005F3DE4" w:rsidRPr="0050297D">
          <w:rPr>
            <w:rFonts w:ascii="Times New Roman" w:hAnsi="Times New Roman"/>
            <w:noProof/>
            <w:webHidden/>
          </w:rPr>
          <w:fldChar w:fldCharType="end"/>
        </w:r>
      </w:hyperlink>
    </w:p>
    <w:p w14:paraId="7147EFFB"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86" w:history="1">
        <w:r w:rsidR="005F3DE4" w:rsidRPr="0050297D">
          <w:rPr>
            <w:rStyle w:val="Hipercze"/>
            <w:rFonts w:ascii="Times New Roman" w:hAnsi="Times New Roman"/>
            <w:noProof/>
          </w:rPr>
          <w:t>Tabela 3 Informacja nt. projektów realizowanych w ramach programów operacyjnych krajowych</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_Toc476131786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23</w:t>
        </w:r>
        <w:r w:rsidR="005F3DE4" w:rsidRPr="0050297D">
          <w:rPr>
            <w:rFonts w:ascii="Times New Roman" w:hAnsi="Times New Roman"/>
            <w:noProof/>
            <w:webHidden/>
          </w:rPr>
          <w:fldChar w:fldCharType="end"/>
        </w:r>
      </w:hyperlink>
    </w:p>
    <w:p w14:paraId="6FCE6598"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87" w:history="1">
        <w:r w:rsidR="005F3DE4" w:rsidRPr="0050297D">
          <w:rPr>
            <w:rStyle w:val="Hipercze"/>
            <w:rFonts w:ascii="Times New Roman" w:hAnsi="Times New Roman"/>
            <w:noProof/>
          </w:rPr>
          <w:t>Tabela 4 Typy projektów</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_Toc476131787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28</w:t>
        </w:r>
        <w:r w:rsidR="005F3DE4" w:rsidRPr="0050297D">
          <w:rPr>
            <w:rFonts w:ascii="Times New Roman" w:hAnsi="Times New Roman"/>
            <w:noProof/>
            <w:webHidden/>
          </w:rPr>
          <w:fldChar w:fldCharType="end"/>
        </w:r>
      </w:hyperlink>
    </w:p>
    <w:p w14:paraId="5C1C6A55"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88" w:history="1">
        <w:r w:rsidR="005F3DE4" w:rsidRPr="0050297D">
          <w:rPr>
            <w:rStyle w:val="Hipercze"/>
            <w:rFonts w:ascii="Times New Roman" w:hAnsi="Times New Roman"/>
            <w:noProof/>
          </w:rPr>
          <w:t>Tabela 5 Postęp wdrażania projektów stan na 31 grudnia 2016 roku</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_Toc476131788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31</w:t>
        </w:r>
        <w:r w:rsidR="005F3DE4" w:rsidRPr="0050297D">
          <w:rPr>
            <w:rFonts w:ascii="Times New Roman" w:hAnsi="Times New Roman"/>
            <w:noProof/>
            <w:webHidden/>
          </w:rPr>
          <w:fldChar w:fldCharType="end"/>
        </w:r>
      </w:hyperlink>
    </w:p>
    <w:p w14:paraId="4928314B"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89" w:history="1">
        <w:r w:rsidR="005F3DE4" w:rsidRPr="0050297D">
          <w:rPr>
            <w:rStyle w:val="Hipercze"/>
            <w:rFonts w:ascii="Times New Roman" w:hAnsi="Times New Roman"/>
            <w:noProof/>
          </w:rPr>
          <w:t>Tabela 6 Ostateczni odbiorcy wsparcia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_Toc476131789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31</w:t>
        </w:r>
        <w:r w:rsidR="005F3DE4" w:rsidRPr="0050297D">
          <w:rPr>
            <w:rFonts w:ascii="Times New Roman" w:hAnsi="Times New Roman"/>
            <w:noProof/>
            <w:webHidden/>
          </w:rPr>
          <w:fldChar w:fldCharType="end"/>
        </w:r>
      </w:hyperlink>
    </w:p>
    <w:p w14:paraId="25F7F219"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0" w:history="1">
        <w:r w:rsidR="005F3DE4" w:rsidRPr="0050297D">
          <w:rPr>
            <w:rStyle w:val="Hipercze"/>
            <w:rFonts w:ascii="Times New Roman" w:hAnsi="Times New Roman"/>
            <w:noProof/>
          </w:rPr>
          <w:t>Tabela 7 Odniesienie priorytetów RPO WSL do Strategii UE dla Regionu Morza Bałtyckiego</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_Toc476131790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40</w:t>
        </w:r>
        <w:r w:rsidR="005F3DE4" w:rsidRPr="0050297D">
          <w:rPr>
            <w:rFonts w:ascii="Times New Roman" w:hAnsi="Times New Roman"/>
            <w:noProof/>
            <w:webHidden/>
          </w:rPr>
          <w:fldChar w:fldCharType="end"/>
        </w:r>
      </w:hyperlink>
    </w:p>
    <w:p w14:paraId="340F797B"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1" w:history="1">
        <w:r w:rsidR="005F3DE4" w:rsidRPr="0050297D">
          <w:rPr>
            <w:rStyle w:val="Hipercze"/>
            <w:rFonts w:ascii="Times New Roman" w:hAnsi="Times New Roman"/>
            <w:noProof/>
          </w:rPr>
          <w:t>Tabela 8 Komplementarność w ramach RPO WSL z innymi programami</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_Toc476131791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67</w:t>
        </w:r>
        <w:r w:rsidR="005F3DE4" w:rsidRPr="0050297D">
          <w:rPr>
            <w:rFonts w:ascii="Times New Roman" w:hAnsi="Times New Roman"/>
            <w:noProof/>
            <w:webHidden/>
          </w:rPr>
          <w:fldChar w:fldCharType="end"/>
        </w:r>
      </w:hyperlink>
    </w:p>
    <w:p w14:paraId="50B439B3"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2" w:history="1">
        <w:r w:rsidR="005F3DE4" w:rsidRPr="0050297D">
          <w:rPr>
            <w:rStyle w:val="Hipercze"/>
            <w:rFonts w:ascii="Times New Roman" w:hAnsi="Times New Roman"/>
            <w:noProof/>
          </w:rPr>
          <w:t>Tabela 9 Mechanizmy/narzędzia RPO WSL służące zapewnieniu koordynacji i komplementarności wsparcia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_Toc476131792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69</w:t>
        </w:r>
        <w:r w:rsidR="005F3DE4" w:rsidRPr="0050297D">
          <w:rPr>
            <w:rFonts w:ascii="Times New Roman" w:hAnsi="Times New Roman"/>
            <w:noProof/>
            <w:webHidden/>
          </w:rPr>
          <w:fldChar w:fldCharType="end"/>
        </w:r>
      </w:hyperlink>
    </w:p>
    <w:p w14:paraId="2D1675F3"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3" w:history="1">
        <w:r w:rsidR="005F3DE4" w:rsidRPr="0050297D">
          <w:rPr>
            <w:rStyle w:val="Hipercze"/>
            <w:rFonts w:ascii="Times New Roman" w:hAnsi="Times New Roman"/>
            <w:noProof/>
          </w:rPr>
          <w:t>Tabela 10 Projekty realizujące cross- financing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_Toc476131793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73</w:t>
        </w:r>
        <w:r w:rsidR="005F3DE4" w:rsidRPr="0050297D">
          <w:rPr>
            <w:rFonts w:ascii="Times New Roman" w:hAnsi="Times New Roman"/>
            <w:noProof/>
            <w:webHidden/>
          </w:rPr>
          <w:fldChar w:fldCharType="end"/>
        </w:r>
      </w:hyperlink>
    </w:p>
    <w:p w14:paraId="51B7B0A9"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4" w:history="1">
        <w:r w:rsidR="005F3DE4" w:rsidRPr="0050297D">
          <w:rPr>
            <w:rStyle w:val="Hipercze"/>
            <w:rFonts w:ascii="Times New Roman" w:hAnsi="Times New Roman"/>
            <w:noProof/>
          </w:rPr>
          <w:t>Tabela 11 Postęp finansowy priorytetu I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_Toc476131794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92</w:t>
        </w:r>
        <w:r w:rsidR="005F3DE4" w:rsidRPr="0050297D">
          <w:rPr>
            <w:rFonts w:ascii="Times New Roman" w:hAnsi="Times New Roman"/>
            <w:noProof/>
            <w:webHidden/>
          </w:rPr>
          <w:fldChar w:fldCharType="end"/>
        </w:r>
      </w:hyperlink>
    </w:p>
    <w:p w14:paraId="0F0124E1"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5" w:history="1">
        <w:r w:rsidR="005F3DE4" w:rsidRPr="0050297D">
          <w:rPr>
            <w:rStyle w:val="Hipercze"/>
            <w:rFonts w:ascii="Times New Roman" w:hAnsi="Times New Roman"/>
            <w:noProof/>
          </w:rPr>
          <w:t>Tabela 12 Rozkład projektów w ramach priorytetu I w podziale na sektory gospodarki</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_Toc476131795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93</w:t>
        </w:r>
        <w:r w:rsidR="005F3DE4" w:rsidRPr="0050297D">
          <w:rPr>
            <w:rFonts w:ascii="Times New Roman" w:hAnsi="Times New Roman"/>
            <w:noProof/>
            <w:webHidden/>
          </w:rPr>
          <w:fldChar w:fldCharType="end"/>
        </w:r>
      </w:hyperlink>
    </w:p>
    <w:p w14:paraId="39F08B47"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6" w:history="1">
        <w:r w:rsidR="005F3DE4" w:rsidRPr="0050297D">
          <w:rPr>
            <w:rStyle w:val="Hipercze"/>
            <w:rFonts w:ascii="Times New Roman" w:hAnsi="Times New Roman"/>
            <w:noProof/>
          </w:rPr>
          <w:t>Tabela 13 Rozkład projektów w ramach priorytetu I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_Toc476131796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95</w:t>
        </w:r>
        <w:r w:rsidR="005F3DE4" w:rsidRPr="0050297D">
          <w:rPr>
            <w:rFonts w:ascii="Times New Roman" w:hAnsi="Times New Roman"/>
            <w:noProof/>
            <w:webHidden/>
          </w:rPr>
          <w:fldChar w:fldCharType="end"/>
        </w:r>
      </w:hyperlink>
    </w:p>
    <w:p w14:paraId="5C1BFDD4"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7" w:history="1">
        <w:r w:rsidR="005F3DE4" w:rsidRPr="0050297D">
          <w:rPr>
            <w:rStyle w:val="Hipercze"/>
            <w:rFonts w:ascii="Times New Roman" w:hAnsi="Times New Roman"/>
            <w:noProof/>
          </w:rPr>
          <w:t>Tabela 14 Korelacja pomiędzy wskaźnikami w ramach priorytetu I a Strategią UE 2020 w zakresie wskaźników</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_Toc476131797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99</w:t>
        </w:r>
        <w:r w:rsidR="005F3DE4" w:rsidRPr="0050297D">
          <w:rPr>
            <w:rFonts w:ascii="Times New Roman" w:hAnsi="Times New Roman"/>
            <w:noProof/>
            <w:webHidden/>
          </w:rPr>
          <w:fldChar w:fldCharType="end"/>
        </w:r>
      </w:hyperlink>
    </w:p>
    <w:p w14:paraId="38E5A274"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8" w:history="1">
        <w:r w:rsidR="005F3DE4" w:rsidRPr="0050297D">
          <w:rPr>
            <w:rStyle w:val="Hipercze"/>
            <w:rFonts w:ascii="Times New Roman" w:hAnsi="Times New Roman"/>
            <w:noProof/>
          </w:rPr>
          <w:t>Tabela 15 Postęp finansowy priorytetu II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_Toc476131798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103</w:t>
        </w:r>
        <w:r w:rsidR="005F3DE4" w:rsidRPr="0050297D">
          <w:rPr>
            <w:rFonts w:ascii="Times New Roman" w:hAnsi="Times New Roman"/>
            <w:noProof/>
            <w:webHidden/>
          </w:rPr>
          <w:fldChar w:fldCharType="end"/>
        </w:r>
      </w:hyperlink>
    </w:p>
    <w:p w14:paraId="5C962051"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799" w:history="1">
        <w:r w:rsidR="005F3DE4" w:rsidRPr="0050297D">
          <w:rPr>
            <w:rStyle w:val="Hipercze"/>
            <w:rFonts w:ascii="Times New Roman" w:hAnsi="Times New Roman"/>
            <w:noProof/>
          </w:rPr>
          <w:t>Tabela 16 Rozkład projektów w ramach priorytetu II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_Toc476131799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104</w:t>
        </w:r>
        <w:r w:rsidR="005F3DE4" w:rsidRPr="0050297D">
          <w:rPr>
            <w:rFonts w:ascii="Times New Roman" w:hAnsi="Times New Roman"/>
            <w:noProof/>
            <w:webHidden/>
          </w:rPr>
          <w:fldChar w:fldCharType="end"/>
        </w:r>
      </w:hyperlink>
    </w:p>
    <w:p w14:paraId="0662BE03"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0" w:history="1">
        <w:r w:rsidR="005F3DE4" w:rsidRPr="0050297D">
          <w:rPr>
            <w:rStyle w:val="Hipercze"/>
            <w:rFonts w:ascii="Times New Roman" w:hAnsi="Times New Roman"/>
            <w:noProof/>
          </w:rPr>
          <w:t>Tabela 17 Korelacja pomiędzy wskaźnikami w ramach priorytetu II a Strategią UE 2020 w zakresie wskaźników</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_Toc476131800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108</w:t>
        </w:r>
        <w:r w:rsidR="005F3DE4" w:rsidRPr="0050297D">
          <w:rPr>
            <w:rFonts w:ascii="Times New Roman" w:hAnsi="Times New Roman"/>
            <w:noProof/>
            <w:webHidden/>
          </w:rPr>
          <w:fldChar w:fldCharType="end"/>
        </w:r>
      </w:hyperlink>
    </w:p>
    <w:p w14:paraId="152032DD"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1" w:history="1">
        <w:r w:rsidR="005F3DE4" w:rsidRPr="0050297D">
          <w:rPr>
            <w:rStyle w:val="Hipercze"/>
            <w:rFonts w:ascii="Times New Roman" w:hAnsi="Times New Roman"/>
            <w:noProof/>
          </w:rPr>
          <w:t>Tabela 18 Postęp finansowy w ramach priorytetu III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_Toc476131801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112</w:t>
        </w:r>
        <w:r w:rsidR="005F3DE4" w:rsidRPr="0050297D">
          <w:rPr>
            <w:rFonts w:ascii="Times New Roman" w:hAnsi="Times New Roman"/>
            <w:noProof/>
            <w:webHidden/>
          </w:rPr>
          <w:fldChar w:fldCharType="end"/>
        </w:r>
      </w:hyperlink>
    </w:p>
    <w:p w14:paraId="0F4BFD7D"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2" w:history="1">
        <w:r w:rsidR="005F3DE4" w:rsidRPr="0050297D">
          <w:rPr>
            <w:rStyle w:val="Hipercze"/>
            <w:rFonts w:ascii="Times New Roman" w:hAnsi="Times New Roman"/>
            <w:noProof/>
          </w:rPr>
          <w:t>Tabela 19 Rozkład projektów w ramach priorytetu III w podziale na sektory gospodarki</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_Toc476131802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113</w:t>
        </w:r>
        <w:r w:rsidR="005F3DE4" w:rsidRPr="0050297D">
          <w:rPr>
            <w:rFonts w:ascii="Times New Roman" w:hAnsi="Times New Roman"/>
            <w:noProof/>
            <w:webHidden/>
          </w:rPr>
          <w:fldChar w:fldCharType="end"/>
        </w:r>
      </w:hyperlink>
    </w:p>
    <w:p w14:paraId="71485689"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3" w:history="1">
        <w:r w:rsidR="005F3DE4" w:rsidRPr="0050297D">
          <w:rPr>
            <w:rStyle w:val="Hipercze"/>
            <w:rFonts w:ascii="Times New Roman" w:hAnsi="Times New Roman"/>
            <w:noProof/>
          </w:rPr>
          <w:t>Tabela 20 Rozkład projektów w ramach priorytetu III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_Toc476131803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114</w:t>
        </w:r>
        <w:r w:rsidR="005F3DE4" w:rsidRPr="0050297D">
          <w:rPr>
            <w:rFonts w:ascii="Times New Roman" w:hAnsi="Times New Roman"/>
            <w:noProof/>
            <w:webHidden/>
          </w:rPr>
          <w:fldChar w:fldCharType="end"/>
        </w:r>
      </w:hyperlink>
    </w:p>
    <w:p w14:paraId="7F2CB376"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4" w:history="1">
        <w:r w:rsidR="005F3DE4" w:rsidRPr="0050297D">
          <w:rPr>
            <w:rStyle w:val="Hipercze"/>
            <w:rFonts w:ascii="Times New Roman" w:hAnsi="Times New Roman"/>
            <w:noProof/>
          </w:rPr>
          <w:t>Tabela 21 Korelacja pomiędzy wskaźnikami w ramach priorytetu III a Strategią UE 2020 w zakresie wskaźników</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_Toc476131804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117</w:t>
        </w:r>
        <w:r w:rsidR="005F3DE4" w:rsidRPr="0050297D">
          <w:rPr>
            <w:rFonts w:ascii="Times New Roman" w:hAnsi="Times New Roman"/>
            <w:noProof/>
            <w:webHidden/>
          </w:rPr>
          <w:fldChar w:fldCharType="end"/>
        </w:r>
      </w:hyperlink>
    </w:p>
    <w:p w14:paraId="70EDB312"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5" w:history="1">
        <w:r w:rsidR="005F3DE4" w:rsidRPr="0050297D">
          <w:rPr>
            <w:rStyle w:val="Hipercze"/>
            <w:rFonts w:ascii="Times New Roman" w:hAnsi="Times New Roman"/>
            <w:noProof/>
          </w:rPr>
          <w:t>Tabela 22 Postęp finansowy priorytetu IV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_Toc476131805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121</w:t>
        </w:r>
        <w:r w:rsidR="005F3DE4" w:rsidRPr="0050297D">
          <w:rPr>
            <w:rFonts w:ascii="Times New Roman" w:hAnsi="Times New Roman"/>
            <w:noProof/>
            <w:webHidden/>
          </w:rPr>
          <w:fldChar w:fldCharType="end"/>
        </w:r>
      </w:hyperlink>
    </w:p>
    <w:p w14:paraId="69FBA775"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6" w:history="1">
        <w:r w:rsidR="005F3DE4" w:rsidRPr="0050297D">
          <w:rPr>
            <w:rStyle w:val="Hipercze"/>
            <w:rFonts w:ascii="Times New Roman" w:hAnsi="Times New Roman"/>
            <w:noProof/>
          </w:rPr>
          <w:t>Tabela 23 Rozkład projektów w ramach priorytetu IV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_Toc476131806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123</w:t>
        </w:r>
        <w:r w:rsidR="005F3DE4" w:rsidRPr="0050297D">
          <w:rPr>
            <w:rFonts w:ascii="Times New Roman" w:hAnsi="Times New Roman"/>
            <w:noProof/>
            <w:webHidden/>
          </w:rPr>
          <w:fldChar w:fldCharType="end"/>
        </w:r>
      </w:hyperlink>
    </w:p>
    <w:p w14:paraId="76541F53"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7" w:history="1">
        <w:r w:rsidR="005F3DE4" w:rsidRPr="0050297D">
          <w:rPr>
            <w:rStyle w:val="Hipercze"/>
            <w:rFonts w:ascii="Times New Roman" w:hAnsi="Times New Roman"/>
            <w:noProof/>
          </w:rPr>
          <w:t>Tabela 24 Korelację pomiędzy wskaźnikami w ramach priorytetu IV a Strategią UE 2020</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_Toc476131807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126</w:t>
        </w:r>
        <w:r w:rsidR="005F3DE4" w:rsidRPr="0050297D">
          <w:rPr>
            <w:rFonts w:ascii="Times New Roman" w:hAnsi="Times New Roman"/>
            <w:noProof/>
            <w:webHidden/>
          </w:rPr>
          <w:fldChar w:fldCharType="end"/>
        </w:r>
      </w:hyperlink>
    </w:p>
    <w:p w14:paraId="14429B9B"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8" w:history="1">
        <w:r w:rsidR="005F3DE4" w:rsidRPr="0050297D">
          <w:rPr>
            <w:rStyle w:val="Hipercze"/>
            <w:rFonts w:ascii="Times New Roman" w:hAnsi="Times New Roman"/>
            <w:noProof/>
          </w:rPr>
          <w:t>Tabela 25 Postęp finansowy priorytetu V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_Toc476131808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130</w:t>
        </w:r>
        <w:r w:rsidR="005F3DE4" w:rsidRPr="0050297D">
          <w:rPr>
            <w:rFonts w:ascii="Times New Roman" w:hAnsi="Times New Roman"/>
            <w:noProof/>
            <w:webHidden/>
          </w:rPr>
          <w:fldChar w:fldCharType="end"/>
        </w:r>
      </w:hyperlink>
    </w:p>
    <w:p w14:paraId="5A5844E0"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09" w:history="1">
        <w:r w:rsidR="005F3DE4" w:rsidRPr="0050297D">
          <w:rPr>
            <w:rStyle w:val="Hipercze"/>
            <w:rFonts w:ascii="Times New Roman" w:hAnsi="Times New Roman"/>
            <w:bCs/>
            <w:noProof/>
          </w:rPr>
          <w:t>Tabela 26</w:t>
        </w:r>
        <w:r w:rsidR="005F3DE4" w:rsidRPr="0050297D">
          <w:rPr>
            <w:rStyle w:val="Hipercze"/>
            <w:rFonts w:ascii="Times New Roman" w:hAnsi="Times New Roman"/>
            <w:b/>
            <w:bCs/>
            <w:noProof/>
          </w:rPr>
          <w:t xml:space="preserve"> </w:t>
        </w:r>
        <w:r w:rsidR="005F3DE4" w:rsidRPr="0050297D">
          <w:rPr>
            <w:rStyle w:val="Hipercze"/>
            <w:rFonts w:ascii="Times New Roman" w:hAnsi="Times New Roman"/>
            <w:bCs/>
            <w:noProof/>
          </w:rPr>
          <w:t xml:space="preserve">Rozkład projektów </w:t>
        </w:r>
        <w:r w:rsidR="005F3DE4" w:rsidRPr="0050297D">
          <w:rPr>
            <w:rStyle w:val="Hipercze"/>
            <w:rFonts w:ascii="Times New Roman" w:hAnsi="Times New Roman"/>
            <w:noProof/>
          </w:rPr>
          <w:t>w ramach priorytetu V</w:t>
        </w:r>
        <w:r w:rsidR="005F3DE4" w:rsidRPr="0050297D">
          <w:rPr>
            <w:rStyle w:val="Hipercze"/>
            <w:rFonts w:ascii="Times New Roman" w:hAnsi="Times New Roman"/>
            <w:b/>
            <w:noProof/>
          </w:rPr>
          <w:t xml:space="preserve"> </w:t>
        </w:r>
        <w:r w:rsidR="005F3DE4" w:rsidRPr="0050297D">
          <w:rPr>
            <w:rStyle w:val="Hipercze"/>
            <w:rFonts w:ascii="Times New Roman" w:hAnsi="Times New Roman"/>
            <w:bCs/>
            <w:noProof/>
          </w:rPr>
          <w:t>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_Toc476131809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132</w:t>
        </w:r>
        <w:r w:rsidR="005F3DE4" w:rsidRPr="0050297D">
          <w:rPr>
            <w:rFonts w:ascii="Times New Roman" w:hAnsi="Times New Roman"/>
            <w:noProof/>
            <w:webHidden/>
          </w:rPr>
          <w:fldChar w:fldCharType="end"/>
        </w:r>
      </w:hyperlink>
    </w:p>
    <w:p w14:paraId="07572EBA"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0" w:history="1">
        <w:r w:rsidR="005F3DE4" w:rsidRPr="0050297D">
          <w:rPr>
            <w:rStyle w:val="Hipercze"/>
            <w:rFonts w:ascii="Times New Roman" w:hAnsi="Times New Roman"/>
            <w:noProof/>
          </w:rPr>
          <w:t>Tabela 27 Korelację pomiędzy wskaźnikami w ramach priorytetu V a Strategią UE 2020</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_Toc476131810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135</w:t>
        </w:r>
        <w:r w:rsidR="005F3DE4" w:rsidRPr="0050297D">
          <w:rPr>
            <w:rFonts w:ascii="Times New Roman" w:hAnsi="Times New Roman"/>
            <w:noProof/>
            <w:webHidden/>
          </w:rPr>
          <w:fldChar w:fldCharType="end"/>
        </w:r>
      </w:hyperlink>
    </w:p>
    <w:p w14:paraId="36A857E2"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1" w:history="1">
        <w:r w:rsidR="005F3DE4" w:rsidRPr="0050297D">
          <w:rPr>
            <w:rStyle w:val="Hipercze"/>
            <w:rFonts w:ascii="Times New Roman" w:hAnsi="Times New Roman"/>
            <w:noProof/>
          </w:rPr>
          <w:t>Tabela 28 Postęp finansowy w ramach priorytetu VI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_Toc476131811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138</w:t>
        </w:r>
        <w:r w:rsidR="005F3DE4" w:rsidRPr="0050297D">
          <w:rPr>
            <w:rFonts w:ascii="Times New Roman" w:hAnsi="Times New Roman"/>
            <w:noProof/>
            <w:webHidden/>
          </w:rPr>
          <w:fldChar w:fldCharType="end"/>
        </w:r>
      </w:hyperlink>
    </w:p>
    <w:p w14:paraId="7340496C"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2" w:history="1">
        <w:r w:rsidR="005F3DE4" w:rsidRPr="0050297D">
          <w:rPr>
            <w:rStyle w:val="Hipercze"/>
            <w:rFonts w:ascii="Times New Roman" w:hAnsi="Times New Roman"/>
            <w:noProof/>
          </w:rPr>
          <w:t>Tabela 29 Rozkład projektów w ramach priorytetu VI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_Toc476131812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140</w:t>
        </w:r>
        <w:r w:rsidR="005F3DE4" w:rsidRPr="0050297D">
          <w:rPr>
            <w:rFonts w:ascii="Times New Roman" w:hAnsi="Times New Roman"/>
            <w:noProof/>
            <w:webHidden/>
          </w:rPr>
          <w:fldChar w:fldCharType="end"/>
        </w:r>
      </w:hyperlink>
    </w:p>
    <w:p w14:paraId="044DA9A7"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3" w:history="1">
        <w:r w:rsidR="005F3DE4" w:rsidRPr="0050297D">
          <w:rPr>
            <w:rStyle w:val="Hipercze"/>
            <w:rFonts w:ascii="Times New Roman" w:hAnsi="Times New Roman"/>
            <w:noProof/>
          </w:rPr>
          <w:t>Tabela 30 Korelację pomiędzy wskaźnikami w ramach priorytetu VI a Strategią UE 2020</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_Toc476131813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143</w:t>
        </w:r>
        <w:r w:rsidR="005F3DE4" w:rsidRPr="0050297D">
          <w:rPr>
            <w:rFonts w:ascii="Times New Roman" w:hAnsi="Times New Roman"/>
            <w:noProof/>
            <w:webHidden/>
          </w:rPr>
          <w:fldChar w:fldCharType="end"/>
        </w:r>
      </w:hyperlink>
    </w:p>
    <w:p w14:paraId="3272110F"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4" w:history="1">
        <w:r w:rsidR="005F3DE4" w:rsidRPr="0050297D">
          <w:rPr>
            <w:rStyle w:val="Hipercze"/>
            <w:rFonts w:ascii="Times New Roman" w:hAnsi="Times New Roman"/>
            <w:noProof/>
          </w:rPr>
          <w:t>Tabela 31 Postęp finansowy priorytetu VII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_Toc476131814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147</w:t>
        </w:r>
        <w:r w:rsidR="005F3DE4" w:rsidRPr="0050297D">
          <w:rPr>
            <w:rFonts w:ascii="Times New Roman" w:hAnsi="Times New Roman"/>
            <w:noProof/>
            <w:webHidden/>
          </w:rPr>
          <w:fldChar w:fldCharType="end"/>
        </w:r>
      </w:hyperlink>
    </w:p>
    <w:p w14:paraId="5D05386D"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5" w:history="1">
        <w:r w:rsidR="005F3DE4" w:rsidRPr="0050297D">
          <w:rPr>
            <w:rStyle w:val="Hipercze"/>
            <w:rFonts w:ascii="Times New Roman" w:hAnsi="Times New Roman"/>
            <w:noProof/>
          </w:rPr>
          <w:t xml:space="preserve">Tabela 32 </w:t>
        </w:r>
        <w:r w:rsidR="005F3DE4" w:rsidRPr="0050297D">
          <w:rPr>
            <w:rStyle w:val="Hipercze"/>
            <w:rFonts w:ascii="Times New Roman" w:eastAsia="Calibri" w:hAnsi="Times New Roman"/>
            <w:noProof/>
            <w:lang w:eastAsia="en-US"/>
          </w:rPr>
          <w:t>Rozkład projektów w ramach priorytetu VII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_Toc476131815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149</w:t>
        </w:r>
        <w:r w:rsidR="005F3DE4" w:rsidRPr="0050297D">
          <w:rPr>
            <w:rFonts w:ascii="Times New Roman" w:hAnsi="Times New Roman"/>
            <w:noProof/>
            <w:webHidden/>
          </w:rPr>
          <w:fldChar w:fldCharType="end"/>
        </w:r>
      </w:hyperlink>
    </w:p>
    <w:p w14:paraId="2C528E7B"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6" w:history="1">
        <w:r w:rsidR="005F3DE4" w:rsidRPr="0050297D">
          <w:rPr>
            <w:rStyle w:val="Hipercze"/>
            <w:rFonts w:ascii="Times New Roman" w:hAnsi="Times New Roman"/>
            <w:noProof/>
          </w:rPr>
          <w:t>Tabela 33 Korelację pomiędzy wskaźnikami w ramach priorytetu VII a Strategią UE 2020</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_Toc476131816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154</w:t>
        </w:r>
        <w:r w:rsidR="005F3DE4" w:rsidRPr="0050297D">
          <w:rPr>
            <w:rFonts w:ascii="Times New Roman" w:hAnsi="Times New Roman"/>
            <w:noProof/>
            <w:webHidden/>
          </w:rPr>
          <w:fldChar w:fldCharType="end"/>
        </w:r>
      </w:hyperlink>
    </w:p>
    <w:p w14:paraId="7630D933"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7" w:history="1">
        <w:r w:rsidR="005F3DE4" w:rsidRPr="0050297D">
          <w:rPr>
            <w:rStyle w:val="Hipercze"/>
            <w:rFonts w:ascii="Times New Roman" w:hAnsi="Times New Roman"/>
            <w:noProof/>
          </w:rPr>
          <w:t>Tabela 34 Postęp finansowy priorytetu VIII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_Toc476131817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157</w:t>
        </w:r>
        <w:r w:rsidR="005F3DE4" w:rsidRPr="0050297D">
          <w:rPr>
            <w:rFonts w:ascii="Times New Roman" w:hAnsi="Times New Roman"/>
            <w:noProof/>
            <w:webHidden/>
          </w:rPr>
          <w:fldChar w:fldCharType="end"/>
        </w:r>
      </w:hyperlink>
    </w:p>
    <w:p w14:paraId="4B097589"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8" w:history="1">
        <w:r w:rsidR="005F3DE4" w:rsidRPr="0050297D">
          <w:rPr>
            <w:rStyle w:val="Hipercze"/>
            <w:rFonts w:ascii="Times New Roman" w:hAnsi="Times New Roman"/>
            <w:noProof/>
          </w:rPr>
          <w:t>Tabela 35 Rozkład projektów w ramach priorytetu VIII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_Toc476131818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159</w:t>
        </w:r>
        <w:r w:rsidR="005F3DE4" w:rsidRPr="0050297D">
          <w:rPr>
            <w:rFonts w:ascii="Times New Roman" w:hAnsi="Times New Roman"/>
            <w:noProof/>
            <w:webHidden/>
          </w:rPr>
          <w:fldChar w:fldCharType="end"/>
        </w:r>
      </w:hyperlink>
    </w:p>
    <w:p w14:paraId="44EED3EC"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19" w:history="1">
        <w:r w:rsidR="005F3DE4" w:rsidRPr="0050297D">
          <w:rPr>
            <w:rStyle w:val="Hipercze"/>
            <w:rFonts w:ascii="Times New Roman" w:hAnsi="Times New Roman"/>
            <w:noProof/>
          </w:rPr>
          <w:t>Tabela 36 Korelację pomiędzy wskaźnikami w ramach priorytetu VIII a Strategią UE 2020</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_Toc476131819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162</w:t>
        </w:r>
        <w:r w:rsidR="005F3DE4" w:rsidRPr="0050297D">
          <w:rPr>
            <w:rFonts w:ascii="Times New Roman" w:hAnsi="Times New Roman"/>
            <w:noProof/>
            <w:webHidden/>
          </w:rPr>
          <w:fldChar w:fldCharType="end"/>
        </w:r>
      </w:hyperlink>
    </w:p>
    <w:p w14:paraId="1944E5B2"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20" w:history="1">
        <w:r w:rsidR="005F3DE4" w:rsidRPr="0050297D">
          <w:rPr>
            <w:rStyle w:val="Hipercze"/>
            <w:rFonts w:ascii="Times New Roman" w:hAnsi="Times New Roman"/>
            <w:noProof/>
          </w:rPr>
          <w:t>Tabela 37 Postęp finansowy priorytetu IX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_Toc476131820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166</w:t>
        </w:r>
        <w:r w:rsidR="005F3DE4" w:rsidRPr="0050297D">
          <w:rPr>
            <w:rFonts w:ascii="Times New Roman" w:hAnsi="Times New Roman"/>
            <w:noProof/>
            <w:webHidden/>
          </w:rPr>
          <w:fldChar w:fldCharType="end"/>
        </w:r>
      </w:hyperlink>
    </w:p>
    <w:p w14:paraId="032C92CB"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21" w:history="1">
        <w:r w:rsidR="005F3DE4" w:rsidRPr="0050297D">
          <w:rPr>
            <w:rStyle w:val="Hipercze"/>
            <w:rFonts w:ascii="Times New Roman" w:hAnsi="Times New Roman"/>
            <w:noProof/>
          </w:rPr>
          <w:t>Tabela 38 Rozkład projektów w ramach priorytetu IX w podziale na obszary</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_Toc476131821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168</w:t>
        </w:r>
        <w:r w:rsidR="005F3DE4" w:rsidRPr="0050297D">
          <w:rPr>
            <w:rFonts w:ascii="Times New Roman" w:hAnsi="Times New Roman"/>
            <w:noProof/>
            <w:webHidden/>
          </w:rPr>
          <w:fldChar w:fldCharType="end"/>
        </w:r>
      </w:hyperlink>
    </w:p>
    <w:p w14:paraId="600820E7"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22" w:history="1">
        <w:r w:rsidR="005F3DE4" w:rsidRPr="0050297D">
          <w:rPr>
            <w:rStyle w:val="Hipercze"/>
            <w:rFonts w:ascii="Times New Roman" w:hAnsi="Times New Roman"/>
            <w:noProof/>
          </w:rPr>
          <w:t>Tabela 39 Korelację pomiędzy wskaźnikami w ramach priorytetu IX a Strategią UE 2020</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_Toc476131822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171</w:t>
        </w:r>
        <w:r w:rsidR="005F3DE4" w:rsidRPr="0050297D">
          <w:rPr>
            <w:rFonts w:ascii="Times New Roman" w:hAnsi="Times New Roman"/>
            <w:noProof/>
            <w:webHidden/>
          </w:rPr>
          <w:fldChar w:fldCharType="end"/>
        </w:r>
      </w:hyperlink>
    </w:p>
    <w:p w14:paraId="32E32FBD"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23" w:history="1">
        <w:r w:rsidR="005F3DE4" w:rsidRPr="0050297D">
          <w:rPr>
            <w:rStyle w:val="Hipercze"/>
            <w:rFonts w:ascii="Times New Roman" w:hAnsi="Times New Roman"/>
            <w:noProof/>
          </w:rPr>
          <w:t>Tabela 40 Realizacja finansowa priorytetu X w podziale na działania</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_Toc476131823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175</w:t>
        </w:r>
        <w:r w:rsidR="005F3DE4" w:rsidRPr="0050297D">
          <w:rPr>
            <w:rFonts w:ascii="Times New Roman" w:hAnsi="Times New Roman"/>
            <w:noProof/>
            <w:webHidden/>
          </w:rPr>
          <w:fldChar w:fldCharType="end"/>
        </w:r>
      </w:hyperlink>
    </w:p>
    <w:p w14:paraId="50AB2CC4" w14:textId="77777777" w:rsidR="005F3DE4" w:rsidRPr="0050297D" w:rsidRDefault="004361E1">
      <w:pPr>
        <w:pStyle w:val="Spisilustracji"/>
        <w:tabs>
          <w:tab w:val="right" w:leader="dot" w:pos="9060"/>
        </w:tabs>
        <w:rPr>
          <w:rFonts w:ascii="Times New Roman" w:eastAsiaTheme="minorEastAsia" w:hAnsi="Times New Roman"/>
          <w:iCs w:val="0"/>
          <w:noProof/>
          <w:sz w:val="22"/>
          <w:szCs w:val="22"/>
        </w:rPr>
      </w:pPr>
      <w:hyperlink w:anchor="_Toc476131824" w:history="1">
        <w:r w:rsidR="005F3DE4" w:rsidRPr="0050297D">
          <w:rPr>
            <w:rStyle w:val="Hipercze"/>
            <w:rFonts w:ascii="Times New Roman" w:hAnsi="Times New Roman"/>
            <w:noProof/>
          </w:rPr>
          <w:t>Tabela 41 Liczba i wartość wszystkich projektów / planów działań w ramach RPO WSL ze środków pomocy technicznej według głównych typów (projekty objęte decyzjami/ umowami o dofinansowanie)</w:t>
        </w:r>
        <w:r w:rsidR="005F3DE4" w:rsidRPr="0050297D">
          <w:rPr>
            <w:rFonts w:ascii="Times New Roman" w:hAnsi="Times New Roman"/>
            <w:noProof/>
            <w:webHidden/>
          </w:rPr>
          <w:tab/>
        </w:r>
        <w:r w:rsidR="005F3DE4" w:rsidRPr="0050297D">
          <w:rPr>
            <w:rFonts w:ascii="Times New Roman" w:hAnsi="Times New Roman"/>
            <w:noProof/>
            <w:webHidden/>
          </w:rPr>
          <w:fldChar w:fldCharType="begin"/>
        </w:r>
        <w:r w:rsidR="005F3DE4" w:rsidRPr="0050297D">
          <w:rPr>
            <w:rFonts w:ascii="Times New Roman" w:hAnsi="Times New Roman"/>
            <w:noProof/>
            <w:webHidden/>
          </w:rPr>
          <w:instrText xml:space="preserve"> PAGEREF _Toc476131824 \h </w:instrText>
        </w:r>
        <w:r w:rsidR="005F3DE4" w:rsidRPr="0050297D">
          <w:rPr>
            <w:rFonts w:ascii="Times New Roman" w:hAnsi="Times New Roman"/>
            <w:noProof/>
            <w:webHidden/>
          </w:rPr>
        </w:r>
        <w:r w:rsidR="005F3DE4" w:rsidRPr="0050297D">
          <w:rPr>
            <w:rFonts w:ascii="Times New Roman" w:hAnsi="Times New Roman"/>
            <w:noProof/>
            <w:webHidden/>
          </w:rPr>
          <w:fldChar w:fldCharType="separate"/>
        </w:r>
        <w:r w:rsidR="0050297D">
          <w:rPr>
            <w:rFonts w:ascii="Times New Roman" w:hAnsi="Times New Roman"/>
            <w:noProof/>
            <w:webHidden/>
          </w:rPr>
          <w:t>186</w:t>
        </w:r>
        <w:r w:rsidR="005F3DE4" w:rsidRPr="0050297D">
          <w:rPr>
            <w:rFonts w:ascii="Times New Roman" w:hAnsi="Times New Roman"/>
            <w:noProof/>
            <w:webHidden/>
          </w:rPr>
          <w:fldChar w:fldCharType="end"/>
        </w:r>
      </w:hyperlink>
    </w:p>
    <w:p w14:paraId="42B28945" w14:textId="77777777" w:rsidR="00FE5D99" w:rsidRPr="005F3DE4" w:rsidRDefault="00D70441" w:rsidP="0094320D">
      <w:pPr>
        <w:spacing w:after="0"/>
        <w:jc w:val="both"/>
        <w:rPr>
          <w:rStyle w:val="Nagwek1Znak"/>
          <w:b w:val="0"/>
          <w:sz w:val="20"/>
          <w:szCs w:val="20"/>
        </w:rPr>
      </w:pPr>
      <w:r w:rsidRPr="002B2F3B">
        <w:rPr>
          <w:rStyle w:val="Nagwek1Znak"/>
          <w:b w:val="0"/>
          <w:sz w:val="20"/>
          <w:szCs w:val="20"/>
        </w:rPr>
        <w:fldChar w:fldCharType="end"/>
      </w:r>
    </w:p>
    <w:p w14:paraId="1E87DE57" w14:textId="789D97E4" w:rsidR="00534451" w:rsidRPr="00951D3C" w:rsidRDefault="00534451" w:rsidP="00534451">
      <w:pPr>
        <w:pStyle w:val="Nagwek1"/>
        <w:numPr>
          <w:ilvl w:val="0"/>
          <w:numId w:val="0"/>
        </w:numPr>
        <w:spacing w:after="120"/>
        <w:jc w:val="both"/>
        <w:rPr>
          <w:sz w:val="20"/>
          <w:szCs w:val="20"/>
        </w:rPr>
      </w:pPr>
      <w:bookmarkStart w:id="754" w:name="_Toc477779810"/>
      <w:r w:rsidRPr="00951D3C">
        <w:rPr>
          <w:sz w:val="20"/>
          <w:szCs w:val="20"/>
        </w:rPr>
        <w:t>WYKAZ SKRÓTÓW</w:t>
      </w:r>
      <w:bookmarkEnd w:id="754"/>
    </w:p>
    <w:tbl>
      <w:tblPr>
        <w:tblW w:w="9288" w:type="dxa"/>
        <w:tblLook w:val="04A0" w:firstRow="1" w:lastRow="0" w:firstColumn="1" w:lastColumn="0" w:noHBand="0" w:noVBand="1"/>
      </w:tblPr>
      <w:tblGrid>
        <w:gridCol w:w="2518"/>
        <w:gridCol w:w="6770"/>
      </w:tblGrid>
      <w:tr w:rsidR="00534451" w:rsidRPr="00951D3C" w14:paraId="33C57671" w14:textId="77777777" w:rsidTr="00B7322D">
        <w:trPr>
          <w:trHeight w:val="113"/>
        </w:trPr>
        <w:tc>
          <w:tcPr>
            <w:tcW w:w="2518" w:type="dxa"/>
            <w:vAlign w:val="center"/>
          </w:tcPr>
          <w:p w14:paraId="5D696674"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EFRR</w:t>
            </w:r>
          </w:p>
        </w:tc>
        <w:tc>
          <w:tcPr>
            <w:tcW w:w="6770" w:type="dxa"/>
          </w:tcPr>
          <w:p w14:paraId="2F8C487B"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Europejski Fundusz Rozwoju Regionalnego</w:t>
            </w:r>
          </w:p>
        </w:tc>
      </w:tr>
      <w:tr w:rsidR="00534451" w:rsidRPr="00951D3C" w14:paraId="23EFDE3D" w14:textId="77777777" w:rsidTr="00B7322D">
        <w:trPr>
          <w:trHeight w:val="113"/>
        </w:trPr>
        <w:tc>
          <w:tcPr>
            <w:tcW w:w="2518" w:type="dxa"/>
            <w:vAlign w:val="center"/>
          </w:tcPr>
          <w:p w14:paraId="395DAC23"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IK NSRO</w:t>
            </w:r>
          </w:p>
        </w:tc>
        <w:tc>
          <w:tcPr>
            <w:tcW w:w="6770" w:type="dxa"/>
          </w:tcPr>
          <w:p w14:paraId="59A18172"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Instytucja Koordynująca Narodowe Strategiczne Ramy Odniesienia</w:t>
            </w:r>
          </w:p>
        </w:tc>
      </w:tr>
      <w:tr w:rsidR="00534451" w:rsidRPr="00951D3C" w14:paraId="5E8D3188" w14:textId="77777777" w:rsidTr="00B7322D">
        <w:trPr>
          <w:trHeight w:val="113"/>
        </w:trPr>
        <w:tc>
          <w:tcPr>
            <w:tcW w:w="2518" w:type="dxa"/>
            <w:vAlign w:val="center"/>
          </w:tcPr>
          <w:p w14:paraId="442D8C3F"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IP2 RPO WSL</w:t>
            </w:r>
          </w:p>
        </w:tc>
        <w:tc>
          <w:tcPr>
            <w:tcW w:w="6770" w:type="dxa"/>
          </w:tcPr>
          <w:p w14:paraId="226A2EAC"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Instytucja Pośrednicząca drugiego stopnia w ramach Regionalnego Programu Operacyjnego Województwa na lata 2007-2013</w:t>
            </w:r>
          </w:p>
        </w:tc>
      </w:tr>
      <w:tr w:rsidR="00534451" w:rsidRPr="00951D3C" w14:paraId="516BEFAA" w14:textId="77777777" w:rsidTr="00B7322D">
        <w:trPr>
          <w:trHeight w:val="113"/>
        </w:trPr>
        <w:tc>
          <w:tcPr>
            <w:tcW w:w="2518" w:type="dxa"/>
            <w:vAlign w:val="center"/>
          </w:tcPr>
          <w:p w14:paraId="69B21F52"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IC</w:t>
            </w:r>
          </w:p>
        </w:tc>
        <w:tc>
          <w:tcPr>
            <w:tcW w:w="6770" w:type="dxa"/>
          </w:tcPr>
          <w:p w14:paraId="716882B9"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Instytucja Certyfikująca</w:t>
            </w:r>
          </w:p>
        </w:tc>
      </w:tr>
      <w:tr w:rsidR="00534451" w:rsidRPr="00951D3C" w14:paraId="185CC468" w14:textId="77777777" w:rsidTr="00B7322D">
        <w:trPr>
          <w:trHeight w:val="113"/>
        </w:trPr>
        <w:tc>
          <w:tcPr>
            <w:tcW w:w="2518" w:type="dxa"/>
            <w:vAlign w:val="center"/>
          </w:tcPr>
          <w:p w14:paraId="34D61B5C"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IPOC</w:t>
            </w:r>
          </w:p>
        </w:tc>
        <w:tc>
          <w:tcPr>
            <w:tcW w:w="6770" w:type="dxa"/>
          </w:tcPr>
          <w:p w14:paraId="14E460A8"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Instytucja Pośrednicząca w Certyfikacji (Wojewoda Śląski)</w:t>
            </w:r>
          </w:p>
        </w:tc>
      </w:tr>
      <w:tr w:rsidR="00534451" w:rsidRPr="00951D3C" w14:paraId="3508D8AF" w14:textId="77777777" w:rsidTr="00B7322D">
        <w:trPr>
          <w:trHeight w:val="113"/>
        </w:trPr>
        <w:tc>
          <w:tcPr>
            <w:tcW w:w="2518" w:type="dxa"/>
            <w:vAlign w:val="center"/>
          </w:tcPr>
          <w:p w14:paraId="39E7862D"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IWIPK</w:t>
            </w:r>
          </w:p>
        </w:tc>
        <w:tc>
          <w:tcPr>
            <w:tcW w:w="6770" w:type="dxa"/>
          </w:tcPr>
          <w:p w14:paraId="02132F43"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 xml:space="preserve">Indykatywny Wykaz Indywidualnych Projektów Kluczowych </w:t>
            </w:r>
          </w:p>
        </w:tc>
      </w:tr>
      <w:tr w:rsidR="00534451" w:rsidRPr="00951D3C" w14:paraId="087EF546" w14:textId="77777777" w:rsidTr="00B7322D">
        <w:trPr>
          <w:trHeight w:val="113"/>
        </w:trPr>
        <w:tc>
          <w:tcPr>
            <w:tcW w:w="2518" w:type="dxa"/>
            <w:vAlign w:val="center"/>
          </w:tcPr>
          <w:p w14:paraId="2F6D8606"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IZ RPO WSL</w:t>
            </w:r>
          </w:p>
        </w:tc>
        <w:tc>
          <w:tcPr>
            <w:tcW w:w="6770" w:type="dxa"/>
          </w:tcPr>
          <w:p w14:paraId="17BB537F"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Instytucja Zarządzająca Regionalnym Programem Operacyjnym Województwa Śląskiego 2007-2013</w:t>
            </w:r>
          </w:p>
        </w:tc>
      </w:tr>
      <w:tr w:rsidR="00534451" w:rsidRPr="00951D3C" w14:paraId="7A535327" w14:textId="77777777" w:rsidTr="00B7322D">
        <w:trPr>
          <w:trHeight w:val="113"/>
        </w:trPr>
        <w:tc>
          <w:tcPr>
            <w:tcW w:w="2518" w:type="dxa"/>
            <w:vAlign w:val="center"/>
          </w:tcPr>
          <w:p w14:paraId="09943282"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 xml:space="preserve">KM </w:t>
            </w:r>
          </w:p>
        </w:tc>
        <w:tc>
          <w:tcPr>
            <w:tcW w:w="6770" w:type="dxa"/>
          </w:tcPr>
          <w:p w14:paraId="156261EC"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Komitet Monitorujący Regionalny Program Operacyjny Województwa Śląskiego 2007-2013</w:t>
            </w:r>
          </w:p>
        </w:tc>
      </w:tr>
      <w:tr w:rsidR="00534451" w:rsidRPr="00951D3C" w14:paraId="2716A00A" w14:textId="77777777" w:rsidTr="00B7322D">
        <w:trPr>
          <w:trHeight w:val="113"/>
        </w:trPr>
        <w:tc>
          <w:tcPr>
            <w:tcW w:w="2518" w:type="dxa"/>
            <w:vAlign w:val="center"/>
          </w:tcPr>
          <w:p w14:paraId="69A9F6C0"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KSI (SIMIK 07-13)</w:t>
            </w:r>
          </w:p>
        </w:tc>
        <w:tc>
          <w:tcPr>
            <w:tcW w:w="6770" w:type="dxa"/>
          </w:tcPr>
          <w:p w14:paraId="386C200F"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Krajowy System Informatyczny</w:t>
            </w:r>
          </w:p>
        </w:tc>
      </w:tr>
      <w:tr w:rsidR="00534451" w:rsidRPr="00951D3C" w14:paraId="32E915B7" w14:textId="77777777" w:rsidTr="00B7322D">
        <w:trPr>
          <w:trHeight w:val="113"/>
        </w:trPr>
        <w:tc>
          <w:tcPr>
            <w:tcW w:w="2518" w:type="dxa"/>
            <w:vAlign w:val="center"/>
          </w:tcPr>
          <w:p w14:paraId="2A066924"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KW</w:t>
            </w:r>
          </w:p>
        </w:tc>
        <w:tc>
          <w:tcPr>
            <w:tcW w:w="6770" w:type="dxa"/>
          </w:tcPr>
          <w:p w14:paraId="52FC44D2"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Kontrakt Wojewódzki dla Województwa Śląskiego z dnia 6 lutego 2008 r.</w:t>
            </w:r>
          </w:p>
        </w:tc>
      </w:tr>
      <w:tr w:rsidR="00534451" w:rsidRPr="00951D3C" w14:paraId="28B84C6C" w14:textId="77777777" w:rsidTr="00B7322D">
        <w:trPr>
          <w:trHeight w:val="113"/>
        </w:trPr>
        <w:tc>
          <w:tcPr>
            <w:tcW w:w="2518" w:type="dxa"/>
            <w:vAlign w:val="center"/>
          </w:tcPr>
          <w:p w14:paraId="32F2D6C3"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LSI</w:t>
            </w:r>
          </w:p>
        </w:tc>
        <w:tc>
          <w:tcPr>
            <w:tcW w:w="6770" w:type="dxa"/>
          </w:tcPr>
          <w:p w14:paraId="2925C30B"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Lokalny System Informatyczny</w:t>
            </w:r>
          </w:p>
        </w:tc>
      </w:tr>
      <w:tr w:rsidR="00534451" w:rsidRPr="00951D3C" w14:paraId="75909198" w14:textId="77777777" w:rsidTr="00B7322D">
        <w:trPr>
          <w:trHeight w:val="113"/>
        </w:trPr>
        <w:tc>
          <w:tcPr>
            <w:tcW w:w="2518" w:type="dxa"/>
            <w:vAlign w:val="center"/>
          </w:tcPr>
          <w:p w14:paraId="41589364"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MR</w:t>
            </w:r>
          </w:p>
        </w:tc>
        <w:tc>
          <w:tcPr>
            <w:tcW w:w="6770" w:type="dxa"/>
          </w:tcPr>
          <w:p w14:paraId="7E1B3A17"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 xml:space="preserve">Minister Rozwoju </w:t>
            </w:r>
          </w:p>
        </w:tc>
      </w:tr>
      <w:tr w:rsidR="00534451" w:rsidRPr="00951D3C" w14:paraId="2B945770" w14:textId="77777777" w:rsidTr="00B7322D">
        <w:trPr>
          <w:trHeight w:val="113"/>
        </w:trPr>
        <w:tc>
          <w:tcPr>
            <w:tcW w:w="2518" w:type="dxa"/>
            <w:vAlign w:val="center"/>
          </w:tcPr>
          <w:p w14:paraId="462E5D31"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MŚP</w:t>
            </w:r>
          </w:p>
        </w:tc>
        <w:tc>
          <w:tcPr>
            <w:tcW w:w="6770" w:type="dxa"/>
          </w:tcPr>
          <w:p w14:paraId="7BBA0D12"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Małe i średnie przedsiębiorstwa</w:t>
            </w:r>
          </w:p>
        </w:tc>
      </w:tr>
      <w:tr w:rsidR="00534451" w:rsidRPr="00951D3C" w14:paraId="5C10DF83" w14:textId="77777777" w:rsidTr="00B7322D">
        <w:trPr>
          <w:trHeight w:val="113"/>
        </w:trPr>
        <w:tc>
          <w:tcPr>
            <w:tcW w:w="2518" w:type="dxa"/>
            <w:vAlign w:val="center"/>
          </w:tcPr>
          <w:p w14:paraId="74EB2CBD"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NSRO</w:t>
            </w:r>
          </w:p>
        </w:tc>
        <w:tc>
          <w:tcPr>
            <w:tcW w:w="6770" w:type="dxa"/>
          </w:tcPr>
          <w:p w14:paraId="7D2052AE"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Narodowe Strategiczne Ramy Odniesienia 2007-2013</w:t>
            </w:r>
          </w:p>
        </w:tc>
      </w:tr>
      <w:tr w:rsidR="00534451" w:rsidRPr="00951D3C" w14:paraId="10798E3E" w14:textId="77777777" w:rsidTr="00B7322D">
        <w:trPr>
          <w:trHeight w:val="113"/>
        </w:trPr>
        <w:tc>
          <w:tcPr>
            <w:tcW w:w="2518" w:type="dxa"/>
            <w:vAlign w:val="center"/>
          </w:tcPr>
          <w:p w14:paraId="0E5B79A3"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OSZIK RPO WSL</w:t>
            </w:r>
          </w:p>
        </w:tc>
        <w:tc>
          <w:tcPr>
            <w:tcW w:w="6770" w:type="dxa"/>
          </w:tcPr>
          <w:p w14:paraId="66561BE8"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Opis Systemu Zarządzania i Kontroli Regionalnego Programu Operacyjnego Województwa Śląskiego na lata 2007-2013</w:t>
            </w:r>
          </w:p>
        </w:tc>
      </w:tr>
      <w:tr w:rsidR="00534451" w:rsidRPr="00951D3C" w14:paraId="1C1C0ED5" w14:textId="77777777" w:rsidTr="00B7322D">
        <w:trPr>
          <w:trHeight w:val="113"/>
        </w:trPr>
        <w:tc>
          <w:tcPr>
            <w:tcW w:w="2518" w:type="dxa"/>
            <w:vAlign w:val="center"/>
          </w:tcPr>
          <w:p w14:paraId="225296C6"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lastRenderedPageBreak/>
              <w:t>Podręcznik procedur wdrażania RPO WSL</w:t>
            </w:r>
          </w:p>
        </w:tc>
        <w:tc>
          <w:tcPr>
            <w:tcW w:w="6770" w:type="dxa"/>
          </w:tcPr>
          <w:p w14:paraId="556EF0E3"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Podręcznik procedur wdrażania Regionalnego Programu Operacyjnego Województwa Śląskiego 2007-2013.</w:t>
            </w:r>
          </w:p>
        </w:tc>
      </w:tr>
      <w:tr w:rsidR="00534451" w:rsidRPr="00951D3C" w14:paraId="5746A48B" w14:textId="77777777" w:rsidTr="00B7322D">
        <w:trPr>
          <w:trHeight w:val="113"/>
        </w:trPr>
        <w:tc>
          <w:tcPr>
            <w:tcW w:w="2518" w:type="dxa"/>
            <w:vAlign w:val="center"/>
          </w:tcPr>
          <w:p w14:paraId="7B71B719"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Podręcznik IP2 RPO WSL</w:t>
            </w:r>
          </w:p>
        </w:tc>
        <w:tc>
          <w:tcPr>
            <w:tcW w:w="6770" w:type="dxa"/>
          </w:tcPr>
          <w:p w14:paraId="548A435A"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Podręcznika procedur wdrażania Instytucji Pośredniczącej drugiego stopnia w ramach Regionalnego Programu Operacyjnego Województwa Śląskiego 2007-2013</w:t>
            </w:r>
          </w:p>
        </w:tc>
      </w:tr>
      <w:tr w:rsidR="00534451" w:rsidRPr="00951D3C" w14:paraId="2A470EF2" w14:textId="77777777" w:rsidTr="00B7322D">
        <w:trPr>
          <w:trHeight w:val="113"/>
        </w:trPr>
        <w:tc>
          <w:tcPr>
            <w:tcW w:w="2518" w:type="dxa"/>
            <w:vAlign w:val="center"/>
          </w:tcPr>
          <w:p w14:paraId="4C2341F6"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Porozumienie</w:t>
            </w:r>
          </w:p>
        </w:tc>
        <w:tc>
          <w:tcPr>
            <w:tcW w:w="6770" w:type="dxa"/>
          </w:tcPr>
          <w:p w14:paraId="7FA64F8F"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Porozumienia nr 115/RR/2007 z dnia 31 października 2007 roku pomiędzy Zarządem Województwa Śląskiego a Śląskim Centrum Przedsiębiorczości w sprawie zasad realizacji RPO WSL na lata 2007-2013 z późniejszymi zmianami</w:t>
            </w:r>
          </w:p>
        </w:tc>
      </w:tr>
      <w:tr w:rsidR="00534451" w:rsidRPr="00951D3C" w14:paraId="412C3818" w14:textId="77777777" w:rsidTr="00B7322D">
        <w:trPr>
          <w:trHeight w:val="113"/>
        </w:trPr>
        <w:tc>
          <w:tcPr>
            <w:tcW w:w="2518" w:type="dxa"/>
            <w:vAlign w:val="center"/>
          </w:tcPr>
          <w:p w14:paraId="03152645"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POIiŚ</w:t>
            </w:r>
          </w:p>
        </w:tc>
        <w:tc>
          <w:tcPr>
            <w:tcW w:w="6770" w:type="dxa"/>
          </w:tcPr>
          <w:p w14:paraId="5D69DC10"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Program Operacyjny Infrastruktura i Środowisko</w:t>
            </w:r>
          </w:p>
        </w:tc>
      </w:tr>
      <w:tr w:rsidR="00534451" w:rsidRPr="00951D3C" w14:paraId="4EB68BF4" w14:textId="77777777" w:rsidTr="00B7322D">
        <w:trPr>
          <w:trHeight w:val="113"/>
        </w:trPr>
        <w:tc>
          <w:tcPr>
            <w:tcW w:w="2518" w:type="dxa"/>
            <w:vAlign w:val="center"/>
          </w:tcPr>
          <w:p w14:paraId="5870B8E0"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POIG</w:t>
            </w:r>
          </w:p>
        </w:tc>
        <w:tc>
          <w:tcPr>
            <w:tcW w:w="6770" w:type="dxa"/>
          </w:tcPr>
          <w:p w14:paraId="77714024"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Program Operacyjny Innowacyjna Gospodarka</w:t>
            </w:r>
          </w:p>
        </w:tc>
      </w:tr>
      <w:tr w:rsidR="00534451" w:rsidRPr="00951D3C" w14:paraId="3EBB3B5D" w14:textId="77777777" w:rsidTr="00B7322D">
        <w:trPr>
          <w:trHeight w:val="113"/>
        </w:trPr>
        <w:tc>
          <w:tcPr>
            <w:tcW w:w="2518" w:type="dxa"/>
            <w:vAlign w:val="center"/>
          </w:tcPr>
          <w:p w14:paraId="4C23F89D"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PROW</w:t>
            </w:r>
          </w:p>
        </w:tc>
        <w:tc>
          <w:tcPr>
            <w:tcW w:w="6770" w:type="dxa"/>
          </w:tcPr>
          <w:p w14:paraId="1B058B3C"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Program Rozwoju Obszarów Wiejskich</w:t>
            </w:r>
          </w:p>
        </w:tc>
      </w:tr>
      <w:tr w:rsidR="00534451" w:rsidRPr="00951D3C" w14:paraId="475C3AFA" w14:textId="77777777" w:rsidTr="00B7322D">
        <w:trPr>
          <w:trHeight w:val="113"/>
        </w:trPr>
        <w:tc>
          <w:tcPr>
            <w:tcW w:w="2518" w:type="dxa"/>
            <w:vAlign w:val="center"/>
          </w:tcPr>
          <w:p w14:paraId="2FE12BF6"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PO RYBY</w:t>
            </w:r>
          </w:p>
        </w:tc>
        <w:tc>
          <w:tcPr>
            <w:tcW w:w="6770" w:type="dxa"/>
          </w:tcPr>
          <w:p w14:paraId="6C6059A7"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Program Operacyjny Zrównoważony rozwój sektora rybołówstwa i nadbrzeżnych obszarów rybackich</w:t>
            </w:r>
          </w:p>
        </w:tc>
      </w:tr>
      <w:tr w:rsidR="00534451" w:rsidRPr="00951D3C" w14:paraId="67B0B5F0" w14:textId="77777777" w:rsidTr="00B7322D">
        <w:trPr>
          <w:trHeight w:val="113"/>
        </w:trPr>
        <w:tc>
          <w:tcPr>
            <w:tcW w:w="2518" w:type="dxa"/>
            <w:vAlign w:val="center"/>
          </w:tcPr>
          <w:p w14:paraId="384F6475"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PRS</w:t>
            </w:r>
          </w:p>
        </w:tc>
        <w:tc>
          <w:tcPr>
            <w:tcW w:w="6770" w:type="dxa"/>
          </w:tcPr>
          <w:p w14:paraId="58CDBBF6"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 xml:space="preserve">Program Rozwoju Subregionu </w:t>
            </w:r>
          </w:p>
        </w:tc>
      </w:tr>
      <w:tr w:rsidR="00534451" w:rsidRPr="00951D3C" w14:paraId="0CC2AD39" w14:textId="77777777" w:rsidTr="00B7322D">
        <w:trPr>
          <w:trHeight w:val="113"/>
        </w:trPr>
        <w:tc>
          <w:tcPr>
            <w:tcW w:w="2518" w:type="dxa"/>
            <w:vAlign w:val="center"/>
          </w:tcPr>
          <w:p w14:paraId="0140B5C5"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RIS</w:t>
            </w:r>
          </w:p>
        </w:tc>
        <w:tc>
          <w:tcPr>
            <w:tcW w:w="6770" w:type="dxa"/>
          </w:tcPr>
          <w:p w14:paraId="2A8A0A87"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Regionalna Strategia Innowacji Województwa Śląskiego na lata 2003-2013</w:t>
            </w:r>
          </w:p>
        </w:tc>
      </w:tr>
      <w:tr w:rsidR="00534451" w:rsidRPr="00951D3C" w14:paraId="7EE57212" w14:textId="77777777" w:rsidTr="00B7322D">
        <w:trPr>
          <w:trHeight w:val="113"/>
        </w:trPr>
        <w:tc>
          <w:tcPr>
            <w:tcW w:w="2518" w:type="dxa"/>
            <w:vAlign w:val="center"/>
          </w:tcPr>
          <w:p w14:paraId="237C09F6"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ROP</w:t>
            </w:r>
          </w:p>
        </w:tc>
        <w:tc>
          <w:tcPr>
            <w:tcW w:w="6770" w:type="dxa"/>
          </w:tcPr>
          <w:p w14:paraId="6896DE92"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Rejestr obciążeń na projekcie</w:t>
            </w:r>
          </w:p>
        </w:tc>
      </w:tr>
      <w:tr w:rsidR="00534451" w:rsidRPr="00951D3C" w14:paraId="55DDC337" w14:textId="77777777" w:rsidTr="00B7322D">
        <w:trPr>
          <w:trHeight w:val="113"/>
        </w:trPr>
        <w:tc>
          <w:tcPr>
            <w:tcW w:w="2518" w:type="dxa"/>
            <w:vAlign w:val="center"/>
          </w:tcPr>
          <w:p w14:paraId="43561BC4"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RPO WSL</w:t>
            </w:r>
          </w:p>
        </w:tc>
        <w:tc>
          <w:tcPr>
            <w:tcW w:w="6770" w:type="dxa"/>
          </w:tcPr>
          <w:p w14:paraId="59741886"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Regionalny Program Operacyjny Województwa Śląskiego na lata 2007-2013</w:t>
            </w:r>
          </w:p>
        </w:tc>
      </w:tr>
      <w:tr w:rsidR="00534451" w:rsidRPr="00951D3C" w14:paraId="186461DC" w14:textId="77777777" w:rsidTr="00B7322D">
        <w:trPr>
          <w:trHeight w:val="113"/>
        </w:trPr>
        <w:tc>
          <w:tcPr>
            <w:tcW w:w="2518" w:type="dxa"/>
            <w:vAlign w:val="center"/>
          </w:tcPr>
          <w:p w14:paraId="3796FC75"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SFC 2007</w:t>
            </w:r>
          </w:p>
        </w:tc>
        <w:tc>
          <w:tcPr>
            <w:tcW w:w="6770" w:type="dxa"/>
          </w:tcPr>
          <w:p w14:paraId="365FE86D"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System zarządzania funduszami we Wspólnocie Europejskiej w latach 2007-2013</w:t>
            </w:r>
          </w:p>
        </w:tc>
      </w:tr>
      <w:tr w:rsidR="00534451" w:rsidRPr="00951D3C" w14:paraId="48E8D664" w14:textId="77777777" w:rsidTr="00B7322D">
        <w:trPr>
          <w:trHeight w:val="113"/>
        </w:trPr>
        <w:tc>
          <w:tcPr>
            <w:tcW w:w="2518" w:type="dxa"/>
            <w:vAlign w:val="center"/>
          </w:tcPr>
          <w:p w14:paraId="5E0AFA9B"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SL</w:t>
            </w:r>
          </w:p>
        </w:tc>
        <w:tc>
          <w:tcPr>
            <w:tcW w:w="6770" w:type="dxa"/>
          </w:tcPr>
          <w:p w14:paraId="663CE34C"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Strategia Lizbońska</w:t>
            </w:r>
          </w:p>
        </w:tc>
      </w:tr>
      <w:tr w:rsidR="00534451" w:rsidRPr="00951D3C" w14:paraId="048585B4" w14:textId="77777777" w:rsidTr="00B7322D">
        <w:trPr>
          <w:trHeight w:val="113"/>
        </w:trPr>
        <w:tc>
          <w:tcPr>
            <w:tcW w:w="2518" w:type="dxa"/>
            <w:vAlign w:val="center"/>
          </w:tcPr>
          <w:p w14:paraId="277596DE"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ŚCP</w:t>
            </w:r>
          </w:p>
        </w:tc>
        <w:tc>
          <w:tcPr>
            <w:tcW w:w="6770" w:type="dxa"/>
          </w:tcPr>
          <w:p w14:paraId="652982A3"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 xml:space="preserve">Śląskie Centrum Przedsiębiorczości (IP 2 RPO WSL) </w:t>
            </w:r>
          </w:p>
        </w:tc>
      </w:tr>
      <w:tr w:rsidR="00534451" w:rsidRPr="00951D3C" w14:paraId="0CA11D73" w14:textId="77777777" w:rsidTr="00B7322D">
        <w:trPr>
          <w:trHeight w:val="113"/>
        </w:trPr>
        <w:tc>
          <w:tcPr>
            <w:tcW w:w="2518" w:type="dxa"/>
            <w:vAlign w:val="center"/>
          </w:tcPr>
          <w:p w14:paraId="1166FFBE"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SUE RMB</w:t>
            </w:r>
          </w:p>
        </w:tc>
        <w:tc>
          <w:tcPr>
            <w:tcW w:w="6770" w:type="dxa"/>
          </w:tcPr>
          <w:p w14:paraId="376DDC17"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Strategii UE dla Regionu Morza Bałtyckiego</w:t>
            </w:r>
          </w:p>
        </w:tc>
      </w:tr>
      <w:tr w:rsidR="00534451" w:rsidRPr="00951D3C" w14:paraId="19048C31" w14:textId="77777777" w:rsidTr="00B7322D">
        <w:trPr>
          <w:trHeight w:val="113"/>
        </w:trPr>
        <w:tc>
          <w:tcPr>
            <w:tcW w:w="2518" w:type="dxa"/>
            <w:vAlign w:val="center"/>
          </w:tcPr>
          <w:p w14:paraId="1BF37602" w14:textId="095C5278" w:rsidR="0091098D" w:rsidRPr="0050297D" w:rsidRDefault="00534451" w:rsidP="00B7322D">
            <w:pPr>
              <w:autoSpaceDE w:val="0"/>
              <w:autoSpaceDN w:val="0"/>
              <w:adjustRightInd w:val="0"/>
              <w:spacing w:after="0"/>
              <w:jc w:val="both"/>
              <w:rPr>
                <w:b/>
                <w:i/>
                <w:sz w:val="20"/>
                <w:szCs w:val="20"/>
              </w:rPr>
            </w:pPr>
            <w:r w:rsidRPr="0050297D">
              <w:rPr>
                <w:b/>
                <w:i/>
                <w:sz w:val="20"/>
                <w:szCs w:val="20"/>
              </w:rPr>
              <w:t>SWW</w:t>
            </w:r>
          </w:p>
        </w:tc>
        <w:tc>
          <w:tcPr>
            <w:tcW w:w="6770" w:type="dxa"/>
          </w:tcPr>
          <w:p w14:paraId="6602EB2A"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Strategiczne Wytyczne Wspólnoty</w:t>
            </w:r>
          </w:p>
        </w:tc>
      </w:tr>
      <w:tr w:rsidR="00534451" w:rsidRPr="00951D3C" w14:paraId="4B442DFD" w14:textId="77777777" w:rsidTr="00B7322D">
        <w:trPr>
          <w:trHeight w:val="113"/>
        </w:trPr>
        <w:tc>
          <w:tcPr>
            <w:tcW w:w="2518" w:type="dxa"/>
            <w:vAlign w:val="center"/>
          </w:tcPr>
          <w:p w14:paraId="5E82F6C9"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UKS</w:t>
            </w:r>
          </w:p>
        </w:tc>
        <w:tc>
          <w:tcPr>
            <w:tcW w:w="6770" w:type="dxa"/>
          </w:tcPr>
          <w:p w14:paraId="614265B1"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Urząd Kontroli Skarbowej</w:t>
            </w:r>
          </w:p>
        </w:tc>
      </w:tr>
      <w:tr w:rsidR="00534451" w:rsidRPr="00951D3C" w14:paraId="42564F5E" w14:textId="77777777" w:rsidTr="00B7322D">
        <w:trPr>
          <w:trHeight w:val="113"/>
        </w:trPr>
        <w:tc>
          <w:tcPr>
            <w:tcW w:w="2518" w:type="dxa"/>
            <w:vAlign w:val="center"/>
          </w:tcPr>
          <w:p w14:paraId="11A511F6"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UKE</w:t>
            </w:r>
          </w:p>
        </w:tc>
        <w:tc>
          <w:tcPr>
            <w:tcW w:w="6770" w:type="dxa"/>
          </w:tcPr>
          <w:p w14:paraId="04AED60C"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Urząd Komunikacji Elektronicznej</w:t>
            </w:r>
          </w:p>
        </w:tc>
      </w:tr>
      <w:tr w:rsidR="00534451" w:rsidRPr="00951D3C" w14:paraId="054EF03B" w14:textId="77777777" w:rsidTr="00B7322D">
        <w:trPr>
          <w:trHeight w:val="113"/>
        </w:trPr>
        <w:tc>
          <w:tcPr>
            <w:tcW w:w="2518" w:type="dxa"/>
            <w:vAlign w:val="center"/>
          </w:tcPr>
          <w:p w14:paraId="042FAE28"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UMWSL</w:t>
            </w:r>
          </w:p>
        </w:tc>
        <w:tc>
          <w:tcPr>
            <w:tcW w:w="6770" w:type="dxa"/>
          </w:tcPr>
          <w:p w14:paraId="3438E250"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Urząd Marszałkowski Województwa Śląskiego</w:t>
            </w:r>
          </w:p>
        </w:tc>
      </w:tr>
      <w:tr w:rsidR="00534451" w:rsidRPr="00951D3C" w14:paraId="61A29649" w14:textId="77777777" w:rsidTr="00B7322D">
        <w:trPr>
          <w:trHeight w:val="113"/>
        </w:trPr>
        <w:tc>
          <w:tcPr>
            <w:tcW w:w="2518" w:type="dxa"/>
            <w:vAlign w:val="center"/>
          </w:tcPr>
          <w:p w14:paraId="4062C0C1"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URPO WSL</w:t>
            </w:r>
          </w:p>
        </w:tc>
        <w:tc>
          <w:tcPr>
            <w:tcW w:w="6770" w:type="dxa"/>
          </w:tcPr>
          <w:p w14:paraId="2789843B"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Szczegółowy opis priorytetów Regionalnego Programu Operacyjnego Województwa Śląskiego na lata 2007-2013</w:t>
            </w:r>
          </w:p>
        </w:tc>
      </w:tr>
      <w:tr w:rsidR="00534451" w:rsidRPr="00951D3C" w14:paraId="3C8C7D6A" w14:textId="77777777" w:rsidTr="00B7322D">
        <w:trPr>
          <w:trHeight w:val="113"/>
        </w:trPr>
        <w:tc>
          <w:tcPr>
            <w:tcW w:w="2518" w:type="dxa"/>
            <w:vAlign w:val="center"/>
          </w:tcPr>
          <w:p w14:paraId="356C59F8"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WFR</w:t>
            </w:r>
          </w:p>
        </w:tc>
        <w:tc>
          <w:tcPr>
            <w:tcW w:w="6770" w:type="dxa"/>
          </w:tcPr>
          <w:p w14:paraId="18C444B4"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Wydział Europejskiego Funduszu Rozwoju Regionalnego</w:t>
            </w:r>
          </w:p>
        </w:tc>
      </w:tr>
      <w:tr w:rsidR="00534451" w:rsidRPr="00951D3C" w14:paraId="5825ED57" w14:textId="77777777" w:rsidTr="00B7322D">
        <w:trPr>
          <w:trHeight w:val="113"/>
        </w:trPr>
        <w:tc>
          <w:tcPr>
            <w:tcW w:w="2518" w:type="dxa"/>
            <w:vAlign w:val="center"/>
          </w:tcPr>
          <w:p w14:paraId="74B4250B"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WRR</w:t>
            </w:r>
          </w:p>
        </w:tc>
        <w:tc>
          <w:tcPr>
            <w:tcW w:w="6770" w:type="dxa"/>
          </w:tcPr>
          <w:p w14:paraId="3DFE1986"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 xml:space="preserve">Wydział Rozwoju Regionalnego </w:t>
            </w:r>
          </w:p>
        </w:tc>
      </w:tr>
      <w:tr w:rsidR="00534451" w:rsidRPr="00951D3C" w14:paraId="140D792F" w14:textId="77777777" w:rsidTr="00B7322D">
        <w:trPr>
          <w:trHeight w:val="113"/>
        </w:trPr>
        <w:tc>
          <w:tcPr>
            <w:tcW w:w="2518" w:type="dxa"/>
            <w:vAlign w:val="center"/>
          </w:tcPr>
          <w:p w14:paraId="420EFD45" w14:textId="77777777" w:rsidR="00534451" w:rsidRPr="0050297D" w:rsidRDefault="00534451" w:rsidP="00B7322D">
            <w:pPr>
              <w:autoSpaceDE w:val="0"/>
              <w:autoSpaceDN w:val="0"/>
              <w:adjustRightInd w:val="0"/>
              <w:spacing w:after="0"/>
              <w:jc w:val="both"/>
              <w:rPr>
                <w:b/>
                <w:i/>
                <w:sz w:val="20"/>
                <w:szCs w:val="20"/>
              </w:rPr>
            </w:pPr>
            <w:r w:rsidRPr="0050297D">
              <w:rPr>
                <w:b/>
                <w:i/>
                <w:sz w:val="20"/>
                <w:szCs w:val="20"/>
              </w:rPr>
              <w:t>ZW</w:t>
            </w:r>
          </w:p>
        </w:tc>
        <w:tc>
          <w:tcPr>
            <w:tcW w:w="6770" w:type="dxa"/>
          </w:tcPr>
          <w:p w14:paraId="541711AA" w14:textId="77777777" w:rsidR="00534451" w:rsidRPr="0050297D" w:rsidRDefault="00534451" w:rsidP="00B7322D">
            <w:pPr>
              <w:autoSpaceDE w:val="0"/>
              <w:autoSpaceDN w:val="0"/>
              <w:adjustRightInd w:val="0"/>
              <w:spacing w:after="0"/>
              <w:jc w:val="both"/>
              <w:rPr>
                <w:i/>
                <w:sz w:val="20"/>
                <w:szCs w:val="20"/>
              </w:rPr>
            </w:pPr>
            <w:r w:rsidRPr="0050297D">
              <w:rPr>
                <w:i/>
                <w:sz w:val="20"/>
                <w:szCs w:val="20"/>
              </w:rPr>
              <w:t>Zarząd Województwa Śląskiego</w:t>
            </w:r>
          </w:p>
        </w:tc>
      </w:tr>
    </w:tbl>
    <w:p w14:paraId="4ACFC1E2" w14:textId="77777777" w:rsidR="0018564D" w:rsidRDefault="0018564D" w:rsidP="0094320D">
      <w:pPr>
        <w:spacing w:after="0"/>
        <w:jc w:val="both"/>
        <w:rPr>
          <w:rStyle w:val="Nagwek1Znak"/>
          <w:b w:val="0"/>
          <w:i/>
          <w:szCs w:val="24"/>
        </w:rPr>
      </w:pPr>
    </w:p>
    <w:p w14:paraId="1F4DE26E" w14:textId="77777777" w:rsidR="0018564D" w:rsidRDefault="0018564D" w:rsidP="0094320D">
      <w:pPr>
        <w:spacing w:after="0"/>
        <w:jc w:val="both"/>
        <w:rPr>
          <w:rStyle w:val="Nagwek1Znak"/>
          <w:b w:val="0"/>
          <w:i/>
          <w:szCs w:val="24"/>
        </w:rPr>
      </w:pPr>
    </w:p>
    <w:p w14:paraId="23C9B42B" w14:textId="77777777" w:rsidR="0056708E" w:rsidRDefault="0056708E" w:rsidP="0094320D">
      <w:pPr>
        <w:spacing w:after="0"/>
        <w:jc w:val="both"/>
        <w:rPr>
          <w:rStyle w:val="Nagwek1Znak"/>
          <w:b w:val="0"/>
          <w:i/>
          <w:szCs w:val="24"/>
        </w:rPr>
      </w:pPr>
    </w:p>
    <w:p w14:paraId="0C119C22" w14:textId="77777777" w:rsidR="0056708E" w:rsidRDefault="0056708E" w:rsidP="0094320D">
      <w:pPr>
        <w:spacing w:after="0"/>
        <w:jc w:val="both"/>
        <w:rPr>
          <w:rStyle w:val="Nagwek1Znak"/>
          <w:b w:val="0"/>
          <w:i/>
          <w:szCs w:val="24"/>
        </w:rPr>
      </w:pPr>
    </w:p>
    <w:p w14:paraId="27060924" w14:textId="77777777" w:rsidR="0018564D" w:rsidRPr="0094320D" w:rsidRDefault="0018564D" w:rsidP="0094320D">
      <w:pPr>
        <w:spacing w:after="0"/>
        <w:jc w:val="both"/>
        <w:rPr>
          <w:rStyle w:val="Nagwek1Znak"/>
          <w:b w:val="0"/>
          <w:i/>
          <w:szCs w:val="24"/>
        </w:rPr>
      </w:pPr>
    </w:p>
    <w:tbl>
      <w:tblPr>
        <w:tblStyle w:val="Tabelalisty3akcent61"/>
        <w:tblW w:w="10320" w:type="dxa"/>
        <w:jc w:val="center"/>
        <w:tblLook w:val="04A0" w:firstRow="1" w:lastRow="0" w:firstColumn="1" w:lastColumn="0" w:noHBand="0" w:noVBand="1"/>
      </w:tblPr>
      <w:tblGrid>
        <w:gridCol w:w="1838"/>
        <w:gridCol w:w="4717"/>
        <w:gridCol w:w="2229"/>
        <w:gridCol w:w="1536"/>
      </w:tblGrid>
      <w:tr w:rsidR="007F5B0E" w:rsidRPr="007F5B0E" w14:paraId="0CA3853C" w14:textId="77777777" w:rsidTr="00367271">
        <w:trPr>
          <w:cnfStyle w:val="100000000000" w:firstRow="1" w:lastRow="0" w:firstColumn="0" w:lastColumn="0" w:oddVBand="0" w:evenVBand="0" w:oddHBand="0" w:evenHBand="0" w:firstRowFirstColumn="0" w:firstRowLastColumn="0" w:lastRowFirstColumn="0" w:lastRowLastColumn="0"/>
          <w:trHeight w:val="790"/>
          <w:jc w:val="center"/>
        </w:trPr>
        <w:tc>
          <w:tcPr>
            <w:cnfStyle w:val="001000000100" w:firstRow="0" w:lastRow="0" w:firstColumn="1" w:lastColumn="0" w:oddVBand="0" w:evenVBand="0" w:oddHBand="0" w:evenHBand="0" w:firstRowFirstColumn="1" w:firstRowLastColumn="0" w:lastRowFirstColumn="0" w:lastRowLastColumn="0"/>
            <w:tcW w:w="1838" w:type="dxa"/>
            <w:vAlign w:val="center"/>
          </w:tcPr>
          <w:p w14:paraId="6BCA9FE5" w14:textId="77777777" w:rsidR="00082CDD" w:rsidRPr="00367271" w:rsidRDefault="00082CDD" w:rsidP="00367271">
            <w:pPr>
              <w:widowControl w:val="0"/>
              <w:autoSpaceDE w:val="0"/>
              <w:autoSpaceDN w:val="0"/>
              <w:adjustRightInd w:val="0"/>
              <w:spacing w:before="120" w:after="120" w:line="240" w:lineRule="auto"/>
              <w:jc w:val="center"/>
              <w:rPr>
                <w:color w:val="auto"/>
                <w:sz w:val="20"/>
                <w:szCs w:val="20"/>
              </w:rPr>
            </w:pPr>
          </w:p>
        </w:tc>
        <w:tc>
          <w:tcPr>
            <w:tcW w:w="4717" w:type="dxa"/>
            <w:vAlign w:val="center"/>
          </w:tcPr>
          <w:p w14:paraId="5765034F" w14:textId="77777777" w:rsidR="00082CDD" w:rsidRPr="001314E5" w:rsidRDefault="00082CDD">
            <w:pPr>
              <w:widowControl w:val="0"/>
              <w:autoSpaceDE w:val="0"/>
              <w:autoSpaceDN w:val="0"/>
              <w:adjustRightInd w:val="0"/>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1314E5">
              <w:rPr>
                <w:color w:val="auto"/>
                <w:sz w:val="20"/>
                <w:szCs w:val="20"/>
              </w:rPr>
              <w:t>IMIĘ I NAZWISKO</w:t>
            </w:r>
          </w:p>
        </w:tc>
        <w:tc>
          <w:tcPr>
            <w:tcW w:w="2229" w:type="dxa"/>
            <w:vAlign w:val="center"/>
          </w:tcPr>
          <w:p w14:paraId="593CD5EC" w14:textId="77777777" w:rsidR="00082CDD" w:rsidRPr="001314E5" w:rsidRDefault="00082CDD">
            <w:pPr>
              <w:widowControl w:val="0"/>
              <w:autoSpaceDE w:val="0"/>
              <w:autoSpaceDN w:val="0"/>
              <w:adjustRightInd w:val="0"/>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1314E5">
              <w:rPr>
                <w:color w:val="auto"/>
                <w:sz w:val="20"/>
                <w:szCs w:val="20"/>
              </w:rPr>
              <w:t>PODPIS</w:t>
            </w:r>
          </w:p>
        </w:tc>
        <w:tc>
          <w:tcPr>
            <w:tcW w:w="1536" w:type="dxa"/>
            <w:vAlign w:val="center"/>
          </w:tcPr>
          <w:p w14:paraId="0DE7B1FA" w14:textId="77777777" w:rsidR="00082CDD" w:rsidRPr="001314E5" w:rsidRDefault="00082CDD">
            <w:pPr>
              <w:widowControl w:val="0"/>
              <w:autoSpaceDE w:val="0"/>
              <w:autoSpaceDN w:val="0"/>
              <w:adjustRightInd w:val="0"/>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1314E5">
              <w:rPr>
                <w:color w:val="auto"/>
                <w:sz w:val="20"/>
                <w:szCs w:val="20"/>
              </w:rPr>
              <w:t>DATA</w:t>
            </w:r>
          </w:p>
        </w:tc>
      </w:tr>
      <w:tr w:rsidR="007F5B0E" w:rsidRPr="007F5B0E" w14:paraId="33935B9A" w14:textId="77777777" w:rsidTr="00367271">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783B1839" w14:textId="7211BA1F" w:rsidR="00082CDD" w:rsidRPr="00367271" w:rsidRDefault="00082CDD" w:rsidP="00367271">
            <w:pPr>
              <w:widowControl w:val="0"/>
              <w:autoSpaceDE w:val="0"/>
              <w:autoSpaceDN w:val="0"/>
              <w:adjustRightInd w:val="0"/>
              <w:spacing w:before="120" w:after="120" w:line="240" w:lineRule="auto"/>
              <w:rPr>
                <w:sz w:val="20"/>
                <w:szCs w:val="20"/>
              </w:rPr>
            </w:pPr>
            <w:r w:rsidRPr="007F5B0E">
              <w:rPr>
                <w:sz w:val="20"/>
                <w:szCs w:val="20"/>
              </w:rPr>
              <w:t>OPRACOWAŁ</w:t>
            </w:r>
          </w:p>
        </w:tc>
        <w:tc>
          <w:tcPr>
            <w:tcW w:w="4717" w:type="dxa"/>
            <w:vAlign w:val="center"/>
          </w:tcPr>
          <w:p w14:paraId="76C947A2" w14:textId="221C11A2" w:rsidR="005F3DE4" w:rsidRPr="007F5B0E" w:rsidRDefault="00082CDD" w:rsidP="00367271">
            <w:pPr>
              <w:widowControl w:val="0"/>
              <w:autoSpaceDE w:val="0"/>
              <w:autoSpaceDN w:val="0"/>
              <w:adjustRightInd w:val="0"/>
              <w:spacing w:before="120" w:after="120"/>
              <w:cnfStyle w:val="000000100000" w:firstRow="0" w:lastRow="0" w:firstColumn="0" w:lastColumn="0" w:oddVBand="0" w:evenVBand="0" w:oddHBand="1" w:evenHBand="0" w:firstRowFirstColumn="0" w:firstRowLastColumn="0" w:lastRowFirstColumn="0" w:lastRowLastColumn="0"/>
              <w:rPr>
                <w:i/>
                <w:sz w:val="20"/>
                <w:szCs w:val="20"/>
              </w:rPr>
            </w:pPr>
            <w:r w:rsidRPr="007F5B0E">
              <w:rPr>
                <w:i/>
                <w:sz w:val="20"/>
                <w:szCs w:val="20"/>
              </w:rPr>
              <w:t>Małgorzata Durda</w:t>
            </w:r>
          </w:p>
          <w:p w14:paraId="13A835E1" w14:textId="22CDFB47" w:rsidR="00082CDD" w:rsidRPr="007F5B0E" w:rsidRDefault="00082CDD" w:rsidP="00367271">
            <w:pPr>
              <w:widowControl w:val="0"/>
              <w:autoSpaceDE w:val="0"/>
              <w:autoSpaceDN w:val="0"/>
              <w:adjustRightInd w:val="0"/>
              <w:spacing w:before="120" w:after="120"/>
              <w:cnfStyle w:val="000000100000" w:firstRow="0" w:lastRow="0" w:firstColumn="0" w:lastColumn="0" w:oddVBand="0" w:evenVBand="0" w:oddHBand="1" w:evenHBand="0" w:firstRowFirstColumn="0" w:firstRowLastColumn="0" w:lastRowFirstColumn="0" w:lastRowLastColumn="0"/>
              <w:rPr>
                <w:i/>
                <w:sz w:val="20"/>
                <w:szCs w:val="20"/>
              </w:rPr>
            </w:pPr>
            <w:r w:rsidRPr="007F5B0E">
              <w:rPr>
                <w:i/>
                <w:sz w:val="20"/>
                <w:szCs w:val="20"/>
              </w:rPr>
              <w:t>Koordynator zespołu monitoringu rzeczowego</w:t>
            </w:r>
          </w:p>
        </w:tc>
        <w:tc>
          <w:tcPr>
            <w:tcW w:w="2229" w:type="dxa"/>
            <w:vAlign w:val="center"/>
          </w:tcPr>
          <w:p w14:paraId="3727A240" w14:textId="77777777" w:rsidR="00082CDD" w:rsidRPr="007F5B0E" w:rsidRDefault="00082CDD" w:rsidP="00367271">
            <w:pPr>
              <w:widowControl w:val="0"/>
              <w:autoSpaceDE w:val="0"/>
              <w:autoSpaceDN w:val="0"/>
              <w:adjustRightInd w:val="0"/>
              <w:spacing w:before="120" w:after="120"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1536" w:type="dxa"/>
            <w:vAlign w:val="center"/>
          </w:tcPr>
          <w:p w14:paraId="06883CDB" w14:textId="77777777" w:rsidR="00082CDD" w:rsidRPr="007F5B0E" w:rsidRDefault="00082CDD" w:rsidP="00367271">
            <w:pPr>
              <w:widowControl w:val="0"/>
              <w:autoSpaceDE w:val="0"/>
              <w:autoSpaceDN w:val="0"/>
              <w:adjustRightInd w:val="0"/>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7F5B0E" w:rsidRPr="007F5B0E" w14:paraId="657161AA" w14:textId="77777777" w:rsidTr="00367271">
        <w:trPr>
          <w:trHeight w:val="1189"/>
          <w:jc w:val="center"/>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372DE5B5" w14:textId="483DE626" w:rsidR="00082CDD" w:rsidRPr="00367271" w:rsidRDefault="00082CDD" w:rsidP="00367271">
            <w:pPr>
              <w:widowControl w:val="0"/>
              <w:autoSpaceDE w:val="0"/>
              <w:autoSpaceDN w:val="0"/>
              <w:adjustRightInd w:val="0"/>
              <w:spacing w:before="120" w:after="120" w:line="240" w:lineRule="auto"/>
              <w:rPr>
                <w:sz w:val="20"/>
                <w:szCs w:val="20"/>
              </w:rPr>
            </w:pPr>
            <w:r w:rsidRPr="007F5B0E">
              <w:rPr>
                <w:sz w:val="20"/>
                <w:szCs w:val="20"/>
              </w:rPr>
              <w:t>AKCEPTOWAŁ</w:t>
            </w:r>
          </w:p>
        </w:tc>
        <w:tc>
          <w:tcPr>
            <w:tcW w:w="4717" w:type="dxa"/>
            <w:vAlign w:val="center"/>
          </w:tcPr>
          <w:p w14:paraId="76D22485" w14:textId="2EBCC45E" w:rsidR="00082CDD" w:rsidRPr="007F5B0E" w:rsidRDefault="00082CDD" w:rsidP="00367271">
            <w:pPr>
              <w:widowControl w:val="0"/>
              <w:autoSpaceDE w:val="0"/>
              <w:autoSpaceDN w:val="0"/>
              <w:adjustRightInd w:val="0"/>
              <w:spacing w:before="120" w:after="120" w:line="240" w:lineRule="auto"/>
              <w:cnfStyle w:val="000000000000" w:firstRow="0" w:lastRow="0" w:firstColumn="0" w:lastColumn="0" w:oddVBand="0" w:evenVBand="0" w:oddHBand="0" w:evenHBand="0" w:firstRowFirstColumn="0" w:firstRowLastColumn="0" w:lastRowFirstColumn="0" w:lastRowLastColumn="0"/>
              <w:rPr>
                <w:i/>
                <w:sz w:val="20"/>
                <w:szCs w:val="20"/>
              </w:rPr>
            </w:pPr>
            <w:r w:rsidRPr="007F5B0E">
              <w:rPr>
                <w:i/>
                <w:sz w:val="20"/>
                <w:szCs w:val="20"/>
              </w:rPr>
              <w:t>Tomasz Kołton</w:t>
            </w:r>
          </w:p>
          <w:p w14:paraId="76D0055D" w14:textId="3D73BD30" w:rsidR="00082CDD" w:rsidRPr="007F5B0E" w:rsidRDefault="00082CDD" w:rsidP="00367271">
            <w:pPr>
              <w:widowControl w:val="0"/>
              <w:autoSpaceDE w:val="0"/>
              <w:autoSpaceDN w:val="0"/>
              <w:adjustRightInd w:val="0"/>
              <w:spacing w:before="120" w:after="120" w:line="240" w:lineRule="auto"/>
              <w:cnfStyle w:val="000000000000" w:firstRow="0" w:lastRow="0" w:firstColumn="0" w:lastColumn="0" w:oddVBand="0" w:evenVBand="0" w:oddHBand="0" w:evenHBand="0" w:firstRowFirstColumn="0" w:firstRowLastColumn="0" w:lastRowFirstColumn="0" w:lastRowLastColumn="0"/>
              <w:rPr>
                <w:i/>
                <w:sz w:val="20"/>
                <w:szCs w:val="20"/>
              </w:rPr>
            </w:pPr>
            <w:r w:rsidRPr="007F5B0E">
              <w:rPr>
                <w:i/>
                <w:sz w:val="20"/>
                <w:szCs w:val="20"/>
              </w:rPr>
              <w:t>Kierownik referatu zarządzania rzeczowo - finansowego</w:t>
            </w:r>
          </w:p>
        </w:tc>
        <w:tc>
          <w:tcPr>
            <w:tcW w:w="2229" w:type="dxa"/>
            <w:vAlign w:val="center"/>
          </w:tcPr>
          <w:p w14:paraId="256AB527" w14:textId="77777777" w:rsidR="00082CDD" w:rsidRPr="007F5B0E" w:rsidRDefault="00082CDD" w:rsidP="00367271">
            <w:pPr>
              <w:widowControl w:val="0"/>
              <w:autoSpaceDE w:val="0"/>
              <w:autoSpaceDN w:val="0"/>
              <w:adjustRightInd w:val="0"/>
              <w:spacing w:before="120" w:after="120"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1536" w:type="dxa"/>
            <w:vAlign w:val="center"/>
          </w:tcPr>
          <w:p w14:paraId="09B45018" w14:textId="77777777" w:rsidR="00082CDD" w:rsidRPr="007F5B0E" w:rsidRDefault="00082CDD" w:rsidP="00367271">
            <w:pPr>
              <w:widowControl w:val="0"/>
              <w:autoSpaceDE w:val="0"/>
              <w:autoSpaceDN w:val="0"/>
              <w:adjustRightInd w:val="0"/>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7F5B0E" w:rsidRPr="007F5B0E" w14:paraId="05B27468" w14:textId="77777777" w:rsidTr="00367271">
        <w:trPr>
          <w:cnfStyle w:val="000000100000" w:firstRow="0" w:lastRow="0" w:firstColumn="0" w:lastColumn="0" w:oddVBand="0" w:evenVBand="0" w:oddHBand="1" w:evenHBand="0" w:firstRowFirstColumn="0" w:firstRowLastColumn="0" w:lastRowFirstColumn="0" w:lastRowLastColumn="0"/>
          <w:trHeight w:val="1048"/>
          <w:jc w:val="center"/>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49BC9265" w14:textId="5BC77058" w:rsidR="00082CDD" w:rsidRPr="00367271" w:rsidRDefault="00082CDD" w:rsidP="00367271">
            <w:pPr>
              <w:widowControl w:val="0"/>
              <w:autoSpaceDE w:val="0"/>
              <w:autoSpaceDN w:val="0"/>
              <w:adjustRightInd w:val="0"/>
              <w:spacing w:before="120" w:after="120" w:line="240" w:lineRule="auto"/>
              <w:rPr>
                <w:sz w:val="20"/>
                <w:szCs w:val="20"/>
              </w:rPr>
            </w:pPr>
            <w:r w:rsidRPr="007F5B0E">
              <w:rPr>
                <w:sz w:val="20"/>
                <w:szCs w:val="20"/>
              </w:rPr>
              <w:t>ZATWIERDZIŁ</w:t>
            </w:r>
          </w:p>
        </w:tc>
        <w:tc>
          <w:tcPr>
            <w:tcW w:w="4717" w:type="dxa"/>
            <w:vAlign w:val="center"/>
          </w:tcPr>
          <w:p w14:paraId="62490C26" w14:textId="0577C904" w:rsidR="00082CDD" w:rsidRPr="007F5B0E" w:rsidRDefault="004F4278" w:rsidP="00367271">
            <w:pPr>
              <w:widowControl w:val="0"/>
              <w:autoSpaceDE w:val="0"/>
              <w:autoSpaceDN w:val="0"/>
              <w:adjustRightInd w:val="0"/>
              <w:spacing w:before="120" w:after="120" w:line="240" w:lineRule="auto"/>
              <w:cnfStyle w:val="000000100000" w:firstRow="0" w:lastRow="0" w:firstColumn="0" w:lastColumn="0" w:oddVBand="0" w:evenVBand="0" w:oddHBand="1" w:evenHBand="0" w:firstRowFirstColumn="0" w:firstRowLastColumn="0" w:lastRowFirstColumn="0" w:lastRowLastColumn="0"/>
              <w:rPr>
                <w:i/>
                <w:sz w:val="20"/>
                <w:szCs w:val="20"/>
              </w:rPr>
            </w:pPr>
            <w:r w:rsidRPr="007F5B0E">
              <w:rPr>
                <w:i/>
                <w:sz w:val="20"/>
                <w:szCs w:val="20"/>
              </w:rPr>
              <w:t>Monika Sternal</w:t>
            </w:r>
          </w:p>
          <w:p w14:paraId="2763F761" w14:textId="5F674CD5" w:rsidR="00082CDD" w:rsidRPr="007F5B0E" w:rsidRDefault="004F4278" w:rsidP="00367271">
            <w:pPr>
              <w:widowControl w:val="0"/>
              <w:autoSpaceDE w:val="0"/>
              <w:autoSpaceDN w:val="0"/>
              <w:adjustRightInd w:val="0"/>
              <w:spacing w:before="120" w:after="120" w:line="240" w:lineRule="auto"/>
              <w:cnfStyle w:val="000000100000" w:firstRow="0" w:lastRow="0" w:firstColumn="0" w:lastColumn="0" w:oddVBand="0" w:evenVBand="0" w:oddHBand="1" w:evenHBand="0" w:firstRowFirstColumn="0" w:firstRowLastColumn="0" w:lastRowFirstColumn="0" w:lastRowLastColumn="0"/>
              <w:rPr>
                <w:i/>
                <w:sz w:val="20"/>
                <w:szCs w:val="20"/>
              </w:rPr>
            </w:pPr>
            <w:r w:rsidRPr="007F5B0E">
              <w:rPr>
                <w:i/>
                <w:sz w:val="20"/>
                <w:szCs w:val="20"/>
              </w:rPr>
              <w:t>p.o. Z-cy D</w:t>
            </w:r>
            <w:r w:rsidR="007432AC" w:rsidRPr="007F5B0E">
              <w:rPr>
                <w:i/>
                <w:sz w:val="20"/>
                <w:szCs w:val="20"/>
              </w:rPr>
              <w:t>yrektor</w:t>
            </w:r>
            <w:r w:rsidRPr="007F5B0E">
              <w:rPr>
                <w:i/>
                <w:sz w:val="20"/>
                <w:szCs w:val="20"/>
              </w:rPr>
              <w:t>a</w:t>
            </w:r>
            <w:r w:rsidR="00082CDD" w:rsidRPr="007F5B0E">
              <w:rPr>
                <w:i/>
                <w:sz w:val="20"/>
                <w:szCs w:val="20"/>
              </w:rPr>
              <w:t xml:space="preserve"> Wydziału Rozwoju Regionalnego</w:t>
            </w:r>
          </w:p>
        </w:tc>
        <w:tc>
          <w:tcPr>
            <w:tcW w:w="2229" w:type="dxa"/>
            <w:vAlign w:val="center"/>
          </w:tcPr>
          <w:p w14:paraId="41161B74" w14:textId="77777777" w:rsidR="00082CDD" w:rsidRPr="007F5B0E" w:rsidRDefault="00082CDD" w:rsidP="00367271">
            <w:pPr>
              <w:widowControl w:val="0"/>
              <w:autoSpaceDE w:val="0"/>
              <w:autoSpaceDN w:val="0"/>
              <w:adjustRightInd w:val="0"/>
              <w:spacing w:before="120" w:after="120"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1536" w:type="dxa"/>
            <w:vAlign w:val="center"/>
          </w:tcPr>
          <w:p w14:paraId="08281B78" w14:textId="77777777" w:rsidR="00082CDD" w:rsidRPr="007F5B0E" w:rsidRDefault="00082CDD" w:rsidP="00367271">
            <w:pPr>
              <w:widowControl w:val="0"/>
              <w:autoSpaceDE w:val="0"/>
              <w:autoSpaceDN w:val="0"/>
              <w:adjustRightInd w:val="0"/>
              <w:spacing w:before="120" w:after="120"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bookmarkEnd w:id="249"/>
      <w:bookmarkEnd w:id="747"/>
    </w:tbl>
    <w:p w14:paraId="42BBE3E1" w14:textId="0B7FE2BD" w:rsidR="00A34E31" w:rsidRPr="0094320D" w:rsidRDefault="00A34E31" w:rsidP="0094320D">
      <w:pPr>
        <w:spacing w:after="0"/>
        <w:jc w:val="both"/>
        <w:rPr>
          <w:rStyle w:val="Nagwek1Znak"/>
          <w:b w:val="0"/>
          <w:i/>
          <w:szCs w:val="24"/>
        </w:rPr>
      </w:pPr>
    </w:p>
    <w:sectPr w:rsidR="00A34E31" w:rsidRPr="0094320D" w:rsidSect="00906FD5">
      <w:headerReference w:type="even" r:id="rId120"/>
      <w:headerReference w:type="default" r:id="rId121"/>
      <w:footerReference w:type="default" r:id="rId122"/>
      <w:headerReference w:type="first" r:id="rId123"/>
      <w:endnotePr>
        <w:numFmt w:val="decimal"/>
      </w:endnotePr>
      <w:pgSz w:w="11906" w:h="16838"/>
      <w:pgMar w:top="1417" w:right="1417" w:bottom="1417" w:left="1417" w:header="397" w:footer="284" w:gutter="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722D94" w14:textId="77777777" w:rsidR="00197878" w:rsidRDefault="00197878" w:rsidP="0005410E">
      <w:pPr>
        <w:spacing w:after="0" w:line="240" w:lineRule="auto"/>
      </w:pPr>
      <w:r>
        <w:separator/>
      </w:r>
    </w:p>
  </w:endnote>
  <w:endnote w:type="continuationSeparator" w:id="0">
    <w:p w14:paraId="203BC6AE" w14:textId="77777777" w:rsidR="00197878" w:rsidRDefault="00197878" w:rsidP="000541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omic Sans MS">
    <w:panose1 w:val="030F0702030302020204"/>
    <w:charset w:val="EE"/>
    <w:family w:val="script"/>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CenturyGothic">
    <w:altName w:val="MS Mincho"/>
    <w:panose1 w:val="00000000000000000000"/>
    <w:charset w:val="80"/>
    <w:family w:val="auto"/>
    <w:notTrueType/>
    <w:pitch w:val="default"/>
    <w:sig w:usb0="00000005" w:usb1="08070000" w:usb2="00000010" w:usb3="00000000" w:csb0="00020002" w:csb1="00000000"/>
  </w:font>
  <w:font w:name="TTE10A8D70t00">
    <w:altName w:val="MS Mincho"/>
    <w:panose1 w:val="00000000000000000000"/>
    <w:charset w:val="80"/>
    <w:family w:val="auto"/>
    <w:notTrueType/>
    <w:pitch w:val="default"/>
    <w:sig w:usb0="00000001" w:usb1="08070000" w:usb2="00000010" w:usb3="00000000" w:csb0="00020000" w:csb1="00000000"/>
  </w:font>
  <w:font w:name="Lato">
    <w:altName w:val="Calibri"/>
    <w:charset w:val="EE"/>
    <w:family w:val="swiss"/>
    <w:pitch w:val="variable"/>
    <w:sig w:usb0="E10002FF" w:usb1="5000ECFF" w:usb2="00000021" w:usb3="00000000" w:csb0="0000019F" w:csb1="00000000"/>
  </w:font>
  <w:font w:name="Century Schoolbook">
    <w:panose1 w:val="02040604050505020304"/>
    <w:charset w:val="EE"/>
    <w:family w:val="roman"/>
    <w:pitch w:val="variable"/>
    <w:sig w:usb0="000002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9411866"/>
      <w:docPartObj>
        <w:docPartGallery w:val="Page Numbers (Bottom of Page)"/>
        <w:docPartUnique/>
      </w:docPartObj>
    </w:sdtPr>
    <w:sdtEndPr>
      <w:rPr>
        <w:sz w:val="20"/>
        <w:szCs w:val="20"/>
      </w:rPr>
    </w:sdtEndPr>
    <w:sdtContent>
      <w:p w14:paraId="23D0EFAB" w14:textId="1158B45D" w:rsidR="00197878" w:rsidRPr="006C22EA" w:rsidRDefault="00197878">
        <w:pPr>
          <w:pStyle w:val="Stopka"/>
          <w:jc w:val="center"/>
          <w:rPr>
            <w:sz w:val="20"/>
            <w:szCs w:val="20"/>
          </w:rPr>
        </w:pPr>
        <w:r w:rsidRPr="006C22EA">
          <w:rPr>
            <w:sz w:val="20"/>
            <w:szCs w:val="20"/>
          </w:rPr>
          <w:fldChar w:fldCharType="begin"/>
        </w:r>
        <w:r w:rsidRPr="006C22EA">
          <w:rPr>
            <w:sz w:val="20"/>
            <w:szCs w:val="20"/>
          </w:rPr>
          <w:instrText xml:space="preserve"> PAGE   \* MERGEFORMAT </w:instrText>
        </w:r>
        <w:r w:rsidRPr="006C22EA">
          <w:rPr>
            <w:sz w:val="20"/>
            <w:szCs w:val="20"/>
          </w:rPr>
          <w:fldChar w:fldCharType="separate"/>
        </w:r>
        <w:r w:rsidR="004361E1">
          <w:rPr>
            <w:noProof/>
            <w:sz w:val="20"/>
            <w:szCs w:val="20"/>
          </w:rPr>
          <w:t>42</w:t>
        </w:r>
        <w:r w:rsidRPr="006C22EA">
          <w:rPr>
            <w:sz w:val="20"/>
            <w:szCs w:val="20"/>
          </w:rPr>
          <w:fldChar w:fldCharType="end"/>
        </w:r>
        <w:r>
          <w:rPr>
            <w:sz w:val="20"/>
            <w:szCs w:val="20"/>
          </w:rPr>
          <w:t xml:space="preserve"> </w:t>
        </w:r>
      </w:p>
    </w:sdtContent>
  </w:sdt>
  <w:p w14:paraId="21872DB8" w14:textId="77777777" w:rsidR="00197878" w:rsidRPr="00425DF4" w:rsidRDefault="00197878">
    <w:pPr>
      <w:pStyle w:val="Stopka"/>
      <w:rPr>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19469"/>
      <w:docPartObj>
        <w:docPartGallery w:val="Page Numbers (Bottom of Page)"/>
        <w:docPartUnique/>
      </w:docPartObj>
    </w:sdtPr>
    <w:sdtEndPr>
      <w:rPr>
        <w:sz w:val="20"/>
        <w:szCs w:val="20"/>
      </w:rPr>
    </w:sdtEndPr>
    <w:sdtContent>
      <w:p w14:paraId="1AC3E0C3" w14:textId="77777777" w:rsidR="00197878" w:rsidRPr="00B8015D" w:rsidRDefault="00197878">
        <w:pPr>
          <w:pStyle w:val="Stopka"/>
          <w:jc w:val="center"/>
          <w:rPr>
            <w:sz w:val="20"/>
            <w:szCs w:val="20"/>
          </w:rPr>
        </w:pPr>
        <w:r w:rsidRPr="00B8015D">
          <w:rPr>
            <w:sz w:val="20"/>
            <w:szCs w:val="20"/>
          </w:rPr>
          <w:fldChar w:fldCharType="begin"/>
        </w:r>
        <w:r w:rsidRPr="00B8015D">
          <w:rPr>
            <w:sz w:val="20"/>
            <w:szCs w:val="20"/>
          </w:rPr>
          <w:instrText xml:space="preserve"> PAGE    \* MERGEFORMAT </w:instrText>
        </w:r>
        <w:r w:rsidRPr="00B8015D">
          <w:rPr>
            <w:sz w:val="20"/>
            <w:szCs w:val="20"/>
          </w:rPr>
          <w:fldChar w:fldCharType="separate"/>
        </w:r>
        <w:r w:rsidR="004361E1">
          <w:rPr>
            <w:noProof/>
            <w:sz w:val="20"/>
            <w:szCs w:val="20"/>
          </w:rPr>
          <w:t>206</w:t>
        </w:r>
        <w:r w:rsidRPr="00B8015D">
          <w:rPr>
            <w:sz w:val="20"/>
            <w:szCs w:val="20"/>
          </w:rPr>
          <w:fldChar w:fldCharType="end"/>
        </w:r>
      </w:p>
    </w:sdtContent>
  </w:sdt>
  <w:p w14:paraId="67926BDC" w14:textId="77777777" w:rsidR="00197878" w:rsidRDefault="00197878">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285FF8" w14:textId="77777777" w:rsidR="00197878" w:rsidRDefault="00197878" w:rsidP="0005410E">
      <w:pPr>
        <w:spacing w:after="0" w:line="240" w:lineRule="auto"/>
      </w:pPr>
      <w:r>
        <w:separator/>
      </w:r>
    </w:p>
  </w:footnote>
  <w:footnote w:type="continuationSeparator" w:id="0">
    <w:p w14:paraId="3D27339A" w14:textId="77777777" w:rsidR="00197878" w:rsidRDefault="00197878" w:rsidP="0005410E">
      <w:pPr>
        <w:spacing w:after="0" w:line="240" w:lineRule="auto"/>
      </w:pPr>
      <w:r>
        <w:continuationSeparator/>
      </w:r>
    </w:p>
  </w:footnote>
  <w:footnote w:id="1">
    <w:p w14:paraId="1C344092" w14:textId="77777777" w:rsidR="00197878" w:rsidRPr="00A01423" w:rsidRDefault="00197878" w:rsidP="000C056A">
      <w:pPr>
        <w:pStyle w:val="Tekstprzypisudolnego"/>
        <w:spacing w:after="0" w:line="240" w:lineRule="auto"/>
        <w:jc w:val="both"/>
        <w:rPr>
          <w:i/>
          <w:lang w:val="en-US"/>
        </w:rPr>
      </w:pPr>
      <w:r>
        <w:rPr>
          <w:rStyle w:val="Odwoanieprzypisudolnego"/>
          <w:rFonts w:eastAsiaTheme="majorEastAsia"/>
          <w:lang w:val="en-GB"/>
        </w:rPr>
        <w:footnoteRef/>
      </w:r>
      <w:r>
        <w:rPr>
          <w:i/>
          <w:iCs/>
          <w:lang w:val="en-GB"/>
        </w:rPr>
        <w:t>The list does not include projects implemented under technical assistance.</w:t>
      </w:r>
    </w:p>
  </w:footnote>
  <w:footnote w:id="2">
    <w:p w14:paraId="777CDEAB" w14:textId="5D381234" w:rsidR="00197878" w:rsidRPr="007B45A2" w:rsidRDefault="00197878">
      <w:pPr>
        <w:pStyle w:val="Tekstprzypisudolnego"/>
        <w:rPr>
          <w:i/>
        </w:rPr>
      </w:pPr>
      <w:r w:rsidRPr="007B45A2">
        <w:rPr>
          <w:rStyle w:val="Odwoanieprzypisudolnego"/>
          <w:i/>
        </w:rPr>
        <w:footnoteRef/>
      </w:r>
      <w:r w:rsidRPr="007B45A2">
        <w:rPr>
          <w:i/>
        </w:rPr>
        <w:t xml:space="preserve"> Za wyjątkiem projektów dot. IIF</w:t>
      </w:r>
    </w:p>
  </w:footnote>
  <w:footnote w:id="3">
    <w:p w14:paraId="2ED7F6CF" w14:textId="77777777" w:rsidR="00197878" w:rsidRPr="007847DF" w:rsidRDefault="00197878" w:rsidP="002C6E5F">
      <w:pPr>
        <w:pStyle w:val="Tekstprzypisudolnego"/>
        <w:spacing w:after="0" w:line="240" w:lineRule="auto"/>
        <w:jc w:val="both"/>
        <w:rPr>
          <w:i/>
        </w:rPr>
      </w:pPr>
      <w:r w:rsidRPr="007847DF">
        <w:rPr>
          <w:rStyle w:val="Odwoanieprzypisudolnego"/>
          <w:i/>
        </w:rPr>
        <w:footnoteRef/>
      </w:r>
      <w:r w:rsidRPr="007847DF">
        <w:rPr>
          <w:i/>
        </w:rPr>
        <w:t xml:space="preserve"> Zestawienie nie </w:t>
      </w:r>
      <w:r>
        <w:rPr>
          <w:i/>
        </w:rPr>
        <w:t>zawiera</w:t>
      </w:r>
      <w:r w:rsidRPr="007847DF">
        <w:rPr>
          <w:i/>
        </w:rPr>
        <w:t xml:space="preserve"> projektów realizowanych z </w:t>
      </w:r>
      <w:r>
        <w:rPr>
          <w:i/>
        </w:rPr>
        <w:t>pomocy technicznej.</w:t>
      </w:r>
    </w:p>
  </w:footnote>
  <w:footnote w:id="4">
    <w:p w14:paraId="48EBED96" w14:textId="39300A9A" w:rsidR="00197878" w:rsidRPr="002C6E5F" w:rsidRDefault="00197878" w:rsidP="002C6E5F">
      <w:pPr>
        <w:pStyle w:val="Tekstprzypisudolnego"/>
        <w:spacing w:after="0" w:line="240" w:lineRule="auto"/>
        <w:jc w:val="both"/>
        <w:rPr>
          <w:i/>
        </w:rPr>
      </w:pPr>
      <w:r w:rsidRPr="002C6E5F">
        <w:rPr>
          <w:rStyle w:val="Odwoanieprzypisudolnego"/>
          <w:i/>
        </w:rPr>
        <w:footnoteRef/>
      </w:r>
      <w:r w:rsidRPr="002C6E5F">
        <w:rPr>
          <w:i/>
        </w:rPr>
        <w:t xml:space="preserve"> W treści Sprawozdania prezentując postęp finansowy instrumentów inżynierii finansowej wykorzystano kurs EUR </w:t>
      </w:r>
      <w:r>
        <w:rPr>
          <w:i/>
        </w:rPr>
        <w:t xml:space="preserve">4,4141, </w:t>
      </w:r>
      <w:r w:rsidRPr="002C6E5F">
        <w:rPr>
          <w:i/>
        </w:rPr>
        <w:t>natomiast w załączniku IX wykorzystano kursy, po których zostały przekazane środki beneficjentom, stąd wartości finansowe będą się różnić.</w:t>
      </w:r>
    </w:p>
  </w:footnote>
  <w:footnote w:id="5">
    <w:p w14:paraId="475CC45D" w14:textId="77777777" w:rsidR="00197878" w:rsidRDefault="00197878" w:rsidP="002C6E5F">
      <w:pPr>
        <w:spacing w:after="0" w:line="240" w:lineRule="auto"/>
        <w:jc w:val="both"/>
      </w:pPr>
      <w:r w:rsidRPr="00440A0A">
        <w:rPr>
          <w:rStyle w:val="Odwoanieprzypisudolnego"/>
          <w:i/>
          <w:sz w:val="20"/>
          <w:szCs w:val="20"/>
        </w:rPr>
        <w:footnoteRef/>
      </w:r>
      <w:r w:rsidRPr="00440A0A">
        <w:rPr>
          <w:i/>
          <w:sz w:val="20"/>
          <w:szCs w:val="20"/>
        </w:rPr>
        <w:t xml:space="preserve"> Dane wg podziału administracyjnego na dzień 31 XII. Przez ludność w wieku produkcyjnym rozumie się ludność w wieku zdolności do pracy. Dla mężczyzn przyjęto wiek 18-64 lata, dla kobiet - 18-59 lat. Wiek mobilny - grupa wieku produkcyjnego obejmująca ludność w wieku 18-44 lata, wiek niemobilny - grupa wieku produkcyjnego obejmująca ludność w wieku: mężczyźni - 45-64 lata, kobiety - 45-59 lat. Przez ludność w wieku nieprodukcyjnym</w:t>
      </w:r>
      <w:r w:rsidRPr="00E649FE">
        <w:rPr>
          <w:sz w:val="20"/>
        </w:rPr>
        <w:t xml:space="preserve"> </w:t>
      </w:r>
      <w:r w:rsidRPr="00440A0A">
        <w:rPr>
          <w:i/>
          <w:sz w:val="20"/>
        </w:rPr>
        <w:t>rozumie się ludność w wieku przedprodukcyjnym, tj. do 17 lat oraz w wieku poprodukcyjnym, tj. mężczyźni - 65 lat i więcej, kobiety - 60 lat i więcej.</w:t>
      </w:r>
    </w:p>
  </w:footnote>
  <w:footnote w:id="6">
    <w:p w14:paraId="4CE5ED24" w14:textId="77777777" w:rsidR="00197878" w:rsidRPr="002C6E5F" w:rsidRDefault="00197878" w:rsidP="002C6E5F">
      <w:pPr>
        <w:pStyle w:val="Tekstprzypisudolnego"/>
        <w:spacing w:after="0" w:line="240" w:lineRule="auto"/>
        <w:jc w:val="both"/>
        <w:rPr>
          <w:i/>
        </w:rPr>
      </w:pPr>
      <w:r w:rsidRPr="002C6E5F">
        <w:rPr>
          <w:rStyle w:val="Odwoanieprzypisudolnego"/>
          <w:i/>
        </w:rPr>
        <w:footnoteRef/>
      </w:r>
      <w:r w:rsidRPr="002C6E5F">
        <w:rPr>
          <w:i/>
        </w:rPr>
        <w:t xml:space="preserve"> Ze względu na brak danych za rok 2015 dotyczących migracji zagranicznych – dane skumulowane zostały przedstawione do roku 2014</w:t>
      </w:r>
    </w:p>
  </w:footnote>
  <w:footnote w:id="7">
    <w:p w14:paraId="2BC75140" w14:textId="77777777" w:rsidR="00197878" w:rsidRDefault="00197878" w:rsidP="00E1248C">
      <w:pPr>
        <w:pStyle w:val="Tekstprzypisudolnego"/>
      </w:pPr>
      <w:r w:rsidRPr="00A15C89">
        <w:rPr>
          <w:rStyle w:val="Odwoanieprzypisudolnego"/>
          <w:i/>
        </w:rPr>
        <w:footnoteRef/>
      </w:r>
      <w:r w:rsidRPr="00A15C89">
        <w:rPr>
          <w:i/>
        </w:rPr>
        <w:t xml:space="preserve"> Bezrobotny pozostający bez pracy dłużej niż 1 rok</w:t>
      </w:r>
      <w:r>
        <w:t>.</w:t>
      </w:r>
    </w:p>
  </w:footnote>
  <w:footnote w:id="8">
    <w:p w14:paraId="686AA097" w14:textId="77777777" w:rsidR="00197878" w:rsidRPr="0071369D" w:rsidRDefault="00197878" w:rsidP="00B8015D">
      <w:pPr>
        <w:pStyle w:val="PRZYPIS"/>
        <w:rPr>
          <w:rFonts w:cs="Times New Roman"/>
          <w:i/>
          <w:sz w:val="20"/>
        </w:rPr>
      </w:pPr>
      <w:r w:rsidRPr="0071369D">
        <w:rPr>
          <w:rStyle w:val="Znakiprzypiswdolnych"/>
          <w:rFonts w:cs="Times New Roman"/>
          <w:i/>
          <w:sz w:val="20"/>
        </w:rPr>
        <w:footnoteRef/>
      </w:r>
      <w:r w:rsidRPr="0071369D">
        <w:rPr>
          <w:rFonts w:eastAsia="Times New Roman" w:cs="Times New Roman"/>
          <w:i/>
          <w:sz w:val="20"/>
        </w:rPr>
        <w:t xml:space="preserve"> „</w:t>
      </w:r>
      <w:r w:rsidRPr="0071369D">
        <w:rPr>
          <w:rFonts w:cs="Times New Roman"/>
          <w:i/>
          <w:sz w:val="20"/>
        </w:rPr>
        <w:t>Badanie wpływu informatyzacji na działanie urzędów administracji publicznej w Polsce w 2011 roku”, Raport z badania ilościowego zrealizowanego na zlecenie MSWiA. Warszawa 2011.</w:t>
      </w:r>
    </w:p>
  </w:footnote>
  <w:footnote w:id="9">
    <w:p w14:paraId="5D9FB1C5" w14:textId="77777777" w:rsidR="00197878" w:rsidRPr="0071369D" w:rsidRDefault="00197878" w:rsidP="00B8015D">
      <w:pPr>
        <w:pStyle w:val="Tekstprzypisudolnego"/>
        <w:spacing w:after="0" w:line="240" w:lineRule="auto"/>
        <w:jc w:val="both"/>
        <w:rPr>
          <w:i/>
        </w:rPr>
      </w:pPr>
      <w:r w:rsidRPr="0071369D">
        <w:rPr>
          <w:rStyle w:val="Odwoanieprzypisudolnego"/>
          <w:i/>
        </w:rPr>
        <w:footnoteRef/>
      </w:r>
      <w:r w:rsidRPr="0071369D">
        <w:rPr>
          <w:i/>
        </w:rPr>
        <w:t xml:space="preserve"> Północny, Południowy, Zachodni</w:t>
      </w:r>
    </w:p>
  </w:footnote>
  <w:footnote w:id="10">
    <w:p w14:paraId="5273C881" w14:textId="75072EE5" w:rsidR="00197878" w:rsidRPr="00974F1D" w:rsidRDefault="00197878" w:rsidP="00B8015D">
      <w:pPr>
        <w:pStyle w:val="Tekstprzypisudolnego"/>
        <w:spacing w:after="0" w:line="240" w:lineRule="auto"/>
        <w:jc w:val="both"/>
        <w:rPr>
          <w:rFonts w:ascii="Lato" w:hAnsi="Lato"/>
          <w:sz w:val="16"/>
          <w:szCs w:val="16"/>
        </w:rPr>
      </w:pPr>
      <w:r w:rsidRPr="0071369D">
        <w:rPr>
          <w:rStyle w:val="Odwoanieprzypisudolnego"/>
          <w:i/>
        </w:rPr>
        <w:footnoteRef/>
      </w:r>
      <w:r w:rsidRPr="0071369D">
        <w:rPr>
          <w:i/>
        </w:rPr>
        <w:t xml:space="preserve"> Potrzeby dotyczące sieci dostępowych będą mogły być zaspokojone dzięki w</w:t>
      </w:r>
      <w:r>
        <w:rPr>
          <w:i/>
        </w:rPr>
        <w:t>sparciu z poziomu krajowego – w </w:t>
      </w:r>
      <w:r w:rsidRPr="0071369D">
        <w:rPr>
          <w:i/>
        </w:rPr>
        <w:t>ramach Programu Operacyjnego Polska Cyfrowa (PO PC 2014-2020).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83AB15" w14:textId="154F8CB1" w:rsidR="00197878" w:rsidRDefault="004361E1">
    <w:pPr>
      <w:pStyle w:val="Nagwek"/>
    </w:pPr>
    <w:r>
      <w:rPr>
        <w:noProof/>
      </w:rPr>
      <w:pict w14:anchorId="6562AB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30075" o:spid="_x0000_s16387" type="#_x0000_t136" style="position:absolute;margin-left:0;margin-top:0;width:453.6pt;height:100.8pt;z-index:-251655168;mso-position-horizontal:center;mso-position-horizontal-relative:margin;mso-position-vertical:center;mso-position-vertical-relative:margin" o:allowincell="f" fillcolor="silver" stroked="f">
          <v:fill opacity=".5"/>
          <v:textpath style="font-family:&quot;Times New Roman&quot;;font-size:1pt" string="2007-2016"/>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03169" w14:textId="767CB49B" w:rsidR="00197878" w:rsidRDefault="00197878" w:rsidP="006619E1">
    <w:pPr>
      <w:pStyle w:val="Nagwek"/>
      <w:jc w:val="center"/>
    </w:pPr>
  </w:p>
  <w:p w14:paraId="67190EF0" w14:textId="60DFB342" w:rsidR="00197878" w:rsidRPr="00936A9C" w:rsidRDefault="004361E1" w:rsidP="00936A9C">
    <w:pPr>
      <w:pStyle w:val="Nagwek"/>
      <w:suppressAutoHyphens/>
      <w:spacing w:after="0" w:line="240" w:lineRule="auto"/>
      <w:ind w:left="432"/>
      <w:jc w:val="center"/>
      <w:rPr>
        <w:i/>
        <w:sz w:val="16"/>
        <w:szCs w:val="16"/>
      </w:rPr>
    </w:pPr>
    <w:r>
      <w:rPr>
        <w:noProof/>
      </w:rPr>
      <w:pict w14:anchorId="08CCFE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30076" o:spid="_x0000_s16388" type="#_x0000_t136" style="position:absolute;left:0;text-align:left;margin-left:0;margin-top:0;width:453.6pt;height:100.8pt;z-index:-251653120;mso-position-horizontal:center;mso-position-horizontal-relative:margin;mso-position-vertical:center;mso-position-vertical-relative:margin" o:allowincell="f" fillcolor="silver" stroked="f">
          <v:fill opacity=".5"/>
          <v:textpath style="font-family:&quot;Times New Roman&quot;;font-size:1pt" string="2007-2016"/>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7BFE7B" w14:textId="77C464E3" w:rsidR="00197878" w:rsidRDefault="00197878" w:rsidP="00906FD5">
    <w:pPr>
      <w:pStyle w:val="Nagwek"/>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8C021" w14:textId="24C75F88" w:rsidR="00197878" w:rsidRDefault="004361E1">
    <w:pPr>
      <w:pStyle w:val="Nagwek"/>
    </w:pPr>
    <w:r>
      <w:rPr>
        <w:noProof/>
      </w:rPr>
      <w:pict w14:anchorId="1CBD49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30081" o:spid="_x0000_s16393" type="#_x0000_t136" style="position:absolute;margin-left:0;margin-top:0;width:453.6pt;height:100.8pt;z-index:-251642880;mso-position-horizontal:center;mso-position-horizontal-relative:margin;mso-position-vertical:center;mso-position-vertical-relative:margin" o:allowincell="f" fillcolor="silver" stroked="f">
          <v:fill opacity=".5"/>
          <v:textpath style="font-family:&quot;Times New Roman&quot;;font-size:1pt" string="2007-2016"/>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110830" w14:textId="6B47116D" w:rsidR="00197878" w:rsidRDefault="004361E1">
    <w:pPr>
      <w:pStyle w:val="Nagwek"/>
    </w:pPr>
    <w:r>
      <w:rPr>
        <w:noProof/>
      </w:rPr>
      <w:pict w14:anchorId="1A0FCD6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30082" o:spid="_x0000_s16394" type="#_x0000_t136" style="position:absolute;margin-left:0;margin-top:0;width:453.6pt;height:100.8pt;z-index:-251640832;mso-position-horizontal:center;mso-position-horizontal-relative:margin;mso-position-vertical:center;mso-position-vertical-relative:margin" o:allowincell="f" fillcolor="silver" stroked="f">
          <v:fill opacity=".5"/>
          <v:textpath style="font-family:&quot;Times New Roman&quot;;font-size:1pt" string="2007-2016"/>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A56697" w14:textId="3ED8A174" w:rsidR="00197878" w:rsidRDefault="004361E1">
    <w:pPr>
      <w:pStyle w:val="Nagwek"/>
    </w:pPr>
    <w:r>
      <w:rPr>
        <w:noProof/>
      </w:rPr>
      <w:pict w14:anchorId="776A29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830080" o:spid="_x0000_s16392" type="#_x0000_t136" style="position:absolute;margin-left:0;margin-top:0;width:453.6pt;height:100.8pt;z-index:-251644928;mso-position-horizontal:center;mso-position-horizontal-relative:margin;mso-position-vertical:center;mso-position-vertical-relative:margin" o:allowincell="f" fillcolor="silver" stroked="f">
          <v:fill opacity=".5"/>
          <v:textpath style="font-family:&quot;Times New Roman&quot;;font-size:1pt" string="2007-2016"/>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1"/>
    <w:lvl w:ilvl="0">
      <w:start w:val="1"/>
      <w:numFmt w:val="decimal"/>
      <w:lvlText w:val="%1."/>
      <w:lvlJc w:val="left"/>
      <w:pPr>
        <w:tabs>
          <w:tab w:val="num" w:pos="720"/>
        </w:tabs>
        <w:ind w:left="720" w:hanging="360"/>
      </w:pPr>
      <w:rPr>
        <w:rFonts w:ascii="Times New Roman" w:eastAsia="Times New Roman" w:hAnsi="Times New Roman" w:cs="Times New Roman"/>
      </w:r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rPr>
        <w:rFonts w:ascii="Times New Roman" w:eastAsia="Times New Roman" w:hAnsi="Times New Roman" w:cs="Times New Roman"/>
      </w:rPr>
    </w:lvl>
  </w:abstractNum>
  <w:abstractNum w:abstractNumId="2">
    <w:nsid w:val="00000003"/>
    <w:multiLevelType w:val="multilevel"/>
    <w:tmpl w:val="C1C2AB10"/>
    <w:name w:val="WW8Num3"/>
    <w:lvl w:ilvl="0">
      <w:start w:val="1"/>
      <w:numFmt w:val="decimal"/>
      <w:lvlText w:val="%1."/>
      <w:lvlJc w:val="left"/>
      <w:pPr>
        <w:tabs>
          <w:tab w:val="num" w:pos="1080"/>
        </w:tabs>
        <w:ind w:left="1080" w:hanging="360"/>
      </w:pPr>
    </w:lvl>
    <w:lvl w:ilvl="1">
      <w:start w:val="10"/>
      <w:numFmt w:val="decimal"/>
      <w:isLgl/>
      <w:lvlText w:val="%1.%2"/>
      <w:lvlJc w:val="left"/>
      <w:pPr>
        <w:ind w:left="132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
    <w:nsid w:val="00000004"/>
    <w:multiLevelType w:val="singleLevel"/>
    <w:tmpl w:val="00000004"/>
    <w:name w:val="WW8Num4"/>
    <w:lvl w:ilvl="0">
      <w:start w:val="1"/>
      <w:numFmt w:val="bullet"/>
      <w:lvlText w:val=""/>
      <w:lvlJc w:val="left"/>
      <w:pPr>
        <w:tabs>
          <w:tab w:val="num" w:pos="720"/>
        </w:tabs>
        <w:ind w:left="720" w:hanging="360"/>
      </w:pPr>
      <w:rPr>
        <w:rFonts w:ascii="Symbol" w:hAnsi="Symbol"/>
        <w:color w:val="auto"/>
      </w:rPr>
    </w:lvl>
  </w:abstractNum>
  <w:abstractNum w:abstractNumId="4">
    <w:nsid w:val="00000005"/>
    <w:multiLevelType w:val="singleLevel"/>
    <w:tmpl w:val="00000005"/>
    <w:name w:val="WW8Num37"/>
    <w:lvl w:ilvl="0">
      <w:start w:val="1"/>
      <w:numFmt w:val="bullet"/>
      <w:lvlText w:val=""/>
      <w:lvlJc w:val="left"/>
      <w:pPr>
        <w:tabs>
          <w:tab w:val="num" w:pos="1080"/>
        </w:tabs>
        <w:ind w:left="1080" w:hanging="360"/>
      </w:pPr>
      <w:rPr>
        <w:rFonts w:ascii="Symbol" w:hAnsi="Symbol"/>
        <w:color w:val="auto"/>
      </w:rPr>
    </w:lvl>
  </w:abstractNum>
  <w:abstractNum w:abstractNumId="5">
    <w:nsid w:val="00000007"/>
    <w:multiLevelType w:val="singleLevel"/>
    <w:tmpl w:val="00000007"/>
    <w:name w:val="WW8Num48"/>
    <w:lvl w:ilvl="0">
      <w:start w:val="1"/>
      <w:numFmt w:val="bullet"/>
      <w:lvlText w:val=""/>
      <w:lvlJc w:val="left"/>
      <w:pPr>
        <w:tabs>
          <w:tab w:val="num" w:pos="720"/>
        </w:tabs>
        <w:ind w:left="720" w:hanging="360"/>
      </w:pPr>
      <w:rPr>
        <w:rFonts w:ascii="Symbol" w:hAnsi="Symbol"/>
        <w:color w:val="auto"/>
      </w:rPr>
    </w:lvl>
  </w:abstractNum>
  <w:abstractNum w:abstractNumId="6">
    <w:nsid w:val="00000009"/>
    <w:multiLevelType w:val="singleLevel"/>
    <w:tmpl w:val="00000009"/>
    <w:name w:val="WW8Num9"/>
    <w:lvl w:ilvl="0">
      <w:start w:val="1"/>
      <w:numFmt w:val="bullet"/>
      <w:lvlText w:val=""/>
      <w:lvlJc w:val="left"/>
      <w:pPr>
        <w:tabs>
          <w:tab w:val="num" w:pos="360"/>
        </w:tabs>
        <w:ind w:left="360" w:hanging="360"/>
      </w:pPr>
      <w:rPr>
        <w:rFonts w:ascii="Symbol" w:hAnsi="Symbol"/>
        <w:color w:val="auto"/>
      </w:rPr>
    </w:lvl>
  </w:abstractNum>
  <w:abstractNum w:abstractNumId="7">
    <w:nsid w:val="00020AAD"/>
    <w:multiLevelType w:val="hybridMultilevel"/>
    <w:tmpl w:val="F9B0937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07233EB"/>
    <w:multiLevelType w:val="multilevel"/>
    <w:tmpl w:val="CDFE01D8"/>
    <w:lvl w:ilvl="0">
      <w:start w:val="1"/>
      <w:numFmt w:val="decimal"/>
      <w:lvlText w:val="%1."/>
      <w:lvlJc w:val="left"/>
      <w:pPr>
        <w:ind w:left="720" w:hanging="360"/>
      </w:pPr>
    </w:lvl>
    <w:lvl w:ilvl="1">
      <w:start w:val="1"/>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01391465"/>
    <w:multiLevelType w:val="hybridMultilevel"/>
    <w:tmpl w:val="284AFE7C"/>
    <w:lvl w:ilvl="0" w:tplc="F7F4D4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1432884"/>
    <w:multiLevelType w:val="hybridMultilevel"/>
    <w:tmpl w:val="22B873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1B81F02"/>
    <w:multiLevelType w:val="hybridMultilevel"/>
    <w:tmpl w:val="89865646"/>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2C90911"/>
    <w:multiLevelType w:val="hybridMultilevel"/>
    <w:tmpl w:val="E9A4CEAC"/>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384119F"/>
    <w:multiLevelType w:val="multilevel"/>
    <w:tmpl w:val="7A743D68"/>
    <w:numStyleLink w:val="Styl13"/>
  </w:abstractNum>
  <w:abstractNum w:abstractNumId="14">
    <w:nsid w:val="04E33A1F"/>
    <w:multiLevelType w:val="hybridMultilevel"/>
    <w:tmpl w:val="DC28AEB2"/>
    <w:lvl w:ilvl="0" w:tplc="725004B8">
      <w:start w:val="1"/>
      <w:numFmt w:val="bullet"/>
      <w:lvlText w:val="•"/>
      <w:lvlJc w:val="left"/>
      <w:pPr>
        <w:tabs>
          <w:tab w:val="num" w:pos="720"/>
        </w:tabs>
        <w:ind w:left="720" w:hanging="360"/>
      </w:pPr>
      <w:rPr>
        <w:rFonts w:ascii="Times New Roman" w:hAnsi="Times New Roman" w:hint="default"/>
      </w:rPr>
    </w:lvl>
    <w:lvl w:ilvl="1" w:tplc="70BAFF96" w:tentative="1">
      <w:start w:val="1"/>
      <w:numFmt w:val="bullet"/>
      <w:lvlText w:val="•"/>
      <w:lvlJc w:val="left"/>
      <w:pPr>
        <w:tabs>
          <w:tab w:val="num" w:pos="1440"/>
        </w:tabs>
        <w:ind w:left="1440" w:hanging="360"/>
      </w:pPr>
      <w:rPr>
        <w:rFonts w:ascii="Times New Roman" w:hAnsi="Times New Roman" w:hint="default"/>
      </w:rPr>
    </w:lvl>
    <w:lvl w:ilvl="2" w:tplc="E6587842" w:tentative="1">
      <w:start w:val="1"/>
      <w:numFmt w:val="bullet"/>
      <w:lvlText w:val="•"/>
      <w:lvlJc w:val="left"/>
      <w:pPr>
        <w:tabs>
          <w:tab w:val="num" w:pos="2160"/>
        </w:tabs>
        <w:ind w:left="2160" w:hanging="360"/>
      </w:pPr>
      <w:rPr>
        <w:rFonts w:ascii="Times New Roman" w:hAnsi="Times New Roman" w:hint="default"/>
      </w:rPr>
    </w:lvl>
    <w:lvl w:ilvl="3" w:tplc="1EE0C666" w:tentative="1">
      <w:start w:val="1"/>
      <w:numFmt w:val="bullet"/>
      <w:lvlText w:val="•"/>
      <w:lvlJc w:val="left"/>
      <w:pPr>
        <w:tabs>
          <w:tab w:val="num" w:pos="2880"/>
        </w:tabs>
        <w:ind w:left="2880" w:hanging="360"/>
      </w:pPr>
      <w:rPr>
        <w:rFonts w:ascii="Times New Roman" w:hAnsi="Times New Roman" w:hint="default"/>
      </w:rPr>
    </w:lvl>
    <w:lvl w:ilvl="4" w:tplc="D40EC61A" w:tentative="1">
      <w:start w:val="1"/>
      <w:numFmt w:val="bullet"/>
      <w:lvlText w:val="•"/>
      <w:lvlJc w:val="left"/>
      <w:pPr>
        <w:tabs>
          <w:tab w:val="num" w:pos="3600"/>
        </w:tabs>
        <w:ind w:left="3600" w:hanging="360"/>
      </w:pPr>
      <w:rPr>
        <w:rFonts w:ascii="Times New Roman" w:hAnsi="Times New Roman" w:hint="default"/>
      </w:rPr>
    </w:lvl>
    <w:lvl w:ilvl="5" w:tplc="651A0718" w:tentative="1">
      <w:start w:val="1"/>
      <w:numFmt w:val="bullet"/>
      <w:lvlText w:val="•"/>
      <w:lvlJc w:val="left"/>
      <w:pPr>
        <w:tabs>
          <w:tab w:val="num" w:pos="4320"/>
        </w:tabs>
        <w:ind w:left="4320" w:hanging="360"/>
      </w:pPr>
      <w:rPr>
        <w:rFonts w:ascii="Times New Roman" w:hAnsi="Times New Roman" w:hint="default"/>
      </w:rPr>
    </w:lvl>
    <w:lvl w:ilvl="6" w:tplc="752EE98E" w:tentative="1">
      <w:start w:val="1"/>
      <w:numFmt w:val="bullet"/>
      <w:lvlText w:val="•"/>
      <w:lvlJc w:val="left"/>
      <w:pPr>
        <w:tabs>
          <w:tab w:val="num" w:pos="5040"/>
        </w:tabs>
        <w:ind w:left="5040" w:hanging="360"/>
      </w:pPr>
      <w:rPr>
        <w:rFonts w:ascii="Times New Roman" w:hAnsi="Times New Roman" w:hint="default"/>
      </w:rPr>
    </w:lvl>
    <w:lvl w:ilvl="7" w:tplc="7D161732" w:tentative="1">
      <w:start w:val="1"/>
      <w:numFmt w:val="bullet"/>
      <w:lvlText w:val="•"/>
      <w:lvlJc w:val="left"/>
      <w:pPr>
        <w:tabs>
          <w:tab w:val="num" w:pos="5760"/>
        </w:tabs>
        <w:ind w:left="5760" w:hanging="360"/>
      </w:pPr>
      <w:rPr>
        <w:rFonts w:ascii="Times New Roman" w:hAnsi="Times New Roman" w:hint="default"/>
      </w:rPr>
    </w:lvl>
    <w:lvl w:ilvl="8" w:tplc="3F8ADCF6" w:tentative="1">
      <w:start w:val="1"/>
      <w:numFmt w:val="bullet"/>
      <w:lvlText w:val="•"/>
      <w:lvlJc w:val="left"/>
      <w:pPr>
        <w:tabs>
          <w:tab w:val="num" w:pos="6480"/>
        </w:tabs>
        <w:ind w:left="6480" w:hanging="360"/>
      </w:pPr>
      <w:rPr>
        <w:rFonts w:ascii="Times New Roman" w:hAnsi="Times New Roman" w:hint="default"/>
      </w:rPr>
    </w:lvl>
  </w:abstractNum>
  <w:abstractNum w:abstractNumId="15">
    <w:nsid w:val="056702A4"/>
    <w:multiLevelType w:val="multilevel"/>
    <w:tmpl w:val="CFB27958"/>
    <w:numStyleLink w:val="Styl12"/>
  </w:abstractNum>
  <w:abstractNum w:abstractNumId="16">
    <w:nsid w:val="06CB5AE9"/>
    <w:multiLevelType w:val="hybridMultilevel"/>
    <w:tmpl w:val="B242331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6FD3690"/>
    <w:multiLevelType w:val="multilevel"/>
    <w:tmpl w:val="1586FC06"/>
    <w:styleLink w:val="Styl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1"/>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071153D5"/>
    <w:multiLevelType w:val="hybridMultilevel"/>
    <w:tmpl w:val="D160E2B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73D58AE"/>
    <w:multiLevelType w:val="hybridMultilevel"/>
    <w:tmpl w:val="BF1C3A6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7C01365"/>
    <w:multiLevelType w:val="hybridMultilevel"/>
    <w:tmpl w:val="DA3A64A6"/>
    <w:lvl w:ilvl="0" w:tplc="98462458">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nsid w:val="08BC43CA"/>
    <w:multiLevelType w:val="hybridMultilevel"/>
    <w:tmpl w:val="9AC4C036"/>
    <w:lvl w:ilvl="0" w:tplc="6010D12C">
      <w:start w:val="1"/>
      <w:numFmt w:val="bullet"/>
      <w:lvlText w:val=""/>
      <w:lvlJc w:val="left"/>
      <w:pPr>
        <w:ind w:left="1440" w:hanging="360"/>
      </w:pPr>
      <w:rPr>
        <w:rFonts w:ascii="Symbol" w:hAnsi="Symbol" w:hint="default"/>
        <w:b/>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nsid w:val="099C5386"/>
    <w:multiLevelType w:val="hybridMultilevel"/>
    <w:tmpl w:val="2624BA50"/>
    <w:lvl w:ilvl="0" w:tplc="8F8C701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0AE2260E"/>
    <w:multiLevelType w:val="hybridMultilevel"/>
    <w:tmpl w:val="266C6F8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0C195F05"/>
    <w:multiLevelType w:val="hybridMultilevel"/>
    <w:tmpl w:val="131C5B1C"/>
    <w:lvl w:ilvl="0" w:tplc="04150001">
      <w:start w:val="1"/>
      <w:numFmt w:val="bullet"/>
      <w:lvlText w:val=""/>
      <w:lvlJc w:val="left"/>
      <w:pPr>
        <w:tabs>
          <w:tab w:val="num" w:pos="720"/>
        </w:tabs>
        <w:ind w:left="720" w:hanging="360"/>
      </w:pPr>
      <w:rPr>
        <w:rFonts w:ascii="Symbol" w:hAnsi="Symbol" w:hint="default"/>
        <w:color w:val="auto"/>
      </w:rPr>
    </w:lvl>
    <w:lvl w:ilvl="1" w:tplc="DB945780">
      <w:start w:val="1"/>
      <w:numFmt w:val="bullet"/>
      <w:pStyle w:val="Listapunktowana"/>
      <w:lvlText w:val=""/>
      <w:lvlJc w:val="left"/>
      <w:pPr>
        <w:tabs>
          <w:tab w:val="num" w:pos="1440"/>
        </w:tabs>
        <w:ind w:left="1440" w:hanging="360"/>
      </w:pPr>
      <w:rPr>
        <w:rFonts w:ascii="Symbol" w:hAnsi="Symbol" w:hint="default"/>
        <w:color w:val="auto"/>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25">
    <w:nsid w:val="0C2E5F6D"/>
    <w:multiLevelType w:val="hybridMultilevel"/>
    <w:tmpl w:val="4EDA74A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0C6E12C8"/>
    <w:multiLevelType w:val="hybridMultilevel"/>
    <w:tmpl w:val="49F6D33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0D3C71EB"/>
    <w:multiLevelType w:val="hybridMultilevel"/>
    <w:tmpl w:val="10CEFF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DEE195E"/>
    <w:multiLevelType w:val="hybridMultilevel"/>
    <w:tmpl w:val="A1EEC9C6"/>
    <w:name w:val="WW8Num482"/>
    <w:lvl w:ilvl="0" w:tplc="54C6CA9E">
      <w:start w:val="1"/>
      <w:numFmt w:val="bullet"/>
      <w:lvlText w:val=""/>
      <w:lvlJc w:val="left"/>
      <w:pPr>
        <w:tabs>
          <w:tab w:val="num" w:pos="720"/>
        </w:tabs>
        <w:ind w:left="720" w:hanging="360"/>
      </w:pPr>
      <w:rPr>
        <w:rFonts w:ascii="Symbol" w:hAnsi="Symbol" w:hint="default"/>
        <w:color w:val="auto"/>
        <w:u w:color="FFFFFF"/>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
    <w:nsid w:val="0E5D49AE"/>
    <w:multiLevelType w:val="hybridMultilevel"/>
    <w:tmpl w:val="0096EB16"/>
    <w:lvl w:ilvl="0" w:tplc="2B549EB4">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109262AC"/>
    <w:multiLevelType w:val="hybridMultilevel"/>
    <w:tmpl w:val="49AA5D34"/>
    <w:lvl w:ilvl="0" w:tplc="11AA1052">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31">
    <w:nsid w:val="117D10FE"/>
    <w:multiLevelType w:val="multilevel"/>
    <w:tmpl w:val="074A1F42"/>
    <w:lvl w:ilvl="0">
      <w:start w:val="2"/>
      <w:numFmt w:val="none"/>
      <w:lvlText w:val="2.1.6"/>
      <w:lvlJc w:val="left"/>
      <w:pPr>
        <w:ind w:left="2700" w:hanging="360"/>
      </w:pPr>
      <w:rPr>
        <w:rFonts w:hint="default"/>
      </w:rPr>
    </w:lvl>
    <w:lvl w:ilvl="1">
      <w:start w:val="1"/>
      <w:numFmt w:val="none"/>
      <w:pStyle w:val="Styl9"/>
      <w:lvlText w:val="2.1.6.1"/>
      <w:lvlJc w:val="left"/>
      <w:pPr>
        <w:ind w:left="3420" w:hanging="360"/>
      </w:pPr>
      <w:rPr>
        <w:rFonts w:hint="default"/>
      </w:rPr>
    </w:lvl>
    <w:lvl w:ilvl="2">
      <w:start w:val="1"/>
      <w:numFmt w:val="none"/>
      <w:lvlText w:val="2.1.6.2"/>
      <w:lvlJc w:val="right"/>
      <w:pPr>
        <w:ind w:left="4140" w:hanging="180"/>
      </w:pPr>
      <w:rPr>
        <w:rFonts w:hint="default"/>
      </w:rPr>
    </w:lvl>
    <w:lvl w:ilvl="3">
      <w:start w:val="1"/>
      <w:numFmt w:val="none"/>
      <w:lvlText w:val="2.1.6.3"/>
      <w:lvlJc w:val="left"/>
      <w:pPr>
        <w:ind w:left="4860" w:hanging="360"/>
      </w:pPr>
      <w:rPr>
        <w:rFonts w:hint="default"/>
      </w:rPr>
    </w:lvl>
    <w:lvl w:ilvl="4">
      <w:start w:val="1"/>
      <w:numFmt w:val="none"/>
      <w:lvlText w:val="2.1.6.4"/>
      <w:lvlJc w:val="left"/>
      <w:pPr>
        <w:ind w:left="5580" w:hanging="360"/>
      </w:pPr>
      <w:rPr>
        <w:rFonts w:hint="default"/>
      </w:rPr>
    </w:lvl>
    <w:lvl w:ilvl="5">
      <w:start w:val="1"/>
      <w:numFmt w:val="none"/>
      <w:lvlText w:val="2.1.6.5"/>
      <w:lvlJc w:val="right"/>
      <w:pPr>
        <w:ind w:left="6300" w:hanging="180"/>
      </w:pPr>
      <w:rPr>
        <w:rFonts w:hint="default"/>
      </w:rPr>
    </w:lvl>
    <w:lvl w:ilvl="6">
      <w:start w:val="1"/>
      <w:numFmt w:val="none"/>
      <w:lvlText w:val="2.1.6.6"/>
      <w:lvlJc w:val="left"/>
      <w:pPr>
        <w:ind w:left="7020" w:hanging="360"/>
      </w:pPr>
      <w:rPr>
        <w:rFonts w:hint="default"/>
      </w:rPr>
    </w:lvl>
    <w:lvl w:ilvl="7">
      <w:start w:val="1"/>
      <w:numFmt w:val="none"/>
      <w:lvlText w:val="2.1.6.7"/>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32">
    <w:nsid w:val="12353416"/>
    <w:multiLevelType w:val="multilevel"/>
    <w:tmpl w:val="D8F247F8"/>
    <w:lvl w:ilvl="0">
      <w:start w:val="2"/>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nsid w:val="146102A4"/>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nsid w:val="14D846E9"/>
    <w:multiLevelType w:val="hybridMultilevel"/>
    <w:tmpl w:val="1974EE2A"/>
    <w:lvl w:ilvl="0" w:tplc="6010D12C">
      <w:start w:val="1"/>
      <w:numFmt w:val="bullet"/>
      <w:lvlText w:val=""/>
      <w:lvlJc w:val="left"/>
      <w:pPr>
        <w:ind w:left="720" w:hanging="360"/>
      </w:pPr>
      <w:rPr>
        <w:rFonts w:ascii="Symbol" w:hAnsi="Symbol"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15231C65"/>
    <w:multiLevelType w:val="hybridMultilevel"/>
    <w:tmpl w:val="F92222E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6C4009C"/>
    <w:multiLevelType w:val="multilevel"/>
    <w:tmpl w:val="0415001D"/>
    <w:styleLink w:val="Sty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nsid w:val="176F3BA5"/>
    <w:multiLevelType w:val="hybridMultilevel"/>
    <w:tmpl w:val="F028BB86"/>
    <w:lvl w:ilvl="0" w:tplc="52C0144E">
      <w:start w:val="1"/>
      <w:numFmt w:val="bullet"/>
      <w:lvlText w:val="-"/>
      <w:lvlJc w:val="left"/>
      <w:pPr>
        <w:ind w:left="720" w:hanging="360"/>
      </w:pPr>
      <w:rPr>
        <w:rFonts w:ascii="Tahoma" w:hAnsi="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78503F5"/>
    <w:multiLevelType w:val="hybridMultilevel"/>
    <w:tmpl w:val="DFB8569C"/>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7C76CB2"/>
    <w:multiLevelType w:val="multilevel"/>
    <w:tmpl w:val="7A743D68"/>
    <w:styleLink w:val="Styl13"/>
    <w:lvl w:ilvl="0">
      <w:start w:val="3"/>
      <w:numFmt w:val="decimal"/>
      <w:lvlText w:val="%1"/>
      <w:lvlJc w:val="left"/>
      <w:pPr>
        <w:ind w:left="360" w:hanging="360"/>
      </w:pPr>
      <w:rPr>
        <w:rFonts w:hint="default"/>
      </w:rPr>
    </w:lvl>
    <w:lvl w:ilvl="1">
      <w:start w:val="1"/>
      <w:numFmt w:val="decimal"/>
      <w:lvlText w:val="%2.1"/>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19242FE3"/>
    <w:multiLevelType w:val="hybridMultilevel"/>
    <w:tmpl w:val="83806D7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9CE3A95"/>
    <w:multiLevelType w:val="hybridMultilevel"/>
    <w:tmpl w:val="6526B81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1A3B0100"/>
    <w:multiLevelType w:val="hybridMultilevel"/>
    <w:tmpl w:val="D4A2E7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DF6F920">
      <w:start w:val="1"/>
      <w:numFmt w:val="decimal"/>
      <w:lvlText w:val="%3."/>
      <w:lvlJc w:val="left"/>
      <w:pPr>
        <w:ind w:left="2160"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1A8213DD"/>
    <w:multiLevelType w:val="hybridMultilevel"/>
    <w:tmpl w:val="7520C64A"/>
    <w:lvl w:ilvl="0" w:tplc="0415000B">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4">
    <w:nsid w:val="1C120EC9"/>
    <w:multiLevelType w:val="hybridMultilevel"/>
    <w:tmpl w:val="C46C19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C3F4456"/>
    <w:multiLevelType w:val="hybridMultilevel"/>
    <w:tmpl w:val="06A41B9C"/>
    <w:lvl w:ilvl="0" w:tplc="9C54C7DE">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nsid w:val="1F95451E"/>
    <w:multiLevelType w:val="hybridMultilevel"/>
    <w:tmpl w:val="A7C0F53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1FE84635"/>
    <w:multiLevelType w:val="hybridMultilevel"/>
    <w:tmpl w:val="CE24CF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223F769D"/>
    <w:multiLevelType w:val="hybridMultilevel"/>
    <w:tmpl w:val="808613C6"/>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29307B1"/>
    <w:multiLevelType w:val="hybridMultilevel"/>
    <w:tmpl w:val="9D380D8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22B95381"/>
    <w:multiLevelType w:val="hybridMultilevel"/>
    <w:tmpl w:val="A2BCB87C"/>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2EC7552"/>
    <w:multiLevelType w:val="hybridMultilevel"/>
    <w:tmpl w:val="588C5C5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2FB231A"/>
    <w:multiLevelType w:val="hybridMultilevel"/>
    <w:tmpl w:val="9FE8F05E"/>
    <w:lvl w:ilvl="0" w:tplc="0415000F">
      <w:start w:val="1"/>
      <w:numFmt w:val="decimal"/>
      <w:lvlText w:val="%1."/>
      <w:lvlJc w:val="left"/>
      <w:pPr>
        <w:ind w:left="36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3">
    <w:nsid w:val="231B0E1A"/>
    <w:multiLevelType w:val="hybridMultilevel"/>
    <w:tmpl w:val="63DC4F50"/>
    <w:lvl w:ilvl="0" w:tplc="2904CB48">
      <w:start w:val="1"/>
      <w:numFmt w:val="bullet"/>
      <w:lvlText w:val="•"/>
      <w:lvlJc w:val="left"/>
      <w:pPr>
        <w:tabs>
          <w:tab w:val="num" w:pos="720"/>
        </w:tabs>
        <w:ind w:left="720" w:hanging="360"/>
      </w:pPr>
      <w:rPr>
        <w:rFonts w:ascii="Times New Roman" w:hAnsi="Times New Roman" w:hint="default"/>
      </w:rPr>
    </w:lvl>
    <w:lvl w:ilvl="1" w:tplc="297AB432" w:tentative="1">
      <w:start w:val="1"/>
      <w:numFmt w:val="bullet"/>
      <w:lvlText w:val="•"/>
      <w:lvlJc w:val="left"/>
      <w:pPr>
        <w:tabs>
          <w:tab w:val="num" w:pos="1440"/>
        </w:tabs>
        <w:ind w:left="1440" w:hanging="360"/>
      </w:pPr>
      <w:rPr>
        <w:rFonts w:ascii="Times New Roman" w:hAnsi="Times New Roman" w:hint="default"/>
      </w:rPr>
    </w:lvl>
    <w:lvl w:ilvl="2" w:tplc="8E480114" w:tentative="1">
      <w:start w:val="1"/>
      <w:numFmt w:val="bullet"/>
      <w:lvlText w:val="•"/>
      <w:lvlJc w:val="left"/>
      <w:pPr>
        <w:tabs>
          <w:tab w:val="num" w:pos="2160"/>
        </w:tabs>
        <w:ind w:left="2160" w:hanging="360"/>
      </w:pPr>
      <w:rPr>
        <w:rFonts w:ascii="Times New Roman" w:hAnsi="Times New Roman" w:hint="default"/>
      </w:rPr>
    </w:lvl>
    <w:lvl w:ilvl="3" w:tplc="B4DABC70" w:tentative="1">
      <w:start w:val="1"/>
      <w:numFmt w:val="bullet"/>
      <w:lvlText w:val="•"/>
      <w:lvlJc w:val="left"/>
      <w:pPr>
        <w:tabs>
          <w:tab w:val="num" w:pos="2880"/>
        </w:tabs>
        <w:ind w:left="2880" w:hanging="360"/>
      </w:pPr>
      <w:rPr>
        <w:rFonts w:ascii="Times New Roman" w:hAnsi="Times New Roman" w:hint="default"/>
      </w:rPr>
    </w:lvl>
    <w:lvl w:ilvl="4" w:tplc="ABC89E16" w:tentative="1">
      <w:start w:val="1"/>
      <w:numFmt w:val="bullet"/>
      <w:lvlText w:val="•"/>
      <w:lvlJc w:val="left"/>
      <w:pPr>
        <w:tabs>
          <w:tab w:val="num" w:pos="3600"/>
        </w:tabs>
        <w:ind w:left="3600" w:hanging="360"/>
      </w:pPr>
      <w:rPr>
        <w:rFonts w:ascii="Times New Roman" w:hAnsi="Times New Roman" w:hint="default"/>
      </w:rPr>
    </w:lvl>
    <w:lvl w:ilvl="5" w:tplc="3A7AEC88" w:tentative="1">
      <w:start w:val="1"/>
      <w:numFmt w:val="bullet"/>
      <w:lvlText w:val="•"/>
      <w:lvlJc w:val="left"/>
      <w:pPr>
        <w:tabs>
          <w:tab w:val="num" w:pos="4320"/>
        </w:tabs>
        <w:ind w:left="4320" w:hanging="360"/>
      </w:pPr>
      <w:rPr>
        <w:rFonts w:ascii="Times New Roman" w:hAnsi="Times New Roman" w:hint="default"/>
      </w:rPr>
    </w:lvl>
    <w:lvl w:ilvl="6" w:tplc="AD46D7FE" w:tentative="1">
      <w:start w:val="1"/>
      <w:numFmt w:val="bullet"/>
      <w:lvlText w:val="•"/>
      <w:lvlJc w:val="left"/>
      <w:pPr>
        <w:tabs>
          <w:tab w:val="num" w:pos="5040"/>
        </w:tabs>
        <w:ind w:left="5040" w:hanging="360"/>
      </w:pPr>
      <w:rPr>
        <w:rFonts w:ascii="Times New Roman" w:hAnsi="Times New Roman" w:hint="default"/>
      </w:rPr>
    </w:lvl>
    <w:lvl w:ilvl="7" w:tplc="BFAE2742" w:tentative="1">
      <w:start w:val="1"/>
      <w:numFmt w:val="bullet"/>
      <w:lvlText w:val="•"/>
      <w:lvlJc w:val="left"/>
      <w:pPr>
        <w:tabs>
          <w:tab w:val="num" w:pos="5760"/>
        </w:tabs>
        <w:ind w:left="5760" w:hanging="360"/>
      </w:pPr>
      <w:rPr>
        <w:rFonts w:ascii="Times New Roman" w:hAnsi="Times New Roman" w:hint="default"/>
      </w:rPr>
    </w:lvl>
    <w:lvl w:ilvl="8" w:tplc="6A26A68E" w:tentative="1">
      <w:start w:val="1"/>
      <w:numFmt w:val="bullet"/>
      <w:lvlText w:val="•"/>
      <w:lvlJc w:val="left"/>
      <w:pPr>
        <w:tabs>
          <w:tab w:val="num" w:pos="6480"/>
        </w:tabs>
        <w:ind w:left="6480" w:hanging="360"/>
      </w:pPr>
      <w:rPr>
        <w:rFonts w:ascii="Times New Roman" w:hAnsi="Times New Roman" w:hint="default"/>
      </w:rPr>
    </w:lvl>
  </w:abstractNum>
  <w:abstractNum w:abstractNumId="54">
    <w:nsid w:val="23DA0C70"/>
    <w:multiLevelType w:val="multilevel"/>
    <w:tmpl w:val="0415001D"/>
    <w:styleLink w:val="Styl14"/>
    <w:lvl w:ilvl="0">
      <w:start w:val="2"/>
      <w:numFmt w:val="decimal"/>
      <w:lvlText w:val="%1)"/>
      <w:lvlJc w:val="left"/>
      <w:pPr>
        <w:ind w:left="360" w:hanging="360"/>
      </w:pPr>
    </w:lvl>
    <w:lvl w:ilvl="1">
      <w:start w:val="2"/>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nsid w:val="24877F25"/>
    <w:multiLevelType w:val="hybridMultilevel"/>
    <w:tmpl w:val="089E016C"/>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6">
    <w:nsid w:val="25EE5707"/>
    <w:multiLevelType w:val="multilevel"/>
    <w:tmpl w:val="0415001D"/>
    <w:styleLink w:val="Styl2"/>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nsid w:val="263B68EA"/>
    <w:multiLevelType w:val="hybridMultilevel"/>
    <w:tmpl w:val="D010A74C"/>
    <w:lvl w:ilvl="0" w:tplc="0415000B">
      <w:start w:val="1"/>
      <w:numFmt w:val="bullet"/>
      <w:lvlText w:val=""/>
      <w:lvlJc w:val="left"/>
      <w:pPr>
        <w:ind w:left="720" w:hanging="360"/>
      </w:pPr>
      <w:rPr>
        <w:rFonts w:ascii="Wingdings" w:hAnsi="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8EA662D"/>
    <w:multiLevelType w:val="hybridMultilevel"/>
    <w:tmpl w:val="0E3C99B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9450658"/>
    <w:multiLevelType w:val="hybridMultilevel"/>
    <w:tmpl w:val="FDDA2F14"/>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29B0779B"/>
    <w:multiLevelType w:val="hybridMultilevel"/>
    <w:tmpl w:val="8396A9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29F441D3"/>
    <w:multiLevelType w:val="hybridMultilevel"/>
    <w:tmpl w:val="F4D893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2A0A0E53"/>
    <w:multiLevelType w:val="hybridMultilevel"/>
    <w:tmpl w:val="79D089E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2BDA08B9"/>
    <w:multiLevelType w:val="hybridMultilevel"/>
    <w:tmpl w:val="993AE3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2C015073"/>
    <w:multiLevelType w:val="hybridMultilevel"/>
    <w:tmpl w:val="E3245AA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302C36AB"/>
    <w:multiLevelType w:val="hybridMultilevel"/>
    <w:tmpl w:val="FBBE59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31013F0C"/>
    <w:multiLevelType w:val="hybridMultilevel"/>
    <w:tmpl w:val="DA08F45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325A52ED"/>
    <w:multiLevelType w:val="hybridMultilevel"/>
    <w:tmpl w:val="2536EA76"/>
    <w:lvl w:ilvl="0" w:tplc="11AA1052">
      <w:start w:val="1"/>
      <w:numFmt w:val="bullet"/>
      <w:lvlText w:val=""/>
      <w:lvlJc w:val="left"/>
      <w:pPr>
        <w:ind w:left="1500" w:hanging="360"/>
      </w:pPr>
      <w:rPr>
        <w:rFonts w:ascii="Symbol" w:hAnsi="Symbol" w:hint="default"/>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68">
    <w:nsid w:val="343469B0"/>
    <w:multiLevelType w:val="multilevel"/>
    <w:tmpl w:val="0415001D"/>
    <w:styleLink w:val="Styl3"/>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nsid w:val="34931C52"/>
    <w:multiLevelType w:val="hybridMultilevel"/>
    <w:tmpl w:val="3B5CC7C4"/>
    <w:lvl w:ilvl="0" w:tplc="04150005">
      <w:start w:val="1"/>
      <w:numFmt w:val="ordinal"/>
      <w:pStyle w:val="ATytutabeli"/>
      <w:lvlText w:val="Tabela %1"/>
      <w:lvlJc w:val="left"/>
      <w:pPr>
        <w:tabs>
          <w:tab w:val="num" w:pos="1314"/>
        </w:tabs>
        <w:ind w:left="1314" w:hanging="1134"/>
      </w:pPr>
      <w:rPr>
        <w:rFonts w:ascii="Tahoma" w:hAnsi="Tahoma" w:cs="Tahoma" w:hint="default"/>
        <w:sz w:val="20"/>
        <w:szCs w:val="18"/>
      </w:rPr>
    </w:lvl>
    <w:lvl w:ilvl="1" w:tplc="04150003" w:tentative="1">
      <w:start w:val="1"/>
      <w:numFmt w:val="lowerLetter"/>
      <w:lvlText w:val="%2."/>
      <w:lvlJc w:val="left"/>
      <w:pPr>
        <w:tabs>
          <w:tab w:val="num" w:pos="1620"/>
        </w:tabs>
        <w:ind w:left="1620" w:hanging="360"/>
      </w:pPr>
    </w:lvl>
    <w:lvl w:ilvl="2" w:tplc="04150005" w:tentative="1">
      <w:start w:val="1"/>
      <w:numFmt w:val="lowerRoman"/>
      <w:lvlText w:val="%3."/>
      <w:lvlJc w:val="right"/>
      <w:pPr>
        <w:tabs>
          <w:tab w:val="num" w:pos="2340"/>
        </w:tabs>
        <w:ind w:left="2340" w:hanging="180"/>
      </w:pPr>
    </w:lvl>
    <w:lvl w:ilvl="3" w:tplc="04150001" w:tentative="1">
      <w:start w:val="1"/>
      <w:numFmt w:val="decimal"/>
      <w:lvlText w:val="%4."/>
      <w:lvlJc w:val="left"/>
      <w:pPr>
        <w:tabs>
          <w:tab w:val="num" w:pos="3060"/>
        </w:tabs>
        <w:ind w:left="3060" w:hanging="360"/>
      </w:pPr>
    </w:lvl>
    <w:lvl w:ilvl="4" w:tplc="04150003" w:tentative="1">
      <w:start w:val="1"/>
      <w:numFmt w:val="lowerLetter"/>
      <w:lvlText w:val="%5."/>
      <w:lvlJc w:val="left"/>
      <w:pPr>
        <w:tabs>
          <w:tab w:val="num" w:pos="3780"/>
        </w:tabs>
        <w:ind w:left="3780" w:hanging="360"/>
      </w:pPr>
    </w:lvl>
    <w:lvl w:ilvl="5" w:tplc="04150005" w:tentative="1">
      <w:start w:val="1"/>
      <w:numFmt w:val="lowerRoman"/>
      <w:lvlText w:val="%6."/>
      <w:lvlJc w:val="right"/>
      <w:pPr>
        <w:tabs>
          <w:tab w:val="num" w:pos="4500"/>
        </w:tabs>
        <w:ind w:left="4500" w:hanging="180"/>
      </w:pPr>
    </w:lvl>
    <w:lvl w:ilvl="6" w:tplc="04150001" w:tentative="1">
      <w:start w:val="1"/>
      <w:numFmt w:val="decimal"/>
      <w:lvlText w:val="%7."/>
      <w:lvlJc w:val="left"/>
      <w:pPr>
        <w:tabs>
          <w:tab w:val="num" w:pos="5220"/>
        </w:tabs>
        <w:ind w:left="5220" w:hanging="360"/>
      </w:pPr>
    </w:lvl>
    <w:lvl w:ilvl="7" w:tplc="04150003" w:tentative="1">
      <w:start w:val="1"/>
      <w:numFmt w:val="lowerLetter"/>
      <w:lvlText w:val="%8."/>
      <w:lvlJc w:val="left"/>
      <w:pPr>
        <w:tabs>
          <w:tab w:val="num" w:pos="5940"/>
        </w:tabs>
        <w:ind w:left="5940" w:hanging="360"/>
      </w:pPr>
    </w:lvl>
    <w:lvl w:ilvl="8" w:tplc="04150005" w:tentative="1">
      <w:start w:val="1"/>
      <w:numFmt w:val="lowerRoman"/>
      <w:lvlText w:val="%9."/>
      <w:lvlJc w:val="right"/>
      <w:pPr>
        <w:tabs>
          <w:tab w:val="num" w:pos="6660"/>
        </w:tabs>
        <w:ind w:left="6660" w:hanging="180"/>
      </w:pPr>
    </w:lvl>
  </w:abstractNum>
  <w:abstractNum w:abstractNumId="70">
    <w:nsid w:val="35792D4A"/>
    <w:multiLevelType w:val="multilevel"/>
    <w:tmpl w:val="848EACCC"/>
    <w:lvl w:ilvl="0">
      <w:start w:val="2"/>
      <w:numFmt w:val="none"/>
      <w:lvlText w:val="2.2"/>
      <w:lvlJc w:val="left"/>
      <w:pPr>
        <w:ind w:left="644" w:hanging="360"/>
      </w:pPr>
      <w:rPr>
        <w:rFonts w:hint="default"/>
      </w:rPr>
    </w:lvl>
    <w:lvl w:ilvl="1">
      <w:start w:val="2"/>
      <w:numFmt w:val="none"/>
      <w:lvlText w:val="2.2.1"/>
      <w:lvlJc w:val="left"/>
      <w:pPr>
        <w:ind w:left="1004" w:hanging="360"/>
      </w:pPr>
      <w:rPr>
        <w:rFonts w:hint="default"/>
      </w:rPr>
    </w:lvl>
    <w:lvl w:ilvl="2">
      <w:start w:val="1"/>
      <w:numFmt w:val="none"/>
      <w:lvlText w:val="2.2.2"/>
      <w:lvlJc w:val="left"/>
      <w:pPr>
        <w:ind w:left="1364" w:hanging="360"/>
      </w:pPr>
      <w:rPr>
        <w:rFonts w:hint="default"/>
      </w:rPr>
    </w:lvl>
    <w:lvl w:ilvl="3">
      <w:start w:val="1"/>
      <w:numFmt w:val="none"/>
      <w:lvlText w:val="2.3"/>
      <w:lvlJc w:val="left"/>
      <w:pPr>
        <w:ind w:left="1724" w:hanging="360"/>
      </w:pPr>
      <w:rPr>
        <w:rFonts w:hint="default"/>
      </w:rPr>
    </w:lvl>
    <w:lvl w:ilvl="4">
      <w:start w:val="1"/>
      <w:numFmt w:val="none"/>
      <w:lvlText w:val="2.4"/>
      <w:lvlJc w:val="left"/>
      <w:pPr>
        <w:ind w:left="2084" w:hanging="360"/>
      </w:pPr>
      <w:rPr>
        <w:rFonts w:hint="default"/>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71">
    <w:nsid w:val="36A4741D"/>
    <w:multiLevelType w:val="hybridMultilevel"/>
    <w:tmpl w:val="FF9E1124"/>
    <w:lvl w:ilvl="0" w:tplc="0415000B">
      <w:start w:val="1"/>
      <w:numFmt w:val="bullet"/>
      <w:lvlText w:val=""/>
      <w:lvlJc w:val="left"/>
      <w:pPr>
        <w:ind w:left="1080" w:hanging="360"/>
      </w:pPr>
      <w:rPr>
        <w:rFonts w:ascii="Wingdings" w:hAnsi="Wingdings" w:hint="default"/>
      </w:rPr>
    </w:lvl>
    <w:lvl w:ilvl="1" w:tplc="04150019">
      <w:start w:val="1"/>
      <w:numFmt w:val="lowerLetter"/>
      <w:lvlText w:val="%2."/>
      <w:lvlJc w:val="left"/>
      <w:pPr>
        <w:ind w:left="1800" w:hanging="360"/>
      </w:pPr>
    </w:lvl>
    <w:lvl w:ilvl="2" w:tplc="2848C0D0">
      <w:start w:val="1"/>
      <w:numFmt w:val="decimal"/>
      <w:lvlText w:val="%3."/>
      <w:lvlJc w:val="left"/>
      <w:pPr>
        <w:ind w:left="2700" w:hanging="360"/>
      </w:pPr>
      <w:rPr>
        <w:rFonts w:hint="default"/>
      </w:rPr>
    </w:lvl>
    <w:lvl w:ilvl="3" w:tplc="14DEC858">
      <w:start w:val="1"/>
      <w:numFmt w:val="decimal"/>
      <w:lvlText w:val="%4)"/>
      <w:lvlJc w:val="left"/>
      <w:pPr>
        <w:ind w:left="3675" w:hanging="795"/>
      </w:pPr>
      <w:rPr>
        <w:rFonts w:hint="default"/>
      </w:r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2">
    <w:nsid w:val="378C3E01"/>
    <w:multiLevelType w:val="hybridMultilevel"/>
    <w:tmpl w:val="D826A8AA"/>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8875CB0"/>
    <w:multiLevelType w:val="hybridMultilevel"/>
    <w:tmpl w:val="32705D0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4">
    <w:nsid w:val="3C3201D3"/>
    <w:multiLevelType w:val="hybridMultilevel"/>
    <w:tmpl w:val="5BC4F16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3E237575"/>
    <w:multiLevelType w:val="hybridMultilevel"/>
    <w:tmpl w:val="3F9A5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3E98180B"/>
    <w:multiLevelType w:val="hybridMultilevel"/>
    <w:tmpl w:val="D3166A5A"/>
    <w:lvl w:ilvl="0" w:tplc="0415000F">
      <w:start w:val="1"/>
      <w:numFmt w:val="decimal"/>
      <w:lvlText w:val="%1."/>
      <w:lvlJc w:val="left"/>
      <w:pPr>
        <w:ind w:left="720" w:hanging="360"/>
      </w:pPr>
      <w:rPr>
        <w:rFonts w:hint="default"/>
      </w:rPr>
    </w:lvl>
    <w:lvl w:ilvl="1" w:tplc="0415000F">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F0F62C6"/>
    <w:multiLevelType w:val="hybridMultilevel"/>
    <w:tmpl w:val="2EA4A59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8">
    <w:nsid w:val="40F25108"/>
    <w:multiLevelType w:val="hybridMultilevel"/>
    <w:tmpl w:val="CF6E6578"/>
    <w:lvl w:ilvl="0" w:tplc="120A6DC6">
      <w:start w:val="1"/>
      <w:numFmt w:val="bullet"/>
      <w:lvlText w:val=""/>
      <w:lvlJc w:val="left"/>
      <w:pPr>
        <w:ind w:left="567" w:hanging="207"/>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9">
    <w:nsid w:val="418A0B35"/>
    <w:multiLevelType w:val="hybridMultilevel"/>
    <w:tmpl w:val="52FAD87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43717D6B"/>
    <w:multiLevelType w:val="multilevel"/>
    <w:tmpl w:val="CFB27958"/>
    <w:styleLink w:val="Styl1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nsid w:val="47176FED"/>
    <w:multiLevelType w:val="hybridMultilevel"/>
    <w:tmpl w:val="8D8A743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2">
    <w:nsid w:val="485E7EA7"/>
    <w:multiLevelType w:val="hybridMultilevel"/>
    <w:tmpl w:val="3E9C3166"/>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4B2C0DB6"/>
    <w:multiLevelType w:val="multilevel"/>
    <w:tmpl w:val="CC7411DA"/>
    <w:lvl w:ilvl="0">
      <w:start w:val="1"/>
      <w:numFmt w:val="decimal"/>
      <w:lvlText w:val="%1."/>
      <w:lvlJc w:val="left"/>
      <w:pPr>
        <w:ind w:left="720" w:hanging="360"/>
      </w:pPr>
      <w:rPr>
        <w:rFonts w:hint="default"/>
      </w:rPr>
    </w:lvl>
    <w:lvl w:ilvl="1">
      <w:start w:val="1"/>
      <w:numFmt w:val="decimal"/>
      <w:pStyle w:val="Listapunktowana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4">
    <w:nsid w:val="4C3300EF"/>
    <w:multiLevelType w:val="hybridMultilevel"/>
    <w:tmpl w:val="034E0C00"/>
    <w:lvl w:ilvl="0" w:tplc="11AA10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C6D435E"/>
    <w:multiLevelType w:val="hybridMultilevel"/>
    <w:tmpl w:val="D9BCB662"/>
    <w:lvl w:ilvl="0" w:tplc="04150017">
      <w:start w:val="1"/>
      <w:numFmt w:val="lowerLetter"/>
      <w:lvlText w:val="%1)"/>
      <w:lvlJc w:val="left"/>
      <w:pPr>
        <w:ind w:left="720" w:hanging="360"/>
      </w:pPr>
    </w:lvl>
    <w:lvl w:ilvl="1" w:tplc="57EC8658">
      <w:numFmt w:val="bullet"/>
      <w:lvlText w:val="•"/>
      <w:lvlJc w:val="left"/>
      <w:pPr>
        <w:ind w:left="1440" w:hanging="360"/>
      </w:pPr>
      <w:rPr>
        <w:rFonts w:ascii="Times New Roman" w:eastAsia="Times New Roman"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50D125ED"/>
    <w:multiLevelType w:val="multilevel"/>
    <w:tmpl w:val="B8EA8D30"/>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1855"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nsid w:val="518C3BE5"/>
    <w:multiLevelType w:val="hybridMultilevel"/>
    <w:tmpl w:val="C886403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524B5510"/>
    <w:multiLevelType w:val="hybridMultilevel"/>
    <w:tmpl w:val="8E34F7E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529D26F5"/>
    <w:multiLevelType w:val="hybridMultilevel"/>
    <w:tmpl w:val="648CC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52F1284B"/>
    <w:multiLevelType w:val="hybridMultilevel"/>
    <w:tmpl w:val="04463B7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53302996"/>
    <w:multiLevelType w:val="hybridMultilevel"/>
    <w:tmpl w:val="38686274"/>
    <w:lvl w:ilvl="0" w:tplc="B68CCDF4">
      <w:start w:val="1"/>
      <w:numFmt w:val="bullet"/>
      <w:pStyle w:val="Lista"/>
      <w:lvlText w:val=""/>
      <w:lvlJc w:val="left"/>
      <w:pPr>
        <w:tabs>
          <w:tab w:val="num" w:pos="2440"/>
        </w:tabs>
        <w:ind w:left="2440" w:hanging="360"/>
      </w:pPr>
      <w:rPr>
        <w:rFonts w:ascii="Symbol" w:hAnsi="Symbol" w:hint="default"/>
        <w:sz w:val="20"/>
      </w:rPr>
    </w:lvl>
    <w:lvl w:ilvl="1" w:tplc="04150019">
      <w:start w:val="1"/>
      <w:numFmt w:val="bullet"/>
      <w:lvlText w:val="o"/>
      <w:lvlJc w:val="left"/>
      <w:pPr>
        <w:tabs>
          <w:tab w:val="num" w:pos="2800"/>
        </w:tabs>
        <w:ind w:left="2800" w:hanging="360"/>
      </w:pPr>
      <w:rPr>
        <w:rFonts w:ascii="Courier New" w:hAnsi="Courier New" w:cs="Courier New" w:hint="default"/>
      </w:rPr>
    </w:lvl>
    <w:lvl w:ilvl="2" w:tplc="0415001B" w:tentative="1">
      <w:start w:val="1"/>
      <w:numFmt w:val="bullet"/>
      <w:lvlText w:val=""/>
      <w:lvlJc w:val="left"/>
      <w:pPr>
        <w:tabs>
          <w:tab w:val="num" w:pos="3520"/>
        </w:tabs>
        <w:ind w:left="3520" w:hanging="360"/>
      </w:pPr>
      <w:rPr>
        <w:rFonts w:ascii="Wingdings" w:hAnsi="Wingdings" w:hint="default"/>
      </w:rPr>
    </w:lvl>
    <w:lvl w:ilvl="3" w:tplc="0415000F" w:tentative="1">
      <w:start w:val="1"/>
      <w:numFmt w:val="bullet"/>
      <w:lvlText w:val=""/>
      <w:lvlJc w:val="left"/>
      <w:pPr>
        <w:tabs>
          <w:tab w:val="num" w:pos="4240"/>
        </w:tabs>
        <w:ind w:left="4240" w:hanging="360"/>
      </w:pPr>
      <w:rPr>
        <w:rFonts w:ascii="Symbol" w:hAnsi="Symbol" w:hint="default"/>
      </w:rPr>
    </w:lvl>
    <w:lvl w:ilvl="4" w:tplc="04150019" w:tentative="1">
      <w:start w:val="1"/>
      <w:numFmt w:val="bullet"/>
      <w:lvlText w:val="o"/>
      <w:lvlJc w:val="left"/>
      <w:pPr>
        <w:tabs>
          <w:tab w:val="num" w:pos="4960"/>
        </w:tabs>
        <w:ind w:left="4960" w:hanging="360"/>
      </w:pPr>
      <w:rPr>
        <w:rFonts w:ascii="Courier New" w:hAnsi="Courier New" w:cs="Courier New" w:hint="default"/>
      </w:rPr>
    </w:lvl>
    <w:lvl w:ilvl="5" w:tplc="0415001B" w:tentative="1">
      <w:start w:val="1"/>
      <w:numFmt w:val="bullet"/>
      <w:lvlText w:val=""/>
      <w:lvlJc w:val="left"/>
      <w:pPr>
        <w:tabs>
          <w:tab w:val="num" w:pos="5680"/>
        </w:tabs>
        <w:ind w:left="5680" w:hanging="360"/>
      </w:pPr>
      <w:rPr>
        <w:rFonts w:ascii="Wingdings" w:hAnsi="Wingdings" w:hint="default"/>
      </w:rPr>
    </w:lvl>
    <w:lvl w:ilvl="6" w:tplc="0415000F" w:tentative="1">
      <w:start w:val="1"/>
      <w:numFmt w:val="bullet"/>
      <w:lvlText w:val=""/>
      <w:lvlJc w:val="left"/>
      <w:pPr>
        <w:tabs>
          <w:tab w:val="num" w:pos="6400"/>
        </w:tabs>
        <w:ind w:left="6400" w:hanging="360"/>
      </w:pPr>
      <w:rPr>
        <w:rFonts w:ascii="Symbol" w:hAnsi="Symbol" w:hint="default"/>
      </w:rPr>
    </w:lvl>
    <w:lvl w:ilvl="7" w:tplc="04150019" w:tentative="1">
      <w:start w:val="1"/>
      <w:numFmt w:val="bullet"/>
      <w:lvlText w:val="o"/>
      <w:lvlJc w:val="left"/>
      <w:pPr>
        <w:tabs>
          <w:tab w:val="num" w:pos="7120"/>
        </w:tabs>
        <w:ind w:left="7120" w:hanging="360"/>
      </w:pPr>
      <w:rPr>
        <w:rFonts w:ascii="Courier New" w:hAnsi="Courier New" w:cs="Courier New" w:hint="default"/>
      </w:rPr>
    </w:lvl>
    <w:lvl w:ilvl="8" w:tplc="0415001B" w:tentative="1">
      <w:start w:val="1"/>
      <w:numFmt w:val="bullet"/>
      <w:lvlText w:val=""/>
      <w:lvlJc w:val="left"/>
      <w:pPr>
        <w:tabs>
          <w:tab w:val="num" w:pos="7840"/>
        </w:tabs>
        <w:ind w:left="7840" w:hanging="360"/>
      </w:pPr>
      <w:rPr>
        <w:rFonts w:ascii="Wingdings" w:hAnsi="Wingdings" w:hint="default"/>
      </w:rPr>
    </w:lvl>
  </w:abstractNum>
  <w:abstractNum w:abstractNumId="92">
    <w:nsid w:val="53EB381E"/>
    <w:multiLevelType w:val="hybridMultilevel"/>
    <w:tmpl w:val="82BE52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545A53B0"/>
    <w:multiLevelType w:val="hybridMultilevel"/>
    <w:tmpl w:val="5E9044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54AD3506"/>
    <w:multiLevelType w:val="hybridMultilevel"/>
    <w:tmpl w:val="CE900D22"/>
    <w:lvl w:ilvl="0" w:tplc="1A48B19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55880DFF"/>
    <w:multiLevelType w:val="multilevel"/>
    <w:tmpl w:val="1586FC06"/>
    <w:styleLink w:val="Styl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1"/>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6">
    <w:nsid w:val="559A4EBA"/>
    <w:multiLevelType w:val="multilevel"/>
    <w:tmpl w:val="112E6B2C"/>
    <w:lvl w:ilvl="0">
      <w:start w:val="2"/>
      <w:numFmt w:val="decimal"/>
      <w:lvlText w:val="%1"/>
      <w:lvlJc w:val="left"/>
      <w:pPr>
        <w:ind w:left="660" w:hanging="660"/>
      </w:pPr>
      <w:rPr>
        <w:rFonts w:hint="default"/>
      </w:rPr>
    </w:lvl>
    <w:lvl w:ilvl="1">
      <w:start w:val="1"/>
      <w:numFmt w:val="decimal"/>
      <w:lvlText w:val="%1.%2"/>
      <w:lvlJc w:val="left"/>
      <w:pPr>
        <w:ind w:left="1620" w:hanging="660"/>
      </w:pPr>
      <w:rPr>
        <w:rFonts w:hint="default"/>
      </w:rPr>
    </w:lvl>
    <w:lvl w:ilvl="2">
      <w:start w:val="6"/>
      <w:numFmt w:val="decimal"/>
      <w:lvlText w:val="%1.%2.%3"/>
      <w:lvlJc w:val="left"/>
      <w:pPr>
        <w:ind w:left="2640" w:hanging="720"/>
      </w:pPr>
      <w:rPr>
        <w:rFonts w:hint="default"/>
      </w:rPr>
    </w:lvl>
    <w:lvl w:ilvl="3">
      <w:start w:val="3"/>
      <w:numFmt w:val="decimal"/>
      <w:lvlText w:val="%1.%2.%3.%4"/>
      <w:lvlJc w:val="left"/>
      <w:pPr>
        <w:ind w:left="1146" w:hanging="720"/>
      </w:pPr>
      <w:rPr>
        <w:rFonts w:hint="default"/>
      </w:rPr>
    </w:lvl>
    <w:lvl w:ilvl="4">
      <w:start w:val="1"/>
      <w:numFmt w:val="decimal"/>
      <w:lvlText w:val="%1.%2.%3.%4.%5"/>
      <w:lvlJc w:val="left"/>
      <w:pPr>
        <w:ind w:left="4920" w:hanging="1080"/>
      </w:pPr>
      <w:rPr>
        <w:rFonts w:hint="default"/>
      </w:rPr>
    </w:lvl>
    <w:lvl w:ilvl="5">
      <w:start w:val="1"/>
      <w:numFmt w:val="decimal"/>
      <w:lvlText w:val="%1.%2.%3.%4.%5.%6"/>
      <w:lvlJc w:val="left"/>
      <w:pPr>
        <w:ind w:left="5880" w:hanging="1080"/>
      </w:pPr>
      <w:rPr>
        <w:rFonts w:hint="default"/>
      </w:rPr>
    </w:lvl>
    <w:lvl w:ilvl="6">
      <w:start w:val="1"/>
      <w:numFmt w:val="decimal"/>
      <w:lvlText w:val="%1.%2.%3.%4.%5.%6.%7"/>
      <w:lvlJc w:val="left"/>
      <w:pPr>
        <w:ind w:left="7200" w:hanging="1440"/>
      </w:pPr>
      <w:rPr>
        <w:rFonts w:hint="default"/>
      </w:rPr>
    </w:lvl>
    <w:lvl w:ilvl="7">
      <w:start w:val="1"/>
      <w:numFmt w:val="decimal"/>
      <w:lvlText w:val="%1.%2.%3.%4.%5.%6.%7.%8"/>
      <w:lvlJc w:val="left"/>
      <w:pPr>
        <w:ind w:left="8160" w:hanging="1440"/>
      </w:pPr>
      <w:rPr>
        <w:rFonts w:hint="default"/>
      </w:rPr>
    </w:lvl>
    <w:lvl w:ilvl="8">
      <w:start w:val="1"/>
      <w:numFmt w:val="decimal"/>
      <w:lvlText w:val="%1.%2.%3.%4.%5.%6.%7.%8.%9"/>
      <w:lvlJc w:val="left"/>
      <w:pPr>
        <w:ind w:left="9480" w:hanging="1800"/>
      </w:pPr>
      <w:rPr>
        <w:rFonts w:hint="default"/>
      </w:rPr>
    </w:lvl>
  </w:abstractNum>
  <w:abstractNum w:abstractNumId="97">
    <w:nsid w:val="57162132"/>
    <w:multiLevelType w:val="hybridMultilevel"/>
    <w:tmpl w:val="896A3D9A"/>
    <w:lvl w:ilvl="0" w:tplc="8A3EE88C">
      <w:start w:val="1"/>
      <w:numFmt w:val="decimal"/>
      <w:lvlText w:val="%1."/>
      <w:lvlJc w:val="left"/>
      <w:pPr>
        <w:ind w:left="1080" w:hanging="360"/>
      </w:pPr>
      <w:rPr>
        <w:rFonts w:hint="default"/>
        <w:b w:val="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8">
    <w:nsid w:val="59306183"/>
    <w:multiLevelType w:val="hybridMultilevel"/>
    <w:tmpl w:val="5EEA8A2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59B6520D"/>
    <w:multiLevelType w:val="hybridMultilevel"/>
    <w:tmpl w:val="0470A67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5A1768BA"/>
    <w:multiLevelType w:val="hybridMultilevel"/>
    <w:tmpl w:val="D42C3C3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5A372B12"/>
    <w:multiLevelType w:val="hybridMultilevel"/>
    <w:tmpl w:val="0BB8E3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5BA62EEB"/>
    <w:multiLevelType w:val="hybridMultilevel"/>
    <w:tmpl w:val="5F6C3746"/>
    <w:lvl w:ilvl="0" w:tplc="04150017">
      <w:start w:val="1"/>
      <w:numFmt w:val="lowerLetter"/>
      <w:lvlText w:val="%1)"/>
      <w:lvlJc w:val="left"/>
      <w:pPr>
        <w:ind w:left="1080" w:hanging="360"/>
      </w:pPr>
    </w:lvl>
    <w:lvl w:ilvl="1" w:tplc="04150019">
      <w:start w:val="1"/>
      <w:numFmt w:val="decimal"/>
      <w:lvlText w:val="%2."/>
      <w:lvlJc w:val="left"/>
      <w:pPr>
        <w:tabs>
          <w:tab w:val="num" w:pos="720"/>
        </w:tabs>
        <w:ind w:left="720" w:hanging="360"/>
      </w:pPr>
    </w:lvl>
    <w:lvl w:ilvl="2" w:tplc="0415001B">
      <w:start w:val="1"/>
      <w:numFmt w:val="decimal"/>
      <w:lvlText w:val="%3."/>
      <w:lvlJc w:val="left"/>
      <w:pPr>
        <w:tabs>
          <w:tab w:val="num" w:pos="1440"/>
        </w:tabs>
        <w:ind w:left="1440" w:hanging="360"/>
      </w:pPr>
    </w:lvl>
    <w:lvl w:ilvl="3" w:tplc="0415000F">
      <w:start w:val="1"/>
      <w:numFmt w:val="decimal"/>
      <w:lvlText w:val="%4."/>
      <w:lvlJc w:val="left"/>
      <w:pPr>
        <w:tabs>
          <w:tab w:val="num" w:pos="2160"/>
        </w:tabs>
        <w:ind w:left="2160" w:hanging="360"/>
      </w:pPr>
    </w:lvl>
    <w:lvl w:ilvl="4" w:tplc="04150019">
      <w:start w:val="1"/>
      <w:numFmt w:val="decimal"/>
      <w:lvlText w:val="%5."/>
      <w:lvlJc w:val="left"/>
      <w:pPr>
        <w:tabs>
          <w:tab w:val="num" w:pos="2880"/>
        </w:tabs>
        <w:ind w:left="2880" w:hanging="360"/>
      </w:pPr>
    </w:lvl>
    <w:lvl w:ilvl="5" w:tplc="0415001B">
      <w:start w:val="1"/>
      <w:numFmt w:val="decimal"/>
      <w:lvlText w:val="%6."/>
      <w:lvlJc w:val="left"/>
      <w:pPr>
        <w:tabs>
          <w:tab w:val="num" w:pos="3600"/>
        </w:tabs>
        <w:ind w:left="3600" w:hanging="360"/>
      </w:pPr>
    </w:lvl>
    <w:lvl w:ilvl="6" w:tplc="0415000F">
      <w:start w:val="1"/>
      <w:numFmt w:val="decimal"/>
      <w:lvlText w:val="%7."/>
      <w:lvlJc w:val="left"/>
      <w:pPr>
        <w:tabs>
          <w:tab w:val="num" w:pos="4320"/>
        </w:tabs>
        <w:ind w:left="4320" w:hanging="360"/>
      </w:pPr>
    </w:lvl>
    <w:lvl w:ilvl="7" w:tplc="04150019">
      <w:start w:val="1"/>
      <w:numFmt w:val="decimal"/>
      <w:lvlText w:val="%8."/>
      <w:lvlJc w:val="left"/>
      <w:pPr>
        <w:tabs>
          <w:tab w:val="num" w:pos="5040"/>
        </w:tabs>
        <w:ind w:left="5040" w:hanging="360"/>
      </w:pPr>
    </w:lvl>
    <w:lvl w:ilvl="8" w:tplc="0415001B">
      <w:start w:val="1"/>
      <w:numFmt w:val="decimal"/>
      <w:lvlText w:val="%9."/>
      <w:lvlJc w:val="left"/>
      <w:pPr>
        <w:tabs>
          <w:tab w:val="num" w:pos="5760"/>
        </w:tabs>
        <w:ind w:left="5760" w:hanging="360"/>
      </w:pPr>
    </w:lvl>
  </w:abstractNum>
  <w:abstractNum w:abstractNumId="103">
    <w:nsid w:val="5C7660BC"/>
    <w:multiLevelType w:val="hybridMultilevel"/>
    <w:tmpl w:val="A1ACE5AC"/>
    <w:lvl w:ilvl="0" w:tplc="96000056">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nsid w:val="5E301E38"/>
    <w:multiLevelType w:val="hybridMultilevel"/>
    <w:tmpl w:val="19B2105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nsid w:val="5ED257F0"/>
    <w:multiLevelType w:val="multilevel"/>
    <w:tmpl w:val="AD08B766"/>
    <w:styleLink w:val="Styl8"/>
    <w:lvl w:ilvl="0">
      <w:start w:val="2"/>
      <w:numFmt w:val="decimal"/>
      <w:lvlText w:val="%1.1"/>
      <w:lvlJc w:val="left"/>
      <w:pPr>
        <w:ind w:left="2700" w:hanging="360"/>
      </w:pPr>
      <w:rPr>
        <w:rFonts w:hint="default"/>
      </w:rPr>
    </w:lvl>
    <w:lvl w:ilvl="1">
      <w:start w:val="1"/>
      <w:numFmt w:val="decimal"/>
      <w:lvlText w:val="2.%2.1"/>
      <w:lvlJc w:val="left"/>
      <w:pPr>
        <w:ind w:left="3420" w:hanging="360"/>
      </w:pPr>
      <w:rPr>
        <w:rFonts w:hint="default"/>
      </w:rPr>
    </w:lvl>
    <w:lvl w:ilvl="2">
      <w:start w:val="1"/>
      <w:numFmt w:val="none"/>
      <w:lvlText w:val="2.1.2"/>
      <w:lvlJc w:val="right"/>
      <w:pPr>
        <w:ind w:left="4140" w:hanging="180"/>
      </w:pPr>
      <w:rPr>
        <w:rFonts w:hint="default"/>
      </w:rPr>
    </w:lvl>
    <w:lvl w:ilvl="3">
      <w:start w:val="1"/>
      <w:numFmt w:val="none"/>
      <w:lvlText w:val="2.1.3"/>
      <w:lvlJc w:val="left"/>
      <w:pPr>
        <w:ind w:left="4860" w:hanging="360"/>
      </w:pPr>
      <w:rPr>
        <w:rFonts w:hint="default"/>
      </w:rPr>
    </w:lvl>
    <w:lvl w:ilvl="4">
      <w:start w:val="1"/>
      <w:numFmt w:val="none"/>
      <w:lvlText w:val="2.1.4"/>
      <w:lvlJc w:val="left"/>
      <w:pPr>
        <w:ind w:left="5580" w:hanging="360"/>
      </w:pPr>
      <w:rPr>
        <w:rFonts w:hint="default"/>
      </w:rPr>
    </w:lvl>
    <w:lvl w:ilvl="5">
      <w:start w:val="1"/>
      <w:numFmt w:val="none"/>
      <w:lvlText w:val="2.1.5"/>
      <w:lvlJc w:val="right"/>
      <w:pPr>
        <w:ind w:left="6300" w:hanging="180"/>
      </w:pPr>
      <w:rPr>
        <w:rFonts w:hint="default"/>
      </w:rPr>
    </w:lvl>
    <w:lvl w:ilvl="6">
      <w:start w:val="1"/>
      <w:numFmt w:val="none"/>
      <w:lvlText w:val="2.1.6"/>
      <w:lvlJc w:val="left"/>
      <w:pPr>
        <w:ind w:left="7020" w:hanging="360"/>
      </w:pPr>
      <w:rPr>
        <w:rFonts w:hint="default"/>
      </w:rPr>
    </w:lvl>
    <w:lvl w:ilvl="7">
      <w:start w:val="1"/>
      <w:numFmt w:val="none"/>
      <w:lvlText w:val="2.1.7"/>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106">
    <w:nsid w:val="5F5D4893"/>
    <w:multiLevelType w:val="hybridMultilevel"/>
    <w:tmpl w:val="807CB0DE"/>
    <w:lvl w:ilvl="0" w:tplc="C68C957E">
      <w:numFmt w:val="bullet"/>
      <w:lvlText w:val=""/>
      <w:lvlJc w:val="left"/>
      <w:pPr>
        <w:ind w:left="720" w:hanging="360"/>
      </w:pPr>
      <w:rPr>
        <w:rFonts w:ascii="Symbol" w:eastAsiaTheme="minorHAnsi"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604219A0"/>
    <w:multiLevelType w:val="hybridMultilevel"/>
    <w:tmpl w:val="671876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604F0646"/>
    <w:multiLevelType w:val="hybridMultilevel"/>
    <w:tmpl w:val="BD7E06EC"/>
    <w:lvl w:ilvl="0" w:tplc="0809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nsid w:val="622326CC"/>
    <w:multiLevelType w:val="hybridMultilevel"/>
    <w:tmpl w:val="E278ABC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632F591F"/>
    <w:multiLevelType w:val="hybridMultilevel"/>
    <w:tmpl w:val="46466958"/>
    <w:lvl w:ilvl="0" w:tplc="0415000B">
      <w:start w:val="1"/>
      <w:numFmt w:val="bullet"/>
      <w:lvlText w:val=""/>
      <w:lvlJc w:val="left"/>
      <w:pPr>
        <w:ind w:left="1440" w:hanging="360"/>
      </w:pPr>
      <w:rPr>
        <w:rFonts w:ascii="Wingdings" w:hAnsi="Wingdings" w:hint="default"/>
      </w:rPr>
    </w:lvl>
    <w:lvl w:ilvl="1" w:tplc="0415000B">
      <w:start w:val="1"/>
      <w:numFmt w:val="bullet"/>
      <w:lvlText w:val=""/>
      <w:lvlJc w:val="left"/>
      <w:pPr>
        <w:ind w:left="2160" w:hanging="360"/>
      </w:pPr>
      <w:rPr>
        <w:rFonts w:ascii="Wingdings" w:hAnsi="Wingdings"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1">
    <w:nsid w:val="63ED472B"/>
    <w:multiLevelType w:val="hybridMultilevel"/>
    <w:tmpl w:val="14B0F2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640279D8"/>
    <w:multiLevelType w:val="hybridMultilevel"/>
    <w:tmpl w:val="2FC87E2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64706574"/>
    <w:multiLevelType w:val="hybridMultilevel"/>
    <w:tmpl w:val="CCD6A7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64710406"/>
    <w:multiLevelType w:val="multilevel"/>
    <w:tmpl w:val="0415001F"/>
    <w:styleLink w:val="Styl1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nsid w:val="649F72CC"/>
    <w:multiLevelType w:val="hybridMultilevel"/>
    <w:tmpl w:val="9684AD56"/>
    <w:lvl w:ilvl="0" w:tplc="0415000B">
      <w:start w:val="1"/>
      <w:numFmt w:val="bullet"/>
      <w:lvlText w:val=""/>
      <w:lvlJc w:val="left"/>
      <w:pPr>
        <w:ind w:left="1077" w:hanging="360"/>
      </w:pPr>
      <w:rPr>
        <w:rFonts w:ascii="Wingdings" w:hAnsi="Wingdings"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16">
    <w:nsid w:val="67656BD0"/>
    <w:multiLevelType w:val="hybridMultilevel"/>
    <w:tmpl w:val="16AAEA5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67B25581"/>
    <w:multiLevelType w:val="multilevel"/>
    <w:tmpl w:val="D1F06A8C"/>
    <w:styleLink w:val="Styl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8">
    <w:nsid w:val="696A672E"/>
    <w:multiLevelType w:val="multilevel"/>
    <w:tmpl w:val="0415001F"/>
    <w:numStyleLink w:val="Styl11"/>
  </w:abstractNum>
  <w:abstractNum w:abstractNumId="119">
    <w:nsid w:val="6DE41A00"/>
    <w:multiLevelType w:val="hybridMultilevel"/>
    <w:tmpl w:val="3DFE9EA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70263EFB"/>
    <w:multiLevelType w:val="hybridMultilevel"/>
    <w:tmpl w:val="E18AF2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nsid w:val="70FE1B65"/>
    <w:multiLevelType w:val="hybridMultilevel"/>
    <w:tmpl w:val="31AA97D4"/>
    <w:lvl w:ilvl="0" w:tplc="120A6D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2">
    <w:nsid w:val="72173DD0"/>
    <w:multiLevelType w:val="hybridMultilevel"/>
    <w:tmpl w:val="CC289E96"/>
    <w:lvl w:ilvl="0" w:tplc="0809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7293392D"/>
    <w:multiLevelType w:val="hybridMultilevel"/>
    <w:tmpl w:val="5E08ED00"/>
    <w:lvl w:ilvl="0" w:tplc="97062AB4">
      <w:start w:val="1"/>
      <w:numFmt w:val="bullet"/>
      <w:lvlText w:val="•"/>
      <w:lvlJc w:val="left"/>
      <w:pPr>
        <w:tabs>
          <w:tab w:val="num" w:pos="720"/>
        </w:tabs>
        <w:ind w:left="720" w:hanging="360"/>
      </w:pPr>
      <w:rPr>
        <w:rFonts w:ascii="Times New Roman" w:hAnsi="Times New Roman" w:hint="default"/>
      </w:rPr>
    </w:lvl>
    <w:lvl w:ilvl="1" w:tplc="8056C1D2" w:tentative="1">
      <w:start w:val="1"/>
      <w:numFmt w:val="bullet"/>
      <w:lvlText w:val="•"/>
      <w:lvlJc w:val="left"/>
      <w:pPr>
        <w:tabs>
          <w:tab w:val="num" w:pos="1440"/>
        </w:tabs>
        <w:ind w:left="1440" w:hanging="360"/>
      </w:pPr>
      <w:rPr>
        <w:rFonts w:ascii="Times New Roman" w:hAnsi="Times New Roman" w:hint="default"/>
      </w:rPr>
    </w:lvl>
    <w:lvl w:ilvl="2" w:tplc="4CBE8A20" w:tentative="1">
      <w:start w:val="1"/>
      <w:numFmt w:val="bullet"/>
      <w:lvlText w:val="•"/>
      <w:lvlJc w:val="left"/>
      <w:pPr>
        <w:tabs>
          <w:tab w:val="num" w:pos="2160"/>
        </w:tabs>
        <w:ind w:left="2160" w:hanging="360"/>
      </w:pPr>
      <w:rPr>
        <w:rFonts w:ascii="Times New Roman" w:hAnsi="Times New Roman" w:hint="default"/>
      </w:rPr>
    </w:lvl>
    <w:lvl w:ilvl="3" w:tplc="71AE8AB4" w:tentative="1">
      <w:start w:val="1"/>
      <w:numFmt w:val="bullet"/>
      <w:lvlText w:val="•"/>
      <w:lvlJc w:val="left"/>
      <w:pPr>
        <w:tabs>
          <w:tab w:val="num" w:pos="2880"/>
        </w:tabs>
        <w:ind w:left="2880" w:hanging="360"/>
      </w:pPr>
      <w:rPr>
        <w:rFonts w:ascii="Times New Roman" w:hAnsi="Times New Roman" w:hint="default"/>
      </w:rPr>
    </w:lvl>
    <w:lvl w:ilvl="4" w:tplc="B75E045A" w:tentative="1">
      <w:start w:val="1"/>
      <w:numFmt w:val="bullet"/>
      <w:lvlText w:val="•"/>
      <w:lvlJc w:val="left"/>
      <w:pPr>
        <w:tabs>
          <w:tab w:val="num" w:pos="3600"/>
        </w:tabs>
        <w:ind w:left="3600" w:hanging="360"/>
      </w:pPr>
      <w:rPr>
        <w:rFonts w:ascii="Times New Roman" w:hAnsi="Times New Roman" w:hint="default"/>
      </w:rPr>
    </w:lvl>
    <w:lvl w:ilvl="5" w:tplc="6AA48B24" w:tentative="1">
      <w:start w:val="1"/>
      <w:numFmt w:val="bullet"/>
      <w:lvlText w:val="•"/>
      <w:lvlJc w:val="left"/>
      <w:pPr>
        <w:tabs>
          <w:tab w:val="num" w:pos="4320"/>
        </w:tabs>
        <w:ind w:left="4320" w:hanging="360"/>
      </w:pPr>
      <w:rPr>
        <w:rFonts w:ascii="Times New Roman" w:hAnsi="Times New Roman" w:hint="default"/>
      </w:rPr>
    </w:lvl>
    <w:lvl w:ilvl="6" w:tplc="68308AAA" w:tentative="1">
      <w:start w:val="1"/>
      <w:numFmt w:val="bullet"/>
      <w:lvlText w:val="•"/>
      <w:lvlJc w:val="left"/>
      <w:pPr>
        <w:tabs>
          <w:tab w:val="num" w:pos="5040"/>
        </w:tabs>
        <w:ind w:left="5040" w:hanging="360"/>
      </w:pPr>
      <w:rPr>
        <w:rFonts w:ascii="Times New Roman" w:hAnsi="Times New Roman" w:hint="default"/>
      </w:rPr>
    </w:lvl>
    <w:lvl w:ilvl="7" w:tplc="31BA21B8" w:tentative="1">
      <w:start w:val="1"/>
      <w:numFmt w:val="bullet"/>
      <w:lvlText w:val="•"/>
      <w:lvlJc w:val="left"/>
      <w:pPr>
        <w:tabs>
          <w:tab w:val="num" w:pos="5760"/>
        </w:tabs>
        <w:ind w:left="5760" w:hanging="360"/>
      </w:pPr>
      <w:rPr>
        <w:rFonts w:ascii="Times New Roman" w:hAnsi="Times New Roman" w:hint="default"/>
      </w:rPr>
    </w:lvl>
    <w:lvl w:ilvl="8" w:tplc="1320F98E" w:tentative="1">
      <w:start w:val="1"/>
      <w:numFmt w:val="bullet"/>
      <w:lvlText w:val="•"/>
      <w:lvlJc w:val="left"/>
      <w:pPr>
        <w:tabs>
          <w:tab w:val="num" w:pos="6480"/>
        </w:tabs>
        <w:ind w:left="6480" w:hanging="360"/>
      </w:pPr>
      <w:rPr>
        <w:rFonts w:ascii="Times New Roman" w:hAnsi="Times New Roman" w:hint="default"/>
      </w:rPr>
    </w:lvl>
  </w:abstractNum>
  <w:abstractNum w:abstractNumId="124">
    <w:nsid w:val="75A91C6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nsid w:val="76124FBB"/>
    <w:multiLevelType w:val="hybridMultilevel"/>
    <w:tmpl w:val="1BEA4D7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77501B86"/>
    <w:multiLevelType w:val="hybridMultilevel"/>
    <w:tmpl w:val="358231C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nsid w:val="78970260"/>
    <w:multiLevelType w:val="hybridMultilevel"/>
    <w:tmpl w:val="7E7CDB7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7A073E41"/>
    <w:multiLevelType w:val="hybridMultilevel"/>
    <w:tmpl w:val="1D9643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7B65221E"/>
    <w:multiLevelType w:val="hybridMultilevel"/>
    <w:tmpl w:val="1B500E0C"/>
    <w:lvl w:ilvl="0" w:tplc="A21EDED2">
      <w:numFmt w:val="bullet"/>
      <w:lvlText w:val="•"/>
      <w:lvlJc w:val="left"/>
      <w:pPr>
        <w:ind w:left="1065" w:hanging="705"/>
      </w:pPr>
      <w:rPr>
        <w:rFonts w:ascii="Times New Roman" w:eastAsia="Calibri" w:hAnsi="Times New Roman" w:cs="Times New Roman" w:hint="default"/>
      </w:rPr>
    </w:lvl>
    <w:lvl w:ilvl="1" w:tplc="04150001">
      <w:start w:val="1"/>
      <w:numFmt w:val="bullet"/>
      <w:lvlText w:val=""/>
      <w:lvlJc w:val="left"/>
      <w:pPr>
        <w:ind w:left="1440" w:hanging="360"/>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nsid w:val="7BA65611"/>
    <w:multiLevelType w:val="hybridMultilevel"/>
    <w:tmpl w:val="8EA0386E"/>
    <w:lvl w:ilvl="0" w:tplc="120A6D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31">
    <w:nsid w:val="7CC2007A"/>
    <w:multiLevelType w:val="multilevel"/>
    <w:tmpl w:val="5E485876"/>
    <w:lvl w:ilvl="0">
      <w:start w:val="1"/>
      <w:numFmt w:val="none"/>
      <w:pStyle w:val="Nagwek1"/>
      <w:lvlText w:val="3.10.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32">
    <w:nsid w:val="7CDE3252"/>
    <w:multiLevelType w:val="hybridMultilevel"/>
    <w:tmpl w:val="B3B80CF8"/>
    <w:lvl w:ilvl="0" w:tplc="04150017">
      <w:start w:val="1"/>
      <w:numFmt w:val="lowerLetter"/>
      <w:lvlText w:val="%1)"/>
      <w:lvlJc w:val="left"/>
      <w:pPr>
        <w:ind w:left="765"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33">
    <w:nsid w:val="7D6C789C"/>
    <w:multiLevelType w:val="multilevel"/>
    <w:tmpl w:val="DB947964"/>
    <w:styleLink w:val="Styl10"/>
    <w:lvl w:ilvl="0">
      <w:start w:val="2"/>
      <w:numFmt w:val="decimal"/>
      <w:lvlText w:val="%1."/>
      <w:lvlJc w:val="left"/>
      <w:pPr>
        <w:ind w:left="720" w:hanging="360"/>
      </w:pPr>
      <w:rPr>
        <w:rFonts w:hint="default"/>
        <w:b w:val="0"/>
      </w:rPr>
    </w:lvl>
    <w:lvl w:ilvl="1">
      <w:start w:val="1"/>
      <w:numFmt w:val="none"/>
      <w:isLgl/>
      <w:lvlText w:val="2.1.6.3"/>
      <w:lvlJc w:val="left"/>
      <w:pPr>
        <w:ind w:left="1020" w:hanging="660"/>
      </w:pPr>
      <w:rPr>
        <w:rFonts w:hint="default"/>
      </w:rPr>
    </w:lvl>
    <w:lvl w:ilvl="2">
      <w:start w:val="6"/>
      <w:numFmt w:val="none"/>
      <w:isLgl/>
      <w:lvlText w:val="2.1.6.4"/>
      <w:lvlJc w:val="left"/>
      <w:pPr>
        <w:ind w:left="1080" w:hanging="720"/>
      </w:pPr>
      <w:rPr>
        <w:rFonts w:hint="default"/>
      </w:rPr>
    </w:lvl>
    <w:lvl w:ilvl="3">
      <w:start w:val="5"/>
      <w:numFmt w:val="decimal"/>
      <w:isLgl/>
      <w:lvlText w:val="%1.%2.%3.%4"/>
      <w:lvlJc w:val="left"/>
      <w:pPr>
        <w:ind w:left="1080" w:hanging="720"/>
      </w:pPr>
      <w:rPr>
        <w:rFonts w:ascii="Times New Roman" w:hAnsi="Times New Roman" w:hint="default"/>
        <w:sz w:val="24"/>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4">
    <w:nsid w:val="7DA14F9E"/>
    <w:multiLevelType w:val="multilevel"/>
    <w:tmpl w:val="0415001D"/>
    <w:styleLink w:val="Styl7"/>
    <w:lvl w:ilvl="0">
      <w:start w:val="2"/>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3"/>
  </w:num>
  <w:num w:numId="2">
    <w:abstractNumId w:val="24"/>
  </w:num>
  <w:num w:numId="3">
    <w:abstractNumId w:val="83"/>
  </w:num>
  <w:num w:numId="4">
    <w:abstractNumId w:val="57"/>
  </w:num>
  <w:num w:numId="5">
    <w:abstractNumId w:val="98"/>
  </w:num>
  <w:num w:numId="6">
    <w:abstractNumId w:val="107"/>
  </w:num>
  <w:num w:numId="7">
    <w:abstractNumId w:val="91"/>
  </w:num>
  <w:num w:numId="8">
    <w:abstractNumId w:val="49"/>
  </w:num>
  <w:num w:numId="9">
    <w:abstractNumId w:val="69"/>
  </w:num>
  <w:num w:numId="10">
    <w:abstractNumId w:val="117"/>
  </w:num>
  <w:num w:numId="11">
    <w:abstractNumId w:val="56"/>
  </w:num>
  <w:num w:numId="12">
    <w:abstractNumId w:val="68"/>
  </w:num>
  <w:num w:numId="13">
    <w:abstractNumId w:val="95"/>
  </w:num>
  <w:num w:numId="14">
    <w:abstractNumId w:val="17"/>
  </w:num>
  <w:num w:numId="15">
    <w:abstractNumId w:val="36"/>
  </w:num>
  <w:num w:numId="16">
    <w:abstractNumId w:val="134"/>
  </w:num>
  <w:num w:numId="17">
    <w:abstractNumId w:val="118"/>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2"/>
        <w:numFmt w:val="decimal"/>
        <w:lvlText w:val="%1.%2.%3"/>
        <w:lvlJc w:val="left"/>
        <w:pPr>
          <w:ind w:left="720" w:hanging="720"/>
        </w:pPr>
        <w:rPr>
          <w:rFonts w:hint="default"/>
          <w:b/>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18">
    <w:abstractNumId w:val="105"/>
  </w:num>
  <w:num w:numId="19">
    <w:abstractNumId w:val="31"/>
  </w:num>
  <w:num w:numId="20">
    <w:abstractNumId w:val="131"/>
  </w:num>
  <w:num w:numId="21">
    <w:abstractNumId w:val="133"/>
  </w:num>
  <w:num w:numId="22">
    <w:abstractNumId w:val="124"/>
  </w:num>
  <w:num w:numId="23">
    <w:abstractNumId w:val="114"/>
  </w:num>
  <w:num w:numId="24">
    <w:abstractNumId w:val="80"/>
  </w:num>
  <w:num w:numId="25">
    <w:abstractNumId w:val="39"/>
  </w:num>
  <w:num w:numId="26">
    <w:abstractNumId w:val="32"/>
  </w:num>
  <w:num w:numId="27">
    <w:abstractNumId w:val="54"/>
  </w:num>
  <w:num w:numId="28">
    <w:abstractNumId w:val="70"/>
  </w:num>
  <w:num w:numId="29">
    <w:abstractNumId w:val="86"/>
  </w:num>
  <w:num w:numId="30">
    <w:abstractNumId w:val="62"/>
  </w:num>
  <w:num w:numId="31">
    <w:abstractNumId w:val="72"/>
  </w:num>
  <w:num w:numId="32">
    <w:abstractNumId w:val="99"/>
  </w:num>
  <w:num w:numId="33">
    <w:abstractNumId w:val="101"/>
  </w:num>
  <w:num w:numId="34">
    <w:abstractNumId w:val="38"/>
  </w:num>
  <w:num w:numId="35">
    <w:abstractNumId w:val="73"/>
  </w:num>
  <w:num w:numId="36">
    <w:abstractNumId w:val="94"/>
  </w:num>
  <w:num w:numId="37">
    <w:abstractNumId w:val="20"/>
  </w:num>
  <w:num w:numId="38">
    <w:abstractNumId w:val="103"/>
  </w:num>
  <w:num w:numId="39">
    <w:abstractNumId w:val="45"/>
  </w:num>
  <w:num w:numId="40">
    <w:abstractNumId w:val="96"/>
  </w:num>
  <w:num w:numId="41">
    <w:abstractNumId w:val="70"/>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5"/>
  </w:num>
  <w:num w:numId="43">
    <w:abstractNumId w:val="110"/>
  </w:num>
  <w:num w:numId="44">
    <w:abstractNumId w:val="52"/>
  </w:num>
  <w:num w:numId="45">
    <w:abstractNumId w:val="12"/>
  </w:num>
  <w:num w:numId="46">
    <w:abstractNumId w:val="63"/>
  </w:num>
  <w:num w:numId="47">
    <w:abstractNumId w:val="21"/>
  </w:num>
  <w:num w:numId="48">
    <w:abstractNumId w:val="100"/>
  </w:num>
  <w:num w:numId="49">
    <w:abstractNumId w:val="82"/>
  </w:num>
  <w:num w:numId="50">
    <w:abstractNumId w:val="15"/>
    <w:lvlOverride w:ilvl="1">
      <w:lvl w:ilvl="1">
        <w:start w:val="1"/>
        <w:numFmt w:val="decimal"/>
        <w:lvlText w:val="%1.%2"/>
        <w:lvlJc w:val="left"/>
        <w:pPr>
          <w:ind w:left="360" w:hanging="360"/>
        </w:pPr>
        <w:rPr>
          <w:rFonts w:hint="default"/>
          <w:b/>
          <w:color w:val="538135" w:themeColor="accent6" w:themeShade="BF"/>
        </w:rPr>
      </w:lvl>
    </w:lvlOverride>
  </w:num>
  <w:num w:numId="51">
    <w:abstractNumId w:val="132"/>
  </w:num>
  <w:num w:numId="52">
    <w:abstractNumId w:val="85"/>
  </w:num>
  <w:num w:numId="53">
    <w:abstractNumId w:val="30"/>
  </w:num>
  <w:num w:numId="54">
    <w:abstractNumId w:val="90"/>
  </w:num>
  <w:num w:numId="55">
    <w:abstractNumId w:val="97"/>
  </w:num>
  <w:num w:numId="56">
    <w:abstractNumId w:val="60"/>
  </w:num>
  <w:num w:numId="57">
    <w:abstractNumId w:val="25"/>
  </w:num>
  <w:num w:numId="58">
    <w:abstractNumId w:val="44"/>
  </w:num>
  <w:num w:numId="59">
    <w:abstractNumId w:val="128"/>
  </w:num>
  <w:num w:numId="60">
    <w:abstractNumId w:val="58"/>
  </w:num>
  <w:num w:numId="61">
    <w:abstractNumId w:val="84"/>
  </w:num>
  <w:num w:numId="62">
    <w:abstractNumId w:val="59"/>
  </w:num>
  <w:num w:numId="63">
    <w:abstractNumId w:val="48"/>
  </w:num>
  <w:num w:numId="64">
    <w:abstractNumId w:val="92"/>
  </w:num>
  <w:num w:numId="65">
    <w:abstractNumId w:val="43"/>
  </w:num>
  <w:num w:numId="66">
    <w:abstractNumId w:val="67"/>
  </w:num>
  <w:num w:numId="67">
    <w:abstractNumId w:val="8"/>
  </w:num>
  <w:num w:numId="68">
    <w:abstractNumId w:val="123"/>
  </w:num>
  <w:num w:numId="69">
    <w:abstractNumId w:val="106"/>
  </w:num>
  <w:num w:numId="70">
    <w:abstractNumId w:val="9"/>
  </w:num>
  <w:num w:numId="71">
    <w:abstractNumId w:val="50"/>
  </w:num>
  <w:num w:numId="72">
    <w:abstractNumId w:val="13"/>
  </w:num>
  <w:num w:numId="73">
    <w:abstractNumId w:val="34"/>
  </w:num>
  <w:num w:numId="74">
    <w:abstractNumId w:val="29"/>
  </w:num>
  <w:num w:numId="75">
    <w:abstractNumId w:val="42"/>
  </w:num>
  <w:num w:numId="76">
    <w:abstractNumId w:val="122"/>
  </w:num>
  <w:num w:numId="77">
    <w:abstractNumId w:val="108"/>
  </w:num>
  <w:num w:numId="78">
    <w:abstractNumId w:val="111"/>
  </w:num>
  <w:num w:numId="79">
    <w:abstractNumId w:val="89"/>
  </w:num>
  <w:num w:numId="80">
    <w:abstractNumId w:val="19"/>
  </w:num>
  <w:num w:numId="81">
    <w:abstractNumId w:val="18"/>
  </w:num>
  <w:num w:numId="82">
    <w:abstractNumId w:val="11"/>
  </w:num>
  <w:num w:numId="83">
    <w:abstractNumId w:val="119"/>
  </w:num>
  <w:num w:numId="84">
    <w:abstractNumId w:val="71"/>
  </w:num>
  <w:num w:numId="85">
    <w:abstractNumId w:val="40"/>
  </w:num>
  <w:num w:numId="86">
    <w:abstractNumId w:val="79"/>
  </w:num>
  <w:num w:numId="87">
    <w:abstractNumId w:val="93"/>
  </w:num>
  <w:num w:numId="88">
    <w:abstractNumId w:val="46"/>
  </w:num>
  <w:num w:numId="89">
    <w:abstractNumId w:val="27"/>
  </w:num>
  <w:num w:numId="90">
    <w:abstractNumId w:val="75"/>
  </w:num>
  <w:num w:numId="91">
    <w:abstractNumId w:val="41"/>
  </w:num>
  <w:num w:numId="92">
    <w:abstractNumId w:val="113"/>
  </w:num>
  <w:num w:numId="93">
    <w:abstractNumId w:val="126"/>
  </w:num>
  <w:num w:numId="94">
    <w:abstractNumId w:val="26"/>
  </w:num>
  <w:num w:numId="95">
    <w:abstractNumId w:val="74"/>
  </w:num>
  <w:num w:numId="96">
    <w:abstractNumId w:val="116"/>
  </w:num>
  <w:num w:numId="97">
    <w:abstractNumId w:val="127"/>
  </w:num>
  <w:num w:numId="98">
    <w:abstractNumId w:val="61"/>
  </w:num>
  <w:num w:numId="99">
    <w:abstractNumId w:val="64"/>
  </w:num>
  <w:num w:numId="100">
    <w:abstractNumId w:val="16"/>
  </w:num>
  <w:num w:numId="101">
    <w:abstractNumId w:val="23"/>
  </w:num>
  <w:num w:numId="102">
    <w:abstractNumId w:val="7"/>
  </w:num>
  <w:num w:numId="103">
    <w:abstractNumId w:val="10"/>
  </w:num>
  <w:num w:numId="104">
    <w:abstractNumId w:val="104"/>
  </w:num>
  <w:num w:numId="105">
    <w:abstractNumId w:val="51"/>
  </w:num>
  <w:num w:numId="106">
    <w:abstractNumId w:val="120"/>
  </w:num>
  <w:num w:numId="107">
    <w:abstractNumId w:val="87"/>
  </w:num>
  <w:num w:numId="108">
    <w:abstractNumId w:val="88"/>
  </w:num>
  <w:num w:numId="109">
    <w:abstractNumId w:val="66"/>
  </w:num>
  <w:num w:numId="110">
    <w:abstractNumId w:val="35"/>
  </w:num>
  <w:num w:numId="111">
    <w:abstractNumId w:val="125"/>
  </w:num>
  <w:num w:numId="112">
    <w:abstractNumId w:val="109"/>
  </w:num>
  <w:num w:numId="11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76"/>
  </w:num>
  <w:num w:numId="11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21"/>
  </w:num>
  <w:num w:numId="118">
    <w:abstractNumId w:val="130"/>
  </w:num>
  <w:num w:numId="119">
    <w:abstractNumId w:val="22"/>
  </w:num>
  <w:num w:numId="120">
    <w:abstractNumId w:val="121"/>
  </w:num>
  <w:num w:numId="121">
    <w:abstractNumId w:val="55"/>
  </w:num>
  <w:num w:numId="122">
    <w:abstractNumId w:val="78"/>
  </w:num>
  <w:num w:numId="123">
    <w:abstractNumId w:val="37"/>
  </w:num>
  <w:num w:numId="124">
    <w:abstractNumId w:val="77"/>
  </w:num>
  <w:num w:numId="125">
    <w:abstractNumId w:val="65"/>
  </w:num>
  <w:num w:numId="126">
    <w:abstractNumId w:val="53"/>
  </w:num>
  <w:num w:numId="127">
    <w:abstractNumId w:val="14"/>
  </w:num>
  <w:num w:numId="128">
    <w:abstractNumId w:val="47"/>
  </w:num>
  <w:num w:numId="129">
    <w:abstractNumId w:val="112"/>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94"/>
  <w:hyphenationZone w:val="425"/>
  <w:drawingGridHorizontalSpacing w:val="120"/>
  <w:displayHorizontalDrawingGridEvery w:val="2"/>
  <w:characterSpacingControl w:val="doNotCompress"/>
  <w:hdrShapeDefaults>
    <o:shapedefaults v:ext="edit" spidmax="16395"/>
    <o:shapelayout v:ext="edit">
      <o:idmap v:ext="edit" data="16"/>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410E"/>
    <w:rsid w:val="0000079D"/>
    <w:rsid w:val="00000BBB"/>
    <w:rsid w:val="00000D6D"/>
    <w:rsid w:val="000012D3"/>
    <w:rsid w:val="00001962"/>
    <w:rsid w:val="00001C6F"/>
    <w:rsid w:val="0000294E"/>
    <w:rsid w:val="00002A76"/>
    <w:rsid w:val="00002D3C"/>
    <w:rsid w:val="000044DC"/>
    <w:rsid w:val="00004ED0"/>
    <w:rsid w:val="00005CD4"/>
    <w:rsid w:val="00005E99"/>
    <w:rsid w:val="00005EF5"/>
    <w:rsid w:val="00006202"/>
    <w:rsid w:val="00006321"/>
    <w:rsid w:val="000067DA"/>
    <w:rsid w:val="000070E0"/>
    <w:rsid w:val="0000762D"/>
    <w:rsid w:val="00007F24"/>
    <w:rsid w:val="0001000A"/>
    <w:rsid w:val="0001051D"/>
    <w:rsid w:val="0001056D"/>
    <w:rsid w:val="00010CF8"/>
    <w:rsid w:val="00010D8F"/>
    <w:rsid w:val="0001153B"/>
    <w:rsid w:val="000116F7"/>
    <w:rsid w:val="00011D22"/>
    <w:rsid w:val="00011EE4"/>
    <w:rsid w:val="0001200E"/>
    <w:rsid w:val="000122F6"/>
    <w:rsid w:val="00012318"/>
    <w:rsid w:val="000126FC"/>
    <w:rsid w:val="000127BC"/>
    <w:rsid w:val="000127F6"/>
    <w:rsid w:val="00012CD7"/>
    <w:rsid w:val="000132AB"/>
    <w:rsid w:val="00013F6B"/>
    <w:rsid w:val="000147E5"/>
    <w:rsid w:val="0001489D"/>
    <w:rsid w:val="00015623"/>
    <w:rsid w:val="00015FD6"/>
    <w:rsid w:val="000160B4"/>
    <w:rsid w:val="000169AC"/>
    <w:rsid w:val="0001713A"/>
    <w:rsid w:val="00017161"/>
    <w:rsid w:val="0001794C"/>
    <w:rsid w:val="00017A4A"/>
    <w:rsid w:val="00017BE6"/>
    <w:rsid w:val="00017E56"/>
    <w:rsid w:val="00020049"/>
    <w:rsid w:val="00020230"/>
    <w:rsid w:val="0002070D"/>
    <w:rsid w:val="00020DC5"/>
    <w:rsid w:val="000219BA"/>
    <w:rsid w:val="00022206"/>
    <w:rsid w:val="00022A10"/>
    <w:rsid w:val="000232DB"/>
    <w:rsid w:val="000243B5"/>
    <w:rsid w:val="000244E1"/>
    <w:rsid w:val="000246D4"/>
    <w:rsid w:val="00024813"/>
    <w:rsid w:val="00024F9E"/>
    <w:rsid w:val="0002581D"/>
    <w:rsid w:val="00025E24"/>
    <w:rsid w:val="00026311"/>
    <w:rsid w:val="0002632F"/>
    <w:rsid w:val="00026343"/>
    <w:rsid w:val="00026D14"/>
    <w:rsid w:val="00026F6F"/>
    <w:rsid w:val="000300D1"/>
    <w:rsid w:val="000304D8"/>
    <w:rsid w:val="00030E53"/>
    <w:rsid w:val="00031736"/>
    <w:rsid w:val="00031975"/>
    <w:rsid w:val="00031A1B"/>
    <w:rsid w:val="00032203"/>
    <w:rsid w:val="000322C3"/>
    <w:rsid w:val="0003318E"/>
    <w:rsid w:val="000334DD"/>
    <w:rsid w:val="00033790"/>
    <w:rsid w:val="00033A90"/>
    <w:rsid w:val="00033FF5"/>
    <w:rsid w:val="0003480C"/>
    <w:rsid w:val="00034EC4"/>
    <w:rsid w:val="00035388"/>
    <w:rsid w:val="000356F8"/>
    <w:rsid w:val="00035CE9"/>
    <w:rsid w:val="00035DCA"/>
    <w:rsid w:val="000375EA"/>
    <w:rsid w:val="00040431"/>
    <w:rsid w:val="00040507"/>
    <w:rsid w:val="00040808"/>
    <w:rsid w:val="000409F0"/>
    <w:rsid w:val="00040D0D"/>
    <w:rsid w:val="00040DE5"/>
    <w:rsid w:val="000419C9"/>
    <w:rsid w:val="00041B94"/>
    <w:rsid w:val="0004237F"/>
    <w:rsid w:val="00042474"/>
    <w:rsid w:val="000428F6"/>
    <w:rsid w:val="00042FA2"/>
    <w:rsid w:val="00043A56"/>
    <w:rsid w:val="00043DA4"/>
    <w:rsid w:val="000446B3"/>
    <w:rsid w:val="00044732"/>
    <w:rsid w:val="0004480F"/>
    <w:rsid w:val="000451B4"/>
    <w:rsid w:val="000451B9"/>
    <w:rsid w:val="000451DF"/>
    <w:rsid w:val="00045C7B"/>
    <w:rsid w:val="000461BA"/>
    <w:rsid w:val="00046879"/>
    <w:rsid w:val="00046BB0"/>
    <w:rsid w:val="00046D74"/>
    <w:rsid w:val="000474F9"/>
    <w:rsid w:val="00047709"/>
    <w:rsid w:val="00047760"/>
    <w:rsid w:val="00047FF1"/>
    <w:rsid w:val="00050039"/>
    <w:rsid w:val="00050132"/>
    <w:rsid w:val="0005034F"/>
    <w:rsid w:val="00050715"/>
    <w:rsid w:val="000512B4"/>
    <w:rsid w:val="0005135A"/>
    <w:rsid w:val="00051782"/>
    <w:rsid w:val="000523A6"/>
    <w:rsid w:val="0005262C"/>
    <w:rsid w:val="00052658"/>
    <w:rsid w:val="000528FC"/>
    <w:rsid w:val="00052B4D"/>
    <w:rsid w:val="00053CBF"/>
    <w:rsid w:val="00053F66"/>
    <w:rsid w:val="0005410E"/>
    <w:rsid w:val="00054D6D"/>
    <w:rsid w:val="00054EA2"/>
    <w:rsid w:val="0005532E"/>
    <w:rsid w:val="00055862"/>
    <w:rsid w:val="00056082"/>
    <w:rsid w:val="000561EF"/>
    <w:rsid w:val="00056365"/>
    <w:rsid w:val="000564D2"/>
    <w:rsid w:val="00057289"/>
    <w:rsid w:val="0005728F"/>
    <w:rsid w:val="000573A2"/>
    <w:rsid w:val="00057A69"/>
    <w:rsid w:val="00060C08"/>
    <w:rsid w:val="00060C63"/>
    <w:rsid w:val="00060DC5"/>
    <w:rsid w:val="00060F07"/>
    <w:rsid w:val="00060FCC"/>
    <w:rsid w:val="0006116D"/>
    <w:rsid w:val="0006172C"/>
    <w:rsid w:val="00061FDC"/>
    <w:rsid w:val="000621F8"/>
    <w:rsid w:val="0006240D"/>
    <w:rsid w:val="00063600"/>
    <w:rsid w:val="00063665"/>
    <w:rsid w:val="00063902"/>
    <w:rsid w:val="00063A94"/>
    <w:rsid w:val="00063C61"/>
    <w:rsid w:val="000640C9"/>
    <w:rsid w:val="000642BC"/>
    <w:rsid w:val="000645C5"/>
    <w:rsid w:val="0006466A"/>
    <w:rsid w:val="00064828"/>
    <w:rsid w:val="0006487C"/>
    <w:rsid w:val="00064C88"/>
    <w:rsid w:val="00064F84"/>
    <w:rsid w:val="000658FE"/>
    <w:rsid w:val="00065AD0"/>
    <w:rsid w:val="000661BA"/>
    <w:rsid w:val="0006663D"/>
    <w:rsid w:val="00066682"/>
    <w:rsid w:val="00066B02"/>
    <w:rsid w:val="0006754D"/>
    <w:rsid w:val="00067559"/>
    <w:rsid w:val="00067853"/>
    <w:rsid w:val="00067D17"/>
    <w:rsid w:val="00070169"/>
    <w:rsid w:val="000709FD"/>
    <w:rsid w:val="00070BDD"/>
    <w:rsid w:val="00070C07"/>
    <w:rsid w:val="000711FA"/>
    <w:rsid w:val="00071258"/>
    <w:rsid w:val="00071916"/>
    <w:rsid w:val="000719CA"/>
    <w:rsid w:val="000724D8"/>
    <w:rsid w:val="00072BA7"/>
    <w:rsid w:val="00072E13"/>
    <w:rsid w:val="000731B8"/>
    <w:rsid w:val="00073297"/>
    <w:rsid w:val="000735B6"/>
    <w:rsid w:val="0007396D"/>
    <w:rsid w:val="00074ADF"/>
    <w:rsid w:val="00074CBF"/>
    <w:rsid w:val="00074E22"/>
    <w:rsid w:val="00075137"/>
    <w:rsid w:val="000752E6"/>
    <w:rsid w:val="000754BA"/>
    <w:rsid w:val="00075C2B"/>
    <w:rsid w:val="00076C18"/>
    <w:rsid w:val="000774B7"/>
    <w:rsid w:val="00077596"/>
    <w:rsid w:val="00077E7D"/>
    <w:rsid w:val="00080163"/>
    <w:rsid w:val="000802AD"/>
    <w:rsid w:val="0008070E"/>
    <w:rsid w:val="00080C2E"/>
    <w:rsid w:val="00081212"/>
    <w:rsid w:val="0008138D"/>
    <w:rsid w:val="000815D8"/>
    <w:rsid w:val="00082999"/>
    <w:rsid w:val="00082CDD"/>
    <w:rsid w:val="00083252"/>
    <w:rsid w:val="000837D4"/>
    <w:rsid w:val="00083D15"/>
    <w:rsid w:val="00083D7F"/>
    <w:rsid w:val="0008436A"/>
    <w:rsid w:val="00084772"/>
    <w:rsid w:val="000848CD"/>
    <w:rsid w:val="000849C6"/>
    <w:rsid w:val="00084ABB"/>
    <w:rsid w:val="00084D4E"/>
    <w:rsid w:val="000854B2"/>
    <w:rsid w:val="00085743"/>
    <w:rsid w:val="0008585D"/>
    <w:rsid w:val="00085A26"/>
    <w:rsid w:val="00085D6A"/>
    <w:rsid w:val="00086432"/>
    <w:rsid w:val="00086583"/>
    <w:rsid w:val="00086891"/>
    <w:rsid w:val="0008737F"/>
    <w:rsid w:val="00087CF4"/>
    <w:rsid w:val="00087D35"/>
    <w:rsid w:val="00087E2F"/>
    <w:rsid w:val="00090020"/>
    <w:rsid w:val="00090B95"/>
    <w:rsid w:val="00090C05"/>
    <w:rsid w:val="00091902"/>
    <w:rsid w:val="00092483"/>
    <w:rsid w:val="000925B3"/>
    <w:rsid w:val="000938C4"/>
    <w:rsid w:val="00093A23"/>
    <w:rsid w:val="000940F3"/>
    <w:rsid w:val="00094585"/>
    <w:rsid w:val="000949DB"/>
    <w:rsid w:val="00095118"/>
    <w:rsid w:val="000958E0"/>
    <w:rsid w:val="00095ACD"/>
    <w:rsid w:val="00095E4C"/>
    <w:rsid w:val="0009633C"/>
    <w:rsid w:val="00096392"/>
    <w:rsid w:val="00096C81"/>
    <w:rsid w:val="00097978"/>
    <w:rsid w:val="00097BB6"/>
    <w:rsid w:val="00097C7F"/>
    <w:rsid w:val="00097E92"/>
    <w:rsid w:val="00097FE9"/>
    <w:rsid w:val="000A0258"/>
    <w:rsid w:val="000A05D7"/>
    <w:rsid w:val="000A0A3A"/>
    <w:rsid w:val="000A0D02"/>
    <w:rsid w:val="000A100E"/>
    <w:rsid w:val="000A193B"/>
    <w:rsid w:val="000A1FAE"/>
    <w:rsid w:val="000A2518"/>
    <w:rsid w:val="000A2FD2"/>
    <w:rsid w:val="000A32CB"/>
    <w:rsid w:val="000A366D"/>
    <w:rsid w:val="000A39AF"/>
    <w:rsid w:val="000A4041"/>
    <w:rsid w:val="000A4213"/>
    <w:rsid w:val="000A470A"/>
    <w:rsid w:val="000A48C7"/>
    <w:rsid w:val="000A49E4"/>
    <w:rsid w:val="000A4C2C"/>
    <w:rsid w:val="000A5024"/>
    <w:rsid w:val="000A56A9"/>
    <w:rsid w:val="000A57A6"/>
    <w:rsid w:val="000A5F27"/>
    <w:rsid w:val="000A5F35"/>
    <w:rsid w:val="000A60FA"/>
    <w:rsid w:val="000A610E"/>
    <w:rsid w:val="000A63EE"/>
    <w:rsid w:val="000A699F"/>
    <w:rsid w:val="000A74D4"/>
    <w:rsid w:val="000A783E"/>
    <w:rsid w:val="000A7A18"/>
    <w:rsid w:val="000A7D43"/>
    <w:rsid w:val="000B0B0C"/>
    <w:rsid w:val="000B13F9"/>
    <w:rsid w:val="000B1811"/>
    <w:rsid w:val="000B1B0B"/>
    <w:rsid w:val="000B247E"/>
    <w:rsid w:val="000B287D"/>
    <w:rsid w:val="000B2B15"/>
    <w:rsid w:val="000B348C"/>
    <w:rsid w:val="000B34E5"/>
    <w:rsid w:val="000B3A11"/>
    <w:rsid w:val="000B41F7"/>
    <w:rsid w:val="000B43CF"/>
    <w:rsid w:val="000B44A6"/>
    <w:rsid w:val="000B45D9"/>
    <w:rsid w:val="000B4C69"/>
    <w:rsid w:val="000B4F18"/>
    <w:rsid w:val="000B4F29"/>
    <w:rsid w:val="000B65EC"/>
    <w:rsid w:val="000B694E"/>
    <w:rsid w:val="000B6DFE"/>
    <w:rsid w:val="000B7EF9"/>
    <w:rsid w:val="000C055C"/>
    <w:rsid w:val="000C056A"/>
    <w:rsid w:val="000C05F2"/>
    <w:rsid w:val="000C0725"/>
    <w:rsid w:val="000C0A4C"/>
    <w:rsid w:val="000C0B87"/>
    <w:rsid w:val="000C0D2A"/>
    <w:rsid w:val="000C1497"/>
    <w:rsid w:val="000C1917"/>
    <w:rsid w:val="000C2AB6"/>
    <w:rsid w:val="000C3132"/>
    <w:rsid w:val="000C38DC"/>
    <w:rsid w:val="000C3936"/>
    <w:rsid w:val="000C3DC0"/>
    <w:rsid w:val="000C4032"/>
    <w:rsid w:val="000C4228"/>
    <w:rsid w:val="000C46EE"/>
    <w:rsid w:val="000C5A3A"/>
    <w:rsid w:val="000C5CC8"/>
    <w:rsid w:val="000C5EAB"/>
    <w:rsid w:val="000C5F3E"/>
    <w:rsid w:val="000C6043"/>
    <w:rsid w:val="000C6772"/>
    <w:rsid w:val="000C68CC"/>
    <w:rsid w:val="000C7B39"/>
    <w:rsid w:val="000C7C5E"/>
    <w:rsid w:val="000C7DE0"/>
    <w:rsid w:val="000D0E99"/>
    <w:rsid w:val="000D0F02"/>
    <w:rsid w:val="000D2128"/>
    <w:rsid w:val="000D237E"/>
    <w:rsid w:val="000D2C11"/>
    <w:rsid w:val="000D3431"/>
    <w:rsid w:val="000D34C2"/>
    <w:rsid w:val="000D3C39"/>
    <w:rsid w:val="000D4324"/>
    <w:rsid w:val="000D436A"/>
    <w:rsid w:val="000D4410"/>
    <w:rsid w:val="000D4BE4"/>
    <w:rsid w:val="000D4C34"/>
    <w:rsid w:val="000D57A0"/>
    <w:rsid w:val="000D58B4"/>
    <w:rsid w:val="000D5C83"/>
    <w:rsid w:val="000D5EC3"/>
    <w:rsid w:val="000D6051"/>
    <w:rsid w:val="000D60D3"/>
    <w:rsid w:val="000D6FDD"/>
    <w:rsid w:val="000D7A14"/>
    <w:rsid w:val="000D7ADC"/>
    <w:rsid w:val="000E042C"/>
    <w:rsid w:val="000E0699"/>
    <w:rsid w:val="000E06AB"/>
    <w:rsid w:val="000E10D0"/>
    <w:rsid w:val="000E12A9"/>
    <w:rsid w:val="000E17A7"/>
    <w:rsid w:val="000E182E"/>
    <w:rsid w:val="000E197A"/>
    <w:rsid w:val="000E1AE6"/>
    <w:rsid w:val="000E236D"/>
    <w:rsid w:val="000E23C1"/>
    <w:rsid w:val="000E26A1"/>
    <w:rsid w:val="000E2A11"/>
    <w:rsid w:val="000E2CA8"/>
    <w:rsid w:val="000E36B4"/>
    <w:rsid w:val="000E390C"/>
    <w:rsid w:val="000E39E6"/>
    <w:rsid w:val="000E4062"/>
    <w:rsid w:val="000E42EC"/>
    <w:rsid w:val="000E463C"/>
    <w:rsid w:val="000E555A"/>
    <w:rsid w:val="000E5EE1"/>
    <w:rsid w:val="000E6092"/>
    <w:rsid w:val="000E6FFE"/>
    <w:rsid w:val="000E70C4"/>
    <w:rsid w:val="000E7406"/>
    <w:rsid w:val="000E7609"/>
    <w:rsid w:val="000E796F"/>
    <w:rsid w:val="000E7B66"/>
    <w:rsid w:val="000F004A"/>
    <w:rsid w:val="000F0486"/>
    <w:rsid w:val="000F1A9A"/>
    <w:rsid w:val="000F2170"/>
    <w:rsid w:val="000F22BA"/>
    <w:rsid w:val="000F2EFD"/>
    <w:rsid w:val="000F2F06"/>
    <w:rsid w:val="000F3491"/>
    <w:rsid w:val="000F34EC"/>
    <w:rsid w:val="000F37A3"/>
    <w:rsid w:val="000F3D69"/>
    <w:rsid w:val="000F428D"/>
    <w:rsid w:val="000F4447"/>
    <w:rsid w:val="000F4493"/>
    <w:rsid w:val="000F467C"/>
    <w:rsid w:val="000F48A0"/>
    <w:rsid w:val="000F49FD"/>
    <w:rsid w:val="000F4A76"/>
    <w:rsid w:val="000F4D70"/>
    <w:rsid w:val="000F53FE"/>
    <w:rsid w:val="000F545A"/>
    <w:rsid w:val="000F5D1B"/>
    <w:rsid w:val="000F6155"/>
    <w:rsid w:val="000F6A44"/>
    <w:rsid w:val="000F6AD6"/>
    <w:rsid w:val="000F6BD4"/>
    <w:rsid w:val="000F6BFC"/>
    <w:rsid w:val="0010052B"/>
    <w:rsid w:val="001006B1"/>
    <w:rsid w:val="00100A73"/>
    <w:rsid w:val="00101366"/>
    <w:rsid w:val="0010188F"/>
    <w:rsid w:val="00101A9B"/>
    <w:rsid w:val="00101B2F"/>
    <w:rsid w:val="00101D29"/>
    <w:rsid w:val="0010207E"/>
    <w:rsid w:val="001023E7"/>
    <w:rsid w:val="0010286E"/>
    <w:rsid w:val="00102C08"/>
    <w:rsid w:val="00103431"/>
    <w:rsid w:val="00103D38"/>
    <w:rsid w:val="0010593D"/>
    <w:rsid w:val="001064E1"/>
    <w:rsid w:val="0010659D"/>
    <w:rsid w:val="00106691"/>
    <w:rsid w:val="00106A6E"/>
    <w:rsid w:val="0010731B"/>
    <w:rsid w:val="001076A0"/>
    <w:rsid w:val="001078F0"/>
    <w:rsid w:val="00107A58"/>
    <w:rsid w:val="00107C8C"/>
    <w:rsid w:val="00107D86"/>
    <w:rsid w:val="00110524"/>
    <w:rsid w:val="00110AD6"/>
    <w:rsid w:val="0011137D"/>
    <w:rsid w:val="001119E3"/>
    <w:rsid w:val="00111D04"/>
    <w:rsid w:val="001120C3"/>
    <w:rsid w:val="00112690"/>
    <w:rsid w:val="0011298E"/>
    <w:rsid w:val="00112DDF"/>
    <w:rsid w:val="00113233"/>
    <w:rsid w:val="00113250"/>
    <w:rsid w:val="0011331B"/>
    <w:rsid w:val="00114149"/>
    <w:rsid w:val="001143CF"/>
    <w:rsid w:val="001149A6"/>
    <w:rsid w:val="00114A49"/>
    <w:rsid w:val="00114C2F"/>
    <w:rsid w:val="0011527E"/>
    <w:rsid w:val="00115688"/>
    <w:rsid w:val="0011573E"/>
    <w:rsid w:val="001157F5"/>
    <w:rsid w:val="001158F4"/>
    <w:rsid w:val="00116F83"/>
    <w:rsid w:val="0011735D"/>
    <w:rsid w:val="0011755C"/>
    <w:rsid w:val="0011762C"/>
    <w:rsid w:val="00117799"/>
    <w:rsid w:val="00117D0C"/>
    <w:rsid w:val="001201C7"/>
    <w:rsid w:val="00120344"/>
    <w:rsid w:val="00120794"/>
    <w:rsid w:val="0012105D"/>
    <w:rsid w:val="0012131B"/>
    <w:rsid w:val="00121622"/>
    <w:rsid w:val="001220BB"/>
    <w:rsid w:val="00122EA6"/>
    <w:rsid w:val="00123034"/>
    <w:rsid w:val="001234EF"/>
    <w:rsid w:val="0012397E"/>
    <w:rsid w:val="00123FB9"/>
    <w:rsid w:val="001240F4"/>
    <w:rsid w:val="001241D1"/>
    <w:rsid w:val="00124F27"/>
    <w:rsid w:val="001257FD"/>
    <w:rsid w:val="0012661E"/>
    <w:rsid w:val="00126975"/>
    <w:rsid w:val="0012699D"/>
    <w:rsid w:val="00127328"/>
    <w:rsid w:val="00127555"/>
    <w:rsid w:val="00127681"/>
    <w:rsid w:val="0012771A"/>
    <w:rsid w:val="001309D1"/>
    <w:rsid w:val="00131277"/>
    <w:rsid w:val="001314E5"/>
    <w:rsid w:val="0013160B"/>
    <w:rsid w:val="00131A97"/>
    <w:rsid w:val="00131AE8"/>
    <w:rsid w:val="00131F98"/>
    <w:rsid w:val="001326F0"/>
    <w:rsid w:val="00132CA3"/>
    <w:rsid w:val="00132FC0"/>
    <w:rsid w:val="001330A8"/>
    <w:rsid w:val="00133581"/>
    <w:rsid w:val="00133D48"/>
    <w:rsid w:val="001340B2"/>
    <w:rsid w:val="001340E4"/>
    <w:rsid w:val="00134653"/>
    <w:rsid w:val="00134A2F"/>
    <w:rsid w:val="001352D3"/>
    <w:rsid w:val="0013562F"/>
    <w:rsid w:val="00135684"/>
    <w:rsid w:val="001359CC"/>
    <w:rsid w:val="00135C0A"/>
    <w:rsid w:val="00135EE7"/>
    <w:rsid w:val="0013697B"/>
    <w:rsid w:val="00136CAA"/>
    <w:rsid w:val="0013707F"/>
    <w:rsid w:val="001370FA"/>
    <w:rsid w:val="001373E5"/>
    <w:rsid w:val="00137596"/>
    <w:rsid w:val="00137B18"/>
    <w:rsid w:val="00137BD1"/>
    <w:rsid w:val="00137D52"/>
    <w:rsid w:val="001404A7"/>
    <w:rsid w:val="0014082E"/>
    <w:rsid w:val="001409A7"/>
    <w:rsid w:val="00140C52"/>
    <w:rsid w:val="00141245"/>
    <w:rsid w:val="00141B0A"/>
    <w:rsid w:val="001425CD"/>
    <w:rsid w:val="00142C48"/>
    <w:rsid w:val="0014306A"/>
    <w:rsid w:val="001432FA"/>
    <w:rsid w:val="00143E5B"/>
    <w:rsid w:val="00144938"/>
    <w:rsid w:val="00145032"/>
    <w:rsid w:val="0014579F"/>
    <w:rsid w:val="00145915"/>
    <w:rsid w:val="00145970"/>
    <w:rsid w:val="00145A95"/>
    <w:rsid w:val="00145BB7"/>
    <w:rsid w:val="001464B0"/>
    <w:rsid w:val="001464C5"/>
    <w:rsid w:val="001464CD"/>
    <w:rsid w:val="00146695"/>
    <w:rsid w:val="00146E16"/>
    <w:rsid w:val="00147385"/>
    <w:rsid w:val="00147BCD"/>
    <w:rsid w:val="00147EF6"/>
    <w:rsid w:val="001500F2"/>
    <w:rsid w:val="00150E13"/>
    <w:rsid w:val="001510D9"/>
    <w:rsid w:val="001510FF"/>
    <w:rsid w:val="001515A1"/>
    <w:rsid w:val="001518AF"/>
    <w:rsid w:val="00151BFE"/>
    <w:rsid w:val="00151D65"/>
    <w:rsid w:val="001529B2"/>
    <w:rsid w:val="00152A20"/>
    <w:rsid w:val="00152AE2"/>
    <w:rsid w:val="00152D97"/>
    <w:rsid w:val="00152F15"/>
    <w:rsid w:val="00153106"/>
    <w:rsid w:val="00153613"/>
    <w:rsid w:val="00153B2C"/>
    <w:rsid w:val="00153FF3"/>
    <w:rsid w:val="0015444C"/>
    <w:rsid w:val="00154657"/>
    <w:rsid w:val="001547B4"/>
    <w:rsid w:val="00155717"/>
    <w:rsid w:val="00156011"/>
    <w:rsid w:val="00156182"/>
    <w:rsid w:val="00156625"/>
    <w:rsid w:val="00157A26"/>
    <w:rsid w:val="00157C05"/>
    <w:rsid w:val="00157D1B"/>
    <w:rsid w:val="00160587"/>
    <w:rsid w:val="001606B3"/>
    <w:rsid w:val="001606CD"/>
    <w:rsid w:val="00160780"/>
    <w:rsid w:val="00160C0D"/>
    <w:rsid w:val="00160C1E"/>
    <w:rsid w:val="00160DC0"/>
    <w:rsid w:val="00161122"/>
    <w:rsid w:val="00161808"/>
    <w:rsid w:val="001618BE"/>
    <w:rsid w:val="001619AA"/>
    <w:rsid w:val="00161B38"/>
    <w:rsid w:val="001629D4"/>
    <w:rsid w:val="00162B02"/>
    <w:rsid w:val="00162BFD"/>
    <w:rsid w:val="001632CC"/>
    <w:rsid w:val="001638B7"/>
    <w:rsid w:val="001643DF"/>
    <w:rsid w:val="001645BD"/>
    <w:rsid w:val="001651B0"/>
    <w:rsid w:val="001654CF"/>
    <w:rsid w:val="001659CF"/>
    <w:rsid w:val="00165EDB"/>
    <w:rsid w:val="00165F81"/>
    <w:rsid w:val="00167065"/>
    <w:rsid w:val="0016720C"/>
    <w:rsid w:val="00167471"/>
    <w:rsid w:val="001675D1"/>
    <w:rsid w:val="001678BC"/>
    <w:rsid w:val="00170290"/>
    <w:rsid w:val="00170AD5"/>
    <w:rsid w:val="00171B67"/>
    <w:rsid w:val="00171FE5"/>
    <w:rsid w:val="001720F1"/>
    <w:rsid w:val="001724B8"/>
    <w:rsid w:val="00173117"/>
    <w:rsid w:val="0017339A"/>
    <w:rsid w:val="00173EAD"/>
    <w:rsid w:val="00173F77"/>
    <w:rsid w:val="0017410C"/>
    <w:rsid w:val="0017563A"/>
    <w:rsid w:val="00175E08"/>
    <w:rsid w:val="0017697F"/>
    <w:rsid w:val="001775BB"/>
    <w:rsid w:val="00177670"/>
    <w:rsid w:val="0017786E"/>
    <w:rsid w:val="00177A85"/>
    <w:rsid w:val="00177EDF"/>
    <w:rsid w:val="001803F7"/>
    <w:rsid w:val="00180A73"/>
    <w:rsid w:val="0018155F"/>
    <w:rsid w:val="00181850"/>
    <w:rsid w:val="00182BEC"/>
    <w:rsid w:val="001834F0"/>
    <w:rsid w:val="001835D2"/>
    <w:rsid w:val="0018365F"/>
    <w:rsid w:val="00183B5D"/>
    <w:rsid w:val="00183FE4"/>
    <w:rsid w:val="00184FFC"/>
    <w:rsid w:val="001855AE"/>
    <w:rsid w:val="0018564D"/>
    <w:rsid w:val="001858E3"/>
    <w:rsid w:val="00185D5C"/>
    <w:rsid w:val="0018639C"/>
    <w:rsid w:val="001864EF"/>
    <w:rsid w:val="00186D00"/>
    <w:rsid w:val="001871FB"/>
    <w:rsid w:val="0018758E"/>
    <w:rsid w:val="00190850"/>
    <w:rsid w:val="00190CEE"/>
    <w:rsid w:val="00190E4C"/>
    <w:rsid w:val="00190F59"/>
    <w:rsid w:val="00190FAD"/>
    <w:rsid w:val="001915C3"/>
    <w:rsid w:val="001917B3"/>
    <w:rsid w:val="00191D47"/>
    <w:rsid w:val="00191DFA"/>
    <w:rsid w:val="0019224C"/>
    <w:rsid w:val="001922E5"/>
    <w:rsid w:val="001922FC"/>
    <w:rsid w:val="0019234D"/>
    <w:rsid w:val="00192C01"/>
    <w:rsid w:val="00192E45"/>
    <w:rsid w:val="0019308A"/>
    <w:rsid w:val="0019318F"/>
    <w:rsid w:val="00193628"/>
    <w:rsid w:val="00193847"/>
    <w:rsid w:val="00193B16"/>
    <w:rsid w:val="00193B75"/>
    <w:rsid w:val="00194369"/>
    <w:rsid w:val="00194B3C"/>
    <w:rsid w:val="00194C52"/>
    <w:rsid w:val="001954BC"/>
    <w:rsid w:val="001958A7"/>
    <w:rsid w:val="00195FF6"/>
    <w:rsid w:val="00196346"/>
    <w:rsid w:val="001965F8"/>
    <w:rsid w:val="00196933"/>
    <w:rsid w:val="00196A0A"/>
    <w:rsid w:val="001972AC"/>
    <w:rsid w:val="00197692"/>
    <w:rsid w:val="00197836"/>
    <w:rsid w:val="00197878"/>
    <w:rsid w:val="00197D51"/>
    <w:rsid w:val="001A05E1"/>
    <w:rsid w:val="001A0B9C"/>
    <w:rsid w:val="001A0BA3"/>
    <w:rsid w:val="001A0C4E"/>
    <w:rsid w:val="001A15A5"/>
    <w:rsid w:val="001A270E"/>
    <w:rsid w:val="001A2C98"/>
    <w:rsid w:val="001A3410"/>
    <w:rsid w:val="001A37AD"/>
    <w:rsid w:val="001A3BD4"/>
    <w:rsid w:val="001A3E1D"/>
    <w:rsid w:val="001A43B3"/>
    <w:rsid w:val="001A4937"/>
    <w:rsid w:val="001A53CC"/>
    <w:rsid w:val="001A5FB6"/>
    <w:rsid w:val="001A6330"/>
    <w:rsid w:val="001A6697"/>
    <w:rsid w:val="001A7064"/>
    <w:rsid w:val="001A72B4"/>
    <w:rsid w:val="001A76AA"/>
    <w:rsid w:val="001A786A"/>
    <w:rsid w:val="001A797D"/>
    <w:rsid w:val="001A7C4D"/>
    <w:rsid w:val="001B0069"/>
    <w:rsid w:val="001B017A"/>
    <w:rsid w:val="001B02CE"/>
    <w:rsid w:val="001B03E2"/>
    <w:rsid w:val="001B08FD"/>
    <w:rsid w:val="001B0976"/>
    <w:rsid w:val="001B0B46"/>
    <w:rsid w:val="001B13EA"/>
    <w:rsid w:val="001B1CA4"/>
    <w:rsid w:val="001B231B"/>
    <w:rsid w:val="001B2868"/>
    <w:rsid w:val="001B2CAB"/>
    <w:rsid w:val="001B34C2"/>
    <w:rsid w:val="001B3522"/>
    <w:rsid w:val="001B3E65"/>
    <w:rsid w:val="001B3F72"/>
    <w:rsid w:val="001B47B6"/>
    <w:rsid w:val="001B4977"/>
    <w:rsid w:val="001B4CF3"/>
    <w:rsid w:val="001B5294"/>
    <w:rsid w:val="001B5A91"/>
    <w:rsid w:val="001B606B"/>
    <w:rsid w:val="001B6202"/>
    <w:rsid w:val="001B6332"/>
    <w:rsid w:val="001B6463"/>
    <w:rsid w:val="001B6CA8"/>
    <w:rsid w:val="001B6F29"/>
    <w:rsid w:val="001B77DD"/>
    <w:rsid w:val="001C065C"/>
    <w:rsid w:val="001C08B8"/>
    <w:rsid w:val="001C0A40"/>
    <w:rsid w:val="001C0B52"/>
    <w:rsid w:val="001C165F"/>
    <w:rsid w:val="001C1B7C"/>
    <w:rsid w:val="001C1C9B"/>
    <w:rsid w:val="001C1D44"/>
    <w:rsid w:val="001C1EB6"/>
    <w:rsid w:val="001C1FE1"/>
    <w:rsid w:val="001C2145"/>
    <w:rsid w:val="001C229F"/>
    <w:rsid w:val="001C22BC"/>
    <w:rsid w:val="001C2380"/>
    <w:rsid w:val="001C2473"/>
    <w:rsid w:val="001C29A9"/>
    <w:rsid w:val="001C2A17"/>
    <w:rsid w:val="001C2ABA"/>
    <w:rsid w:val="001C2BDA"/>
    <w:rsid w:val="001C316A"/>
    <w:rsid w:val="001C32BA"/>
    <w:rsid w:val="001C35C7"/>
    <w:rsid w:val="001C3884"/>
    <w:rsid w:val="001C3F80"/>
    <w:rsid w:val="001C40AA"/>
    <w:rsid w:val="001C471F"/>
    <w:rsid w:val="001C47D4"/>
    <w:rsid w:val="001C501A"/>
    <w:rsid w:val="001C509C"/>
    <w:rsid w:val="001C5132"/>
    <w:rsid w:val="001C5D86"/>
    <w:rsid w:val="001C6454"/>
    <w:rsid w:val="001C64E0"/>
    <w:rsid w:val="001C6755"/>
    <w:rsid w:val="001C7F46"/>
    <w:rsid w:val="001C7FA4"/>
    <w:rsid w:val="001D040C"/>
    <w:rsid w:val="001D05DD"/>
    <w:rsid w:val="001D2032"/>
    <w:rsid w:val="001D2213"/>
    <w:rsid w:val="001D260B"/>
    <w:rsid w:val="001D33AD"/>
    <w:rsid w:val="001D3CA2"/>
    <w:rsid w:val="001D3D24"/>
    <w:rsid w:val="001D3E07"/>
    <w:rsid w:val="001D41DD"/>
    <w:rsid w:val="001D4CF2"/>
    <w:rsid w:val="001D4DEF"/>
    <w:rsid w:val="001D55D8"/>
    <w:rsid w:val="001D5C4B"/>
    <w:rsid w:val="001D65EC"/>
    <w:rsid w:val="001D710A"/>
    <w:rsid w:val="001D7113"/>
    <w:rsid w:val="001D764A"/>
    <w:rsid w:val="001D7690"/>
    <w:rsid w:val="001E0058"/>
    <w:rsid w:val="001E0250"/>
    <w:rsid w:val="001E0D69"/>
    <w:rsid w:val="001E134E"/>
    <w:rsid w:val="001E1679"/>
    <w:rsid w:val="001E1C8C"/>
    <w:rsid w:val="001E1E3D"/>
    <w:rsid w:val="001E2A0A"/>
    <w:rsid w:val="001E2A86"/>
    <w:rsid w:val="001E2B2C"/>
    <w:rsid w:val="001E2C3D"/>
    <w:rsid w:val="001E3AA3"/>
    <w:rsid w:val="001E3C31"/>
    <w:rsid w:val="001E428B"/>
    <w:rsid w:val="001E4E31"/>
    <w:rsid w:val="001E526C"/>
    <w:rsid w:val="001E59B7"/>
    <w:rsid w:val="001E5BAB"/>
    <w:rsid w:val="001E60FC"/>
    <w:rsid w:val="001E62D6"/>
    <w:rsid w:val="001E656A"/>
    <w:rsid w:val="001E6722"/>
    <w:rsid w:val="001E6AA9"/>
    <w:rsid w:val="001E6CC7"/>
    <w:rsid w:val="001E6F6C"/>
    <w:rsid w:val="001E73EE"/>
    <w:rsid w:val="001F0218"/>
    <w:rsid w:val="001F059C"/>
    <w:rsid w:val="001F0987"/>
    <w:rsid w:val="001F15D4"/>
    <w:rsid w:val="001F1BD7"/>
    <w:rsid w:val="001F2D8A"/>
    <w:rsid w:val="001F2DFF"/>
    <w:rsid w:val="001F3239"/>
    <w:rsid w:val="001F33F8"/>
    <w:rsid w:val="001F34DC"/>
    <w:rsid w:val="001F34FE"/>
    <w:rsid w:val="001F35B0"/>
    <w:rsid w:val="001F367B"/>
    <w:rsid w:val="001F415F"/>
    <w:rsid w:val="001F47DD"/>
    <w:rsid w:val="001F484B"/>
    <w:rsid w:val="001F4A72"/>
    <w:rsid w:val="001F50C7"/>
    <w:rsid w:val="001F5310"/>
    <w:rsid w:val="001F539B"/>
    <w:rsid w:val="001F577E"/>
    <w:rsid w:val="001F57CA"/>
    <w:rsid w:val="001F6C66"/>
    <w:rsid w:val="001F6D06"/>
    <w:rsid w:val="001F7292"/>
    <w:rsid w:val="001F74E7"/>
    <w:rsid w:val="001F761A"/>
    <w:rsid w:val="001F7759"/>
    <w:rsid w:val="001F7BFF"/>
    <w:rsid w:val="001F7E12"/>
    <w:rsid w:val="00200266"/>
    <w:rsid w:val="00200338"/>
    <w:rsid w:val="00200602"/>
    <w:rsid w:val="002011DA"/>
    <w:rsid w:val="0020182D"/>
    <w:rsid w:val="002018D3"/>
    <w:rsid w:val="00201D48"/>
    <w:rsid w:val="00202258"/>
    <w:rsid w:val="002025C8"/>
    <w:rsid w:val="00202A59"/>
    <w:rsid w:val="00202F5F"/>
    <w:rsid w:val="0020357A"/>
    <w:rsid w:val="00203F7B"/>
    <w:rsid w:val="00203FB5"/>
    <w:rsid w:val="00204334"/>
    <w:rsid w:val="00205196"/>
    <w:rsid w:val="002053A8"/>
    <w:rsid w:val="00206399"/>
    <w:rsid w:val="002067CD"/>
    <w:rsid w:val="00206895"/>
    <w:rsid w:val="00206E21"/>
    <w:rsid w:val="00206F16"/>
    <w:rsid w:val="0020782F"/>
    <w:rsid w:val="002101B9"/>
    <w:rsid w:val="0021098A"/>
    <w:rsid w:val="00210BC4"/>
    <w:rsid w:val="00210DA6"/>
    <w:rsid w:val="00211232"/>
    <w:rsid w:val="0021135B"/>
    <w:rsid w:val="00211520"/>
    <w:rsid w:val="00211FF7"/>
    <w:rsid w:val="002125CB"/>
    <w:rsid w:val="002127AF"/>
    <w:rsid w:val="002128D2"/>
    <w:rsid w:val="00212D0F"/>
    <w:rsid w:val="00212D92"/>
    <w:rsid w:val="00212EEE"/>
    <w:rsid w:val="0021401A"/>
    <w:rsid w:val="002142F7"/>
    <w:rsid w:val="00214C6C"/>
    <w:rsid w:val="002150B5"/>
    <w:rsid w:val="0021530E"/>
    <w:rsid w:val="00215723"/>
    <w:rsid w:val="00215E2A"/>
    <w:rsid w:val="00216376"/>
    <w:rsid w:val="002163AC"/>
    <w:rsid w:val="002164CF"/>
    <w:rsid w:val="00216B4A"/>
    <w:rsid w:val="00216BFD"/>
    <w:rsid w:val="00216DB4"/>
    <w:rsid w:val="00216F09"/>
    <w:rsid w:val="00217534"/>
    <w:rsid w:val="00217827"/>
    <w:rsid w:val="0022017D"/>
    <w:rsid w:val="00220742"/>
    <w:rsid w:val="00220CC1"/>
    <w:rsid w:val="00221154"/>
    <w:rsid w:val="002213A3"/>
    <w:rsid w:val="002213C6"/>
    <w:rsid w:val="0022154B"/>
    <w:rsid w:val="00221A45"/>
    <w:rsid w:val="00221CD7"/>
    <w:rsid w:val="002225B5"/>
    <w:rsid w:val="00222605"/>
    <w:rsid w:val="00222CD3"/>
    <w:rsid w:val="00222E14"/>
    <w:rsid w:val="00223F50"/>
    <w:rsid w:val="00224207"/>
    <w:rsid w:val="00225249"/>
    <w:rsid w:val="002252CD"/>
    <w:rsid w:val="002262B8"/>
    <w:rsid w:val="002263D7"/>
    <w:rsid w:val="0022788E"/>
    <w:rsid w:val="002308BE"/>
    <w:rsid w:val="00230D68"/>
    <w:rsid w:val="0023151C"/>
    <w:rsid w:val="00231BF0"/>
    <w:rsid w:val="00231C95"/>
    <w:rsid w:val="00231EBB"/>
    <w:rsid w:val="00231FE8"/>
    <w:rsid w:val="00232724"/>
    <w:rsid w:val="00232BD7"/>
    <w:rsid w:val="00232F69"/>
    <w:rsid w:val="0023305C"/>
    <w:rsid w:val="00233673"/>
    <w:rsid w:val="00233A8D"/>
    <w:rsid w:val="00233D3B"/>
    <w:rsid w:val="002346C8"/>
    <w:rsid w:val="0023476F"/>
    <w:rsid w:val="00234878"/>
    <w:rsid w:val="00234D8E"/>
    <w:rsid w:val="00234F92"/>
    <w:rsid w:val="00235197"/>
    <w:rsid w:val="00235DD4"/>
    <w:rsid w:val="00235E0A"/>
    <w:rsid w:val="00235F90"/>
    <w:rsid w:val="002361DA"/>
    <w:rsid w:val="00236743"/>
    <w:rsid w:val="00236A5B"/>
    <w:rsid w:val="00236B6E"/>
    <w:rsid w:val="00236E84"/>
    <w:rsid w:val="00236E87"/>
    <w:rsid w:val="00237BC6"/>
    <w:rsid w:val="00237C88"/>
    <w:rsid w:val="00237DEB"/>
    <w:rsid w:val="00237E82"/>
    <w:rsid w:val="00237EBD"/>
    <w:rsid w:val="002401C2"/>
    <w:rsid w:val="002403DC"/>
    <w:rsid w:val="002403ED"/>
    <w:rsid w:val="00240698"/>
    <w:rsid w:val="00240A69"/>
    <w:rsid w:val="00240B07"/>
    <w:rsid w:val="0024140E"/>
    <w:rsid w:val="00241C5A"/>
    <w:rsid w:val="00241E0B"/>
    <w:rsid w:val="00241FA0"/>
    <w:rsid w:val="00242216"/>
    <w:rsid w:val="0024295C"/>
    <w:rsid w:val="00242A62"/>
    <w:rsid w:val="002432AB"/>
    <w:rsid w:val="00243317"/>
    <w:rsid w:val="00243BED"/>
    <w:rsid w:val="00243FEC"/>
    <w:rsid w:val="00244042"/>
    <w:rsid w:val="002442CD"/>
    <w:rsid w:val="00244F7A"/>
    <w:rsid w:val="00245A86"/>
    <w:rsid w:val="00245C09"/>
    <w:rsid w:val="00245D1B"/>
    <w:rsid w:val="00245F70"/>
    <w:rsid w:val="00246131"/>
    <w:rsid w:val="00246EB7"/>
    <w:rsid w:val="0024746C"/>
    <w:rsid w:val="002478CA"/>
    <w:rsid w:val="002506BE"/>
    <w:rsid w:val="002509E2"/>
    <w:rsid w:val="00250DAE"/>
    <w:rsid w:val="00250DE5"/>
    <w:rsid w:val="00250EF5"/>
    <w:rsid w:val="002514E6"/>
    <w:rsid w:val="0025183C"/>
    <w:rsid w:val="0025196D"/>
    <w:rsid w:val="00251E34"/>
    <w:rsid w:val="00252552"/>
    <w:rsid w:val="002526BB"/>
    <w:rsid w:val="002538FC"/>
    <w:rsid w:val="00253F9D"/>
    <w:rsid w:val="00254DC5"/>
    <w:rsid w:val="002550E1"/>
    <w:rsid w:val="00255191"/>
    <w:rsid w:val="0025532D"/>
    <w:rsid w:val="0025583A"/>
    <w:rsid w:val="00255A28"/>
    <w:rsid w:val="00255A92"/>
    <w:rsid w:val="00255AB1"/>
    <w:rsid w:val="00255D0E"/>
    <w:rsid w:val="0025603A"/>
    <w:rsid w:val="0025667D"/>
    <w:rsid w:val="00256F4E"/>
    <w:rsid w:val="00257D29"/>
    <w:rsid w:val="00257DAC"/>
    <w:rsid w:val="00257ECC"/>
    <w:rsid w:val="002600A7"/>
    <w:rsid w:val="00260600"/>
    <w:rsid w:val="002606BB"/>
    <w:rsid w:val="002607D5"/>
    <w:rsid w:val="002611B9"/>
    <w:rsid w:val="00261416"/>
    <w:rsid w:val="00261A0A"/>
    <w:rsid w:val="00261B7D"/>
    <w:rsid w:val="00261CC8"/>
    <w:rsid w:val="00261DB4"/>
    <w:rsid w:val="00262C11"/>
    <w:rsid w:val="00262EE8"/>
    <w:rsid w:val="00263268"/>
    <w:rsid w:val="00263541"/>
    <w:rsid w:val="00263C58"/>
    <w:rsid w:val="00263C92"/>
    <w:rsid w:val="00264883"/>
    <w:rsid w:val="00264C33"/>
    <w:rsid w:val="00265509"/>
    <w:rsid w:val="00266918"/>
    <w:rsid w:val="0026742E"/>
    <w:rsid w:val="00267806"/>
    <w:rsid w:val="00267997"/>
    <w:rsid w:val="0027028E"/>
    <w:rsid w:val="002706B9"/>
    <w:rsid w:val="00270726"/>
    <w:rsid w:val="00270A28"/>
    <w:rsid w:val="002712FD"/>
    <w:rsid w:val="00271578"/>
    <w:rsid w:val="00271FE6"/>
    <w:rsid w:val="002728BE"/>
    <w:rsid w:val="0027297F"/>
    <w:rsid w:val="00272BBC"/>
    <w:rsid w:val="002732E2"/>
    <w:rsid w:val="0027397A"/>
    <w:rsid w:val="00273B44"/>
    <w:rsid w:val="00273D28"/>
    <w:rsid w:val="00273DCC"/>
    <w:rsid w:val="00273E8E"/>
    <w:rsid w:val="00274014"/>
    <w:rsid w:val="0027425A"/>
    <w:rsid w:val="00274857"/>
    <w:rsid w:val="0027486F"/>
    <w:rsid w:val="0027488C"/>
    <w:rsid w:val="00274B47"/>
    <w:rsid w:val="00274EDD"/>
    <w:rsid w:val="00274F97"/>
    <w:rsid w:val="0027504E"/>
    <w:rsid w:val="00275208"/>
    <w:rsid w:val="002752AC"/>
    <w:rsid w:val="00275317"/>
    <w:rsid w:val="00275B86"/>
    <w:rsid w:val="00275C5E"/>
    <w:rsid w:val="002762D7"/>
    <w:rsid w:val="002762E0"/>
    <w:rsid w:val="002764A9"/>
    <w:rsid w:val="002765EA"/>
    <w:rsid w:val="00276FEA"/>
    <w:rsid w:val="00277603"/>
    <w:rsid w:val="0027776F"/>
    <w:rsid w:val="00277CF7"/>
    <w:rsid w:val="00277D9C"/>
    <w:rsid w:val="00277DE9"/>
    <w:rsid w:val="00277DFA"/>
    <w:rsid w:val="002807D2"/>
    <w:rsid w:val="00280C48"/>
    <w:rsid w:val="0028159B"/>
    <w:rsid w:val="00281C7B"/>
    <w:rsid w:val="002821A6"/>
    <w:rsid w:val="00282349"/>
    <w:rsid w:val="0028281B"/>
    <w:rsid w:val="002829E7"/>
    <w:rsid w:val="00282BE1"/>
    <w:rsid w:val="00282E40"/>
    <w:rsid w:val="002834AC"/>
    <w:rsid w:val="0028395A"/>
    <w:rsid w:val="00285205"/>
    <w:rsid w:val="00285604"/>
    <w:rsid w:val="002859B9"/>
    <w:rsid w:val="00285ECE"/>
    <w:rsid w:val="002861B5"/>
    <w:rsid w:val="00286955"/>
    <w:rsid w:val="00286B4B"/>
    <w:rsid w:val="00286BDE"/>
    <w:rsid w:val="00287014"/>
    <w:rsid w:val="00287578"/>
    <w:rsid w:val="0028774B"/>
    <w:rsid w:val="002902C4"/>
    <w:rsid w:val="00290616"/>
    <w:rsid w:val="00290C7D"/>
    <w:rsid w:val="00290DCF"/>
    <w:rsid w:val="00290DE3"/>
    <w:rsid w:val="00291706"/>
    <w:rsid w:val="002919E0"/>
    <w:rsid w:val="00291A94"/>
    <w:rsid w:val="00291C7B"/>
    <w:rsid w:val="00291F53"/>
    <w:rsid w:val="00292326"/>
    <w:rsid w:val="0029233A"/>
    <w:rsid w:val="00292669"/>
    <w:rsid w:val="00292AE2"/>
    <w:rsid w:val="002934BF"/>
    <w:rsid w:val="002937B0"/>
    <w:rsid w:val="0029402D"/>
    <w:rsid w:val="0029459D"/>
    <w:rsid w:val="0029491A"/>
    <w:rsid w:val="00294948"/>
    <w:rsid w:val="00294BC0"/>
    <w:rsid w:val="00294EBA"/>
    <w:rsid w:val="00296468"/>
    <w:rsid w:val="0029770C"/>
    <w:rsid w:val="00297E29"/>
    <w:rsid w:val="002A0102"/>
    <w:rsid w:val="002A06E0"/>
    <w:rsid w:val="002A08B6"/>
    <w:rsid w:val="002A0906"/>
    <w:rsid w:val="002A097D"/>
    <w:rsid w:val="002A0A62"/>
    <w:rsid w:val="002A17CC"/>
    <w:rsid w:val="002A1905"/>
    <w:rsid w:val="002A19EF"/>
    <w:rsid w:val="002A1A65"/>
    <w:rsid w:val="002A1B75"/>
    <w:rsid w:val="002A30C8"/>
    <w:rsid w:val="002A3F06"/>
    <w:rsid w:val="002A412A"/>
    <w:rsid w:val="002A51F1"/>
    <w:rsid w:val="002A5EB4"/>
    <w:rsid w:val="002A60EC"/>
    <w:rsid w:val="002A6278"/>
    <w:rsid w:val="002A63F7"/>
    <w:rsid w:val="002A67AA"/>
    <w:rsid w:val="002A702E"/>
    <w:rsid w:val="002A707D"/>
    <w:rsid w:val="002A72D6"/>
    <w:rsid w:val="002A7C2B"/>
    <w:rsid w:val="002A7DE1"/>
    <w:rsid w:val="002B0159"/>
    <w:rsid w:val="002B03CA"/>
    <w:rsid w:val="002B0E0A"/>
    <w:rsid w:val="002B1063"/>
    <w:rsid w:val="002B1A68"/>
    <w:rsid w:val="002B1B7D"/>
    <w:rsid w:val="002B1EC7"/>
    <w:rsid w:val="002B1FB8"/>
    <w:rsid w:val="002B224A"/>
    <w:rsid w:val="002B251A"/>
    <w:rsid w:val="002B2C49"/>
    <w:rsid w:val="002B2F00"/>
    <w:rsid w:val="002B2F3B"/>
    <w:rsid w:val="002B30C8"/>
    <w:rsid w:val="002B3402"/>
    <w:rsid w:val="002B3A89"/>
    <w:rsid w:val="002B42E9"/>
    <w:rsid w:val="002B474E"/>
    <w:rsid w:val="002B4B12"/>
    <w:rsid w:val="002B4EDB"/>
    <w:rsid w:val="002B4F08"/>
    <w:rsid w:val="002B5F59"/>
    <w:rsid w:val="002B608B"/>
    <w:rsid w:val="002B6141"/>
    <w:rsid w:val="002B64E4"/>
    <w:rsid w:val="002B6A22"/>
    <w:rsid w:val="002B6A2B"/>
    <w:rsid w:val="002B7A93"/>
    <w:rsid w:val="002C0748"/>
    <w:rsid w:val="002C0949"/>
    <w:rsid w:val="002C1196"/>
    <w:rsid w:val="002C159E"/>
    <w:rsid w:val="002C15AE"/>
    <w:rsid w:val="002C1684"/>
    <w:rsid w:val="002C2014"/>
    <w:rsid w:val="002C20EF"/>
    <w:rsid w:val="002C25F0"/>
    <w:rsid w:val="002C2EF5"/>
    <w:rsid w:val="002C319E"/>
    <w:rsid w:val="002C36EF"/>
    <w:rsid w:val="002C3C01"/>
    <w:rsid w:val="002C4517"/>
    <w:rsid w:val="002C4728"/>
    <w:rsid w:val="002C48D0"/>
    <w:rsid w:val="002C5507"/>
    <w:rsid w:val="002C5606"/>
    <w:rsid w:val="002C5E90"/>
    <w:rsid w:val="002C60D0"/>
    <w:rsid w:val="002C64CD"/>
    <w:rsid w:val="002C66A1"/>
    <w:rsid w:val="002C6826"/>
    <w:rsid w:val="002C6C78"/>
    <w:rsid w:val="002C6E5F"/>
    <w:rsid w:val="002C7B0A"/>
    <w:rsid w:val="002C7C20"/>
    <w:rsid w:val="002C7F25"/>
    <w:rsid w:val="002D0335"/>
    <w:rsid w:val="002D08AA"/>
    <w:rsid w:val="002D1554"/>
    <w:rsid w:val="002D18CF"/>
    <w:rsid w:val="002D24CC"/>
    <w:rsid w:val="002D28BB"/>
    <w:rsid w:val="002D2C2D"/>
    <w:rsid w:val="002D3101"/>
    <w:rsid w:val="002D3291"/>
    <w:rsid w:val="002D3770"/>
    <w:rsid w:val="002D3910"/>
    <w:rsid w:val="002D3980"/>
    <w:rsid w:val="002D3B4E"/>
    <w:rsid w:val="002D3B87"/>
    <w:rsid w:val="002D471C"/>
    <w:rsid w:val="002D49D1"/>
    <w:rsid w:val="002D4ADE"/>
    <w:rsid w:val="002D4F43"/>
    <w:rsid w:val="002D518C"/>
    <w:rsid w:val="002D52CF"/>
    <w:rsid w:val="002D58FF"/>
    <w:rsid w:val="002D5A6A"/>
    <w:rsid w:val="002D5B7C"/>
    <w:rsid w:val="002D5C81"/>
    <w:rsid w:val="002D5DE1"/>
    <w:rsid w:val="002D5E85"/>
    <w:rsid w:val="002D653E"/>
    <w:rsid w:val="002D6745"/>
    <w:rsid w:val="002D6D50"/>
    <w:rsid w:val="002D6D93"/>
    <w:rsid w:val="002D7625"/>
    <w:rsid w:val="002D777F"/>
    <w:rsid w:val="002D798C"/>
    <w:rsid w:val="002E0355"/>
    <w:rsid w:val="002E03C3"/>
    <w:rsid w:val="002E0934"/>
    <w:rsid w:val="002E0A4F"/>
    <w:rsid w:val="002E0C82"/>
    <w:rsid w:val="002E0F68"/>
    <w:rsid w:val="002E137C"/>
    <w:rsid w:val="002E14D1"/>
    <w:rsid w:val="002E1BAE"/>
    <w:rsid w:val="002E2FB3"/>
    <w:rsid w:val="002E31AE"/>
    <w:rsid w:val="002E3383"/>
    <w:rsid w:val="002E3542"/>
    <w:rsid w:val="002E3CCB"/>
    <w:rsid w:val="002E4678"/>
    <w:rsid w:val="002E54A3"/>
    <w:rsid w:val="002E562C"/>
    <w:rsid w:val="002E660A"/>
    <w:rsid w:val="002E66DA"/>
    <w:rsid w:val="002E68A8"/>
    <w:rsid w:val="002E6F7F"/>
    <w:rsid w:val="002E7259"/>
    <w:rsid w:val="002E74F4"/>
    <w:rsid w:val="002E76DD"/>
    <w:rsid w:val="002E7A75"/>
    <w:rsid w:val="002F07C3"/>
    <w:rsid w:val="002F07F4"/>
    <w:rsid w:val="002F1147"/>
    <w:rsid w:val="002F14DD"/>
    <w:rsid w:val="002F1B82"/>
    <w:rsid w:val="002F2207"/>
    <w:rsid w:val="002F2535"/>
    <w:rsid w:val="002F2A1F"/>
    <w:rsid w:val="002F2E4B"/>
    <w:rsid w:val="002F3759"/>
    <w:rsid w:val="002F39DA"/>
    <w:rsid w:val="002F3BE9"/>
    <w:rsid w:val="002F3E66"/>
    <w:rsid w:val="002F5807"/>
    <w:rsid w:val="002F5924"/>
    <w:rsid w:val="002F6474"/>
    <w:rsid w:val="002F6E2F"/>
    <w:rsid w:val="002F75EA"/>
    <w:rsid w:val="002F7667"/>
    <w:rsid w:val="002F7682"/>
    <w:rsid w:val="002F77F2"/>
    <w:rsid w:val="0030211C"/>
    <w:rsid w:val="00302693"/>
    <w:rsid w:val="003030BD"/>
    <w:rsid w:val="003033A5"/>
    <w:rsid w:val="00303A1A"/>
    <w:rsid w:val="00303FD1"/>
    <w:rsid w:val="00304E2D"/>
    <w:rsid w:val="00305508"/>
    <w:rsid w:val="00306414"/>
    <w:rsid w:val="00306879"/>
    <w:rsid w:val="00306A44"/>
    <w:rsid w:val="00306DB0"/>
    <w:rsid w:val="00307245"/>
    <w:rsid w:val="003075B9"/>
    <w:rsid w:val="003077AF"/>
    <w:rsid w:val="00307946"/>
    <w:rsid w:val="00307A0E"/>
    <w:rsid w:val="00307C3A"/>
    <w:rsid w:val="00307D8B"/>
    <w:rsid w:val="00307E57"/>
    <w:rsid w:val="00307EC8"/>
    <w:rsid w:val="00310587"/>
    <w:rsid w:val="003114E8"/>
    <w:rsid w:val="00311663"/>
    <w:rsid w:val="003118E6"/>
    <w:rsid w:val="003125EE"/>
    <w:rsid w:val="003126BB"/>
    <w:rsid w:val="003127B1"/>
    <w:rsid w:val="00312B53"/>
    <w:rsid w:val="00312BEC"/>
    <w:rsid w:val="00312C4C"/>
    <w:rsid w:val="00312DF1"/>
    <w:rsid w:val="00313088"/>
    <w:rsid w:val="00313A37"/>
    <w:rsid w:val="00313B11"/>
    <w:rsid w:val="00314BDB"/>
    <w:rsid w:val="00314E6D"/>
    <w:rsid w:val="00314EB7"/>
    <w:rsid w:val="0031514A"/>
    <w:rsid w:val="00315420"/>
    <w:rsid w:val="0031590B"/>
    <w:rsid w:val="0031606A"/>
    <w:rsid w:val="0031639F"/>
    <w:rsid w:val="003164F8"/>
    <w:rsid w:val="00316C2E"/>
    <w:rsid w:val="00316E87"/>
    <w:rsid w:val="00317013"/>
    <w:rsid w:val="003170BC"/>
    <w:rsid w:val="003172BC"/>
    <w:rsid w:val="00317A3A"/>
    <w:rsid w:val="00317A52"/>
    <w:rsid w:val="003205A8"/>
    <w:rsid w:val="00320682"/>
    <w:rsid w:val="00320CED"/>
    <w:rsid w:val="00321983"/>
    <w:rsid w:val="00321986"/>
    <w:rsid w:val="00322505"/>
    <w:rsid w:val="00322CA7"/>
    <w:rsid w:val="00322D9E"/>
    <w:rsid w:val="00322FB5"/>
    <w:rsid w:val="0032304B"/>
    <w:rsid w:val="00323150"/>
    <w:rsid w:val="003243CD"/>
    <w:rsid w:val="00324BD8"/>
    <w:rsid w:val="00325276"/>
    <w:rsid w:val="0032578F"/>
    <w:rsid w:val="003258E5"/>
    <w:rsid w:val="00325B71"/>
    <w:rsid w:val="003262B7"/>
    <w:rsid w:val="0032687E"/>
    <w:rsid w:val="00326BF9"/>
    <w:rsid w:val="00326DC4"/>
    <w:rsid w:val="003277B5"/>
    <w:rsid w:val="00330B76"/>
    <w:rsid w:val="00330FBF"/>
    <w:rsid w:val="00331226"/>
    <w:rsid w:val="00331257"/>
    <w:rsid w:val="003312AE"/>
    <w:rsid w:val="003313FD"/>
    <w:rsid w:val="0033166B"/>
    <w:rsid w:val="00331A60"/>
    <w:rsid w:val="00331B9D"/>
    <w:rsid w:val="003322F5"/>
    <w:rsid w:val="003324A3"/>
    <w:rsid w:val="00332565"/>
    <w:rsid w:val="00333218"/>
    <w:rsid w:val="0033404E"/>
    <w:rsid w:val="00334871"/>
    <w:rsid w:val="00334ABD"/>
    <w:rsid w:val="0033504B"/>
    <w:rsid w:val="0033551E"/>
    <w:rsid w:val="00336B3B"/>
    <w:rsid w:val="00337251"/>
    <w:rsid w:val="003379F6"/>
    <w:rsid w:val="00340A97"/>
    <w:rsid w:val="00340CC2"/>
    <w:rsid w:val="00341351"/>
    <w:rsid w:val="003414D7"/>
    <w:rsid w:val="00341923"/>
    <w:rsid w:val="0034193A"/>
    <w:rsid w:val="00341D42"/>
    <w:rsid w:val="00341DAC"/>
    <w:rsid w:val="00342201"/>
    <w:rsid w:val="0034226B"/>
    <w:rsid w:val="003422B1"/>
    <w:rsid w:val="003423F0"/>
    <w:rsid w:val="00342729"/>
    <w:rsid w:val="0034276B"/>
    <w:rsid w:val="00342831"/>
    <w:rsid w:val="003431CD"/>
    <w:rsid w:val="00343687"/>
    <w:rsid w:val="003439F5"/>
    <w:rsid w:val="00343A48"/>
    <w:rsid w:val="00343B1C"/>
    <w:rsid w:val="00343CB3"/>
    <w:rsid w:val="0034400E"/>
    <w:rsid w:val="0034503C"/>
    <w:rsid w:val="00345716"/>
    <w:rsid w:val="00345929"/>
    <w:rsid w:val="00345962"/>
    <w:rsid w:val="00345D16"/>
    <w:rsid w:val="00345FF7"/>
    <w:rsid w:val="00346250"/>
    <w:rsid w:val="00346320"/>
    <w:rsid w:val="00346A40"/>
    <w:rsid w:val="00347385"/>
    <w:rsid w:val="003477CF"/>
    <w:rsid w:val="00347A91"/>
    <w:rsid w:val="00347AA4"/>
    <w:rsid w:val="00347D95"/>
    <w:rsid w:val="00347E3F"/>
    <w:rsid w:val="00350954"/>
    <w:rsid w:val="00350C09"/>
    <w:rsid w:val="00350DF8"/>
    <w:rsid w:val="00350F44"/>
    <w:rsid w:val="003515A4"/>
    <w:rsid w:val="003515EE"/>
    <w:rsid w:val="00351A3F"/>
    <w:rsid w:val="00351BC2"/>
    <w:rsid w:val="00351FCF"/>
    <w:rsid w:val="0035210A"/>
    <w:rsid w:val="003524B0"/>
    <w:rsid w:val="00352AC9"/>
    <w:rsid w:val="00352BDC"/>
    <w:rsid w:val="00352F9C"/>
    <w:rsid w:val="0035347A"/>
    <w:rsid w:val="00353762"/>
    <w:rsid w:val="003544F1"/>
    <w:rsid w:val="00354526"/>
    <w:rsid w:val="0035518C"/>
    <w:rsid w:val="00355475"/>
    <w:rsid w:val="003558F5"/>
    <w:rsid w:val="00355B06"/>
    <w:rsid w:val="00355CE3"/>
    <w:rsid w:val="0035628D"/>
    <w:rsid w:val="003567C5"/>
    <w:rsid w:val="00356FB3"/>
    <w:rsid w:val="00357906"/>
    <w:rsid w:val="0036002A"/>
    <w:rsid w:val="0036010B"/>
    <w:rsid w:val="003603AA"/>
    <w:rsid w:val="0036064E"/>
    <w:rsid w:val="003609E2"/>
    <w:rsid w:val="00360B92"/>
    <w:rsid w:val="00360BF3"/>
    <w:rsid w:val="003616D0"/>
    <w:rsid w:val="00361BD6"/>
    <w:rsid w:val="00361E8B"/>
    <w:rsid w:val="0036238E"/>
    <w:rsid w:val="00362619"/>
    <w:rsid w:val="00362680"/>
    <w:rsid w:val="003626D9"/>
    <w:rsid w:val="00362762"/>
    <w:rsid w:val="00362C87"/>
    <w:rsid w:val="00362F0A"/>
    <w:rsid w:val="0036312C"/>
    <w:rsid w:val="00363204"/>
    <w:rsid w:val="003633A6"/>
    <w:rsid w:val="00364399"/>
    <w:rsid w:val="003649EC"/>
    <w:rsid w:val="00364FD0"/>
    <w:rsid w:val="00365069"/>
    <w:rsid w:val="00366218"/>
    <w:rsid w:val="00366B89"/>
    <w:rsid w:val="00366F20"/>
    <w:rsid w:val="00366F76"/>
    <w:rsid w:val="00367271"/>
    <w:rsid w:val="00367671"/>
    <w:rsid w:val="00370178"/>
    <w:rsid w:val="003702E6"/>
    <w:rsid w:val="00370D95"/>
    <w:rsid w:val="00370E1D"/>
    <w:rsid w:val="00370E7E"/>
    <w:rsid w:val="00370F21"/>
    <w:rsid w:val="00370FC6"/>
    <w:rsid w:val="0037114F"/>
    <w:rsid w:val="00371150"/>
    <w:rsid w:val="003714F4"/>
    <w:rsid w:val="00371A4B"/>
    <w:rsid w:val="00371C70"/>
    <w:rsid w:val="00371E62"/>
    <w:rsid w:val="00371E69"/>
    <w:rsid w:val="00371E8D"/>
    <w:rsid w:val="0037265E"/>
    <w:rsid w:val="00372B6A"/>
    <w:rsid w:val="00372C09"/>
    <w:rsid w:val="00372E18"/>
    <w:rsid w:val="00372F8E"/>
    <w:rsid w:val="0037302C"/>
    <w:rsid w:val="00373421"/>
    <w:rsid w:val="003739E6"/>
    <w:rsid w:val="00373A9F"/>
    <w:rsid w:val="003741E1"/>
    <w:rsid w:val="0037453B"/>
    <w:rsid w:val="00374749"/>
    <w:rsid w:val="00374DC6"/>
    <w:rsid w:val="00374E9F"/>
    <w:rsid w:val="0037519A"/>
    <w:rsid w:val="003758D7"/>
    <w:rsid w:val="00375E07"/>
    <w:rsid w:val="00376520"/>
    <w:rsid w:val="00376BCE"/>
    <w:rsid w:val="003770F9"/>
    <w:rsid w:val="003776FA"/>
    <w:rsid w:val="00377AFF"/>
    <w:rsid w:val="0038074A"/>
    <w:rsid w:val="00380D10"/>
    <w:rsid w:val="00381274"/>
    <w:rsid w:val="003813C8"/>
    <w:rsid w:val="00381A12"/>
    <w:rsid w:val="0038220A"/>
    <w:rsid w:val="003826ED"/>
    <w:rsid w:val="0038292B"/>
    <w:rsid w:val="00382B8C"/>
    <w:rsid w:val="00382CF3"/>
    <w:rsid w:val="0038329F"/>
    <w:rsid w:val="00383524"/>
    <w:rsid w:val="00383589"/>
    <w:rsid w:val="003837C0"/>
    <w:rsid w:val="00384647"/>
    <w:rsid w:val="00384A13"/>
    <w:rsid w:val="00384BB9"/>
    <w:rsid w:val="00384D67"/>
    <w:rsid w:val="00385167"/>
    <w:rsid w:val="003851A8"/>
    <w:rsid w:val="003854F3"/>
    <w:rsid w:val="003862CB"/>
    <w:rsid w:val="00387897"/>
    <w:rsid w:val="00387C19"/>
    <w:rsid w:val="00387C1A"/>
    <w:rsid w:val="00387CD4"/>
    <w:rsid w:val="003900FE"/>
    <w:rsid w:val="003901D3"/>
    <w:rsid w:val="003909AD"/>
    <w:rsid w:val="00390E8C"/>
    <w:rsid w:val="0039188A"/>
    <w:rsid w:val="00391EE2"/>
    <w:rsid w:val="003923EE"/>
    <w:rsid w:val="0039261D"/>
    <w:rsid w:val="00392634"/>
    <w:rsid w:val="00392C67"/>
    <w:rsid w:val="003935BD"/>
    <w:rsid w:val="0039361B"/>
    <w:rsid w:val="00393D78"/>
    <w:rsid w:val="003940EC"/>
    <w:rsid w:val="0039449F"/>
    <w:rsid w:val="00394641"/>
    <w:rsid w:val="0039486E"/>
    <w:rsid w:val="003949F0"/>
    <w:rsid w:val="0039534D"/>
    <w:rsid w:val="003957F3"/>
    <w:rsid w:val="00395941"/>
    <w:rsid w:val="00396925"/>
    <w:rsid w:val="00396C59"/>
    <w:rsid w:val="003973CE"/>
    <w:rsid w:val="00397F22"/>
    <w:rsid w:val="003A086B"/>
    <w:rsid w:val="003A0DDE"/>
    <w:rsid w:val="003A17F5"/>
    <w:rsid w:val="003A1826"/>
    <w:rsid w:val="003A18E7"/>
    <w:rsid w:val="003A1B25"/>
    <w:rsid w:val="003A23F8"/>
    <w:rsid w:val="003A31E7"/>
    <w:rsid w:val="003A34AD"/>
    <w:rsid w:val="003A3702"/>
    <w:rsid w:val="003A37AA"/>
    <w:rsid w:val="003A3F1E"/>
    <w:rsid w:val="003A3FC3"/>
    <w:rsid w:val="003A55CB"/>
    <w:rsid w:val="003A62BD"/>
    <w:rsid w:val="003A6A94"/>
    <w:rsid w:val="003A716C"/>
    <w:rsid w:val="003A7622"/>
    <w:rsid w:val="003A7B56"/>
    <w:rsid w:val="003A7DC9"/>
    <w:rsid w:val="003A7E82"/>
    <w:rsid w:val="003B0138"/>
    <w:rsid w:val="003B04DC"/>
    <w:rsid w:val="003B0D1A"/>
    <w:rsid w:val="003B1341"/>
    <w:rsid w:val="003B1795"/>
    <w:rsid w:val="003B215C"/>
    <w:rsid w:val="003B3108"/>
    <w:rsid w:val="003B43C6"/>
    <w:rsid w:val="003B5090"/>
    <w:rsid w:val="003B54CD"/>
    <w:rsid w:val="003B574F"/>
    <w:rsid w:val="003B5CB8"/>
    <w:rsid w:val="003B6131"/>
    <w:rsid w:val="003B6338"/>
    <w:rsid w:val="003B6607"/>
    <w:rsid w:val="003B7288"/>
    <w:rsid w:val="003B74E2"/>
    <w:rsid w:val="003C0695"/>
    <w:rsid w:val="003C0F7C"/>
    <w:rsid w:val="003C12E8"/>
    <w:rsid w:val="003C16EC"/>
    <w:rsid w:val="003C1812"/>
    <w:rsid w:val="003C2165"/>
    <w:rsid w:val="003C2686"/>
    <w:rsid w:val="003C2BEA"/>
    <w:rsid w:val="003C2E72"/>
    <w:rsid w:val="003C33A3"/>
    <w:rsid w:val="003C34BD"/>
    <w:rsid w:val="003C3551"/>
    <w:rsid w:val="003C37AB"/>
    <w:rsid w:val="003C39FC"/>
    <w:rsid w:val="003C3A1C"/>
    <w:rsid w:val="003C45EA"/>
    <w:rsid w:val="003C53ED"/>
    <w:rsid w:val="003C577B"/>
    <w:rsid w:val="003C5E69"/>
    <w:rsid w:val="003C5FA3"/>
    <w:rsid w:val="003C7602"/>
    <w:rsid w:val="003C7D3A"/>
    <w:rsid w:val="003D01E2"/>
    <w:rsid w:val="003D01F4"/>
    <w:rsid w:val="003D02BA"/>
    <w:rsid w:val="003D032D"/>
    <w:rsid w:val="003D03C4"/>
    <w:rsid w:val="003D04D5"/>
    <w:rsid w:val="003D0CAC"/>
    <w:rsid w:val="003D0E7E"/>
    <w:rsid w:val="003D0F47"/>
    <w:rsid w:val="003D13F1"/>
    <w:rsid w:val="003D17EC"/>
    <w:rsid w:val="003D2113"/>
    <w:rsid w:val="003D2653"/>
    <w:rsid w:val="003D2699"/>
    <w:rsid w:val="003D2819"/>
    <w:rsid w:val="003D2A44"/>
    <w:rsid w:val="003D3265"/>
    <w:rsid w:val="003D3D52"/>
    <w:rsid w:val="003D4FC2"/>
    <w:rsid w:val="003D5551"/>
    <w:rsid w:val="003D61A8"/>
    <w:rsid w:val="003D6481"/>
    <w:rsid w:val="003D693E"/>
    <w:rsid w:val="003D6B3E"/>
    <w:rsid w:val="003D6B77"/>
    <w:rsid w:val="003D6CB8"/>
    <w:rsid w:val="003D7078"/>
    <w:rsid w:val="003D70F4"/>
    <w:rsid w:val="003D70F9"/>
    <w:rsid w:val="003D74CA"/>
    <w:rsid w:val="003D7838"/>
    <w:rsid w:val="003D7930"/>
    <w:rsid w:val="003D7BA5"/>
    <w:rsid w:val="003D7DA6"/>
    <w:rsid w:val="003E07E7"/>
    <w:rsid w:val="003E09B8"/>
    <w:rsid w:val="003E0A0D"/>
    <w:rsid w:val="003E0E09"/>
    <w:rsid w:val="003E1057"/>
    <w:rsid w:val="003E1194"/>
    <w:rsid w:val="003E18F6"/>
    <w:rsid w:val="003E21E3"/>
    <w:rsid w:val="003E26DE"/>
    <w:rsid w:val="003E2A56"/>
    <w:rsid w:val="003E2D11"/>
    <w:rsid w:val="003E3913"/>
    <w:rsid w:val="003E3F2C"/>
    <w:rsid w:val="003E4AE1"/>
    <w:rsid w:val="003E4BBC"/>
    <w:rsid w:val="003E508E"/>
    <w:rsid w:val="003E59E5"/>
    <w:rsid w:val="003E5E5B"/>
    <w:rsid w:val="003E5F7E"/>
    <w:rsid w:val="003E5FF4"/>
    <w:rsid w:val="003E6675"/>
    <w:rsid w:val="003E66C8"/>
    <w:rsid w:val="003E6C82"/>
    <w:rsid w:val="003E75E0"/>
    <w:rsid w:val="003E7870"/>
    <w:rsid w:val="003E7C93"/>
    <w:rsid w:val="003E7CBA"/>
    <w:rsid w:val="003F018F"/>
    <w:rsid w:val="003F0C6E"/>
    <w:rsid w:val="003F0CA4"/>
    <w:rsid w:val="003F0DAA"/>
    <w:rsid w:val="003F10E9"/>
    <w:rsid w:val="003F147C"/>
    <w:rsid w:val="003F1552"/>
    <w:rsid w:val="003F1974"/>
    <w:rsid w:val="003F1A51"/>
    <w:rsid w:val="003F1AC5"/>
    <w:rsid w:val="003F1C31"/>
    <w:rsid w:val="003F29A3"/>
    <w:rsid w:val="003F2DA6"/>
    <w:rsid w:val="003F2F01"/>
    <w:rsid w:val="003F42E9"/>
    <w:rsid w:val="003F4640"/>
    <w:rsid w:val="003F484E"/>
    <w:rsid w:val="003F48D6"/>
    <w:rsid w:val="003F4D1A"/>
    <w:rsid w:val="003F4FE5"/>
    <w:rsid w:val="003F528C"/>
    <w:rsid w:val="003F5463"/>
    <w:rsid w:val="003F5F3D"/>
    <w:rsid w:val="003F65CF"/>
    <w:rsid w:val="003F6669"/>
    <w:rsid w:val="003F668A"/>
    <w:rsid w:val="003F66A8"/>
    <w:rsid w:val="004004B0"/>
    <w:rsid w:val="00400F0E"/>
    <w:rsid w:val="0040123C"/>
    <w:rsid w:val="00401D06"/>
    <w:rsid w:val="00401D66"/>
    <w:rsid w:val="00401E8E"/>
    <w:rsid w:val="00402420"/>
    <w:rsid w:val="0040251D"/>
    <w:rsid w:val="00402F9C"/>
    <w:rsid w:val="004030A3"/>
    <w:rsid w:val="004036D3"/>
    <w:rsid w:val="0040392B"/>
    <w:rsid w:val="004039A0"/>
    <w:rsid w:val="00403F78"/>
    <w:rsid w:val="0040448F"/>
    <w:rsid w:val="004044A2"/>
    <w:rsid w:val="004048E2"/>
    <w:rsid w:val="0040531D"/>
    <w:rsid w:val="004057F1"/>
    <w:rsid w:val="00405BC8"/>
    <w:rsid w:val="00405F65"/>
    <w:rsid w:val="00406557"/>
    <w:rsid w:val="00406607"/>
    <w:rsid w:val="00406EA4"/>
    <w:rsid w:val="00407608"/>
    <w:rsid w:val="00407F12"/>
    <w:rsid w:val="00410048"/>
    <w:rsid w:val="00410E73"/>
    <w:rsid w:val="00411264"/>
    <w:rsid w:val="00411B02"/>
    <w:rsid w:val="00411E6C"/>
    <w:rsid w:val="004126B9"/>
    <w:rsid w:val="00413106"/>
    <w:rsid w:val="004134CC"/>
    <w:rsid w:val="004137D7"/>
    <w:rsid w:val="00413D90"/>
    <w:rsid w:val="00414054"/>
    <w:rsid w:val="004146D8"/>
    <w:rsid w:val="004151F0"/>
    <w:rsid w:val="00415409"/>
    <w:rsid w:val="004156AA"/>
    <w:rsid w:val="00415858"/>
    <w:rsid w:val="00415BF0"/>
    <w:rsid w:val="00415E9D"/>
    <w:rsid w:val="0041630F"/>
    <w:rsid w:val="00416687"/>
    <w:rsid w:val="00416F60"/>
    <w:rsid w:val="004200B9"/>
    <w:rsid w:val="00420264"/>
    <w:rsid w:val="0042054D"/>
    <w:rsid w:val="00420653"/>
    <w:rsid w:val="00420B72"/>
    <w:rsid w:val="00420C6A"/>
    <w:rsid w:val="004212B0"/>
    <w:rsid w:val="004218CA"/>
    <w:rsid w:val="00421B11"/>
    <w:rsid w:val="00421B39"/>
    <w:rsid w:val="0042207D"/>
    <w:rsid w:val="004225BF"/>
    <w:rsid w:val="00422866"/>
    <w:rsid w:val="00422B63"/>
    <w:rsid w:val="00423158"/>
    <w:rsid w:val="004234D3"/>
    <w:rsid w:val="004235CE"/>
    <w:rsid w:val="00423794"/>
    <w:rsid w:val="00423B8A"/>
    <w:rsid w:val="00423F74"/>
    <w:rsid w:val="0042411B"/>
    <w:rsid w:val="0042452C"/>
    <w:rsid w:val="00424843"/>
    <w:rsid w:val="00424BCC"/>
    <w:rsid w:val="00424FDE"/>
    <w:rsid w:val="00425241"/>
    <w:rsid w:val="004254DC"/>
    <w:rsid w:val="00425D9B"/>
    <w:rsid w:val="004262EC"/>
    <w:rsid w:val="00426C9C"/>
    <w:rsid w:val="00427A35"/>
    <w:rsid w:val="00427C8C"/>
    <w:rsid w:val="004301A5"/>
    <w:rsid w:val="0043061A"/>
    <w:rsid w:val="00430674"/>
    <w:rsid w:val="004308D6"/>
    <w:rsid w:val="00430BE3"/>
    <w:rsid w:val="004310FE"/>
    <w:rsid w:val="004319F4"/>
    <w:rsid w:val="00431E1F"/>
    <w:rsid w:val="004327B4"/>
    <w:rsid w:val="00432DF7"/>
    <w:rsid w:val="004335D7"/>
    <w:rsid w:val="0043437E"/>
    <w:rsid w:val="00434A08"/>
    <w:rsid w:val="00434BCA"/>
    <w:rsid w:val="00435117"/>
    <w:rsid w:val="00435242"/>
    <w:rsid w:val="00435546"/>
    <w:rsid w:val="00435781"/>
    <w:rsid w:val="00435A95"/>
    <w:rsid w:val="00435E27"/>
    <w:rsid w:val="0043616F"/>
    <w:rsid w:val="004361E1"/>
    <w:rsid w:val="00436ABA"/>
    <w:rsid w:val="00436FC7"/>
    <w:rsid w:val="004375A8"/>
    <w:rsid w:val="00437964"/>
    <w:rsid w:val="0043798F"/>
    <w:rsid w:val="00437AF2"/>
    <w:rsid w:val="00440A0A"/>
    <w:rsid w:val="00440A43"/>
    <w:rsid w:val="00440CAD"/>
    <w:rsid w:val="0044157A"/>
    <w:rsid w:val="00441E5B"/>
    <w:rsid w:val="00441F34"/>
    <w:rsid w:val="004421EB"/>
    <w:rsid w:val="0044246C"/>
    <w:rsid w:val="004424BD"/>
    <w:rsid w:val="00442629"/>
    <w:rsid w:val="00442AE9"/>
    <w:rsid w:val="00442DBC"/>
    <w:rsid w:val="00444391"/>
    <w:rsid w:val="00444DDE"/>
    <w:rsid w:val="004455A1"/>
    <w:rsid w:val="004455A4"/>
    <w:rsid w:val="00445F39"/>
    <w:rsid w:val="00446543"/>
    <w:rsid w:val="004468B0"/>
    <w:rsid w:val="004477F0"/>
    <w:rsid w:val="004506A1"/>
    <w:rsid w:val="00450B7A"/>
    <w:rsid w:val="00450E18"/>
    <w:rsid w:val="00451170"/>
    <w:rsid w:val="004511D8"/>
    <w:rsid w:val="0045138F"/>
    <w:rsid w:val="004516A7"/>
    <w:rsid w:val="00451CEE"/>
    <w:rsid w:val="00451E0C"/>
    <w:rsid w:val="00452AEE"/>
    <w:rsid w:val="00452CB8"/>
    <w:rsid w:val="0045354F"/>
    <w:rsid w:val="004538E5"/>
    <w:rsid w:val="004539F2"/>
    <w:rsid w:val="00453D8E"/>
    <w:rsid w:val="00453F8A"/>
    <w:rsid w:val="004540F7"/>
    <w:rsid w:val="004544B5"/>
    <w:rsid w:val="00454C4C"/>
    <w:rsid w:val="00455A6C"/>
    <w:rsid w:val="00455D95"/>
    <w:rsid w:val="004566A0"/>
    <w:rsid w:val="00456887"/>
    <w:rsid w:val="00456A88"/>
    <w:rsid w:val="00456D94"/>
    <w:rsid w:val="0045705C"/>
    <w:rsid w:val="0045799D"/>
    <w:rsid w:val="00457C39"/>
    <w:rsid w:val="00457E3F"/>
    <w:rsid w:val="00460231"/>
    <w:rsid w:val="00460822"/>
    <w:rsid w:val="00460837"/>
    <w:rsid w:val="004609BB"/>
    <w:rsid w:val="00460D68"/>
    <w:rsid w:val="00460F49"/>
    <w:rsid w:val="00460F53"/>
    <w:rsid w:val="00461193"/>
    <w:rsid w:val="0046190B"/>
    <w:rsid w:val="004625D2"/>
    <w:rsid w:val="00462AEF"/>
    <w:rsid w:val="0046349B"/>
    <w:rsid w:val="00463A6A"/>
    <w:rsid w:val="00463A8F"/>
    <w:rsid w:val="00464048"/>
    <w:rsid w:val="00464A7C"/>
    <w:rsid w:val="0046588F"/>
    <w:rsid w:val="00465A36"/>
    <w:rsid w:val="00465CF0"/>
    <w:rsid w:val="004668EA"/>
    <w:rsid w:val="00467D98"/>
    <w:rsid w:val="00470FA0"/>
    <w:rsid w:val="00471452"/>
    <w:rsid w:val="00471A68"/>
    <w:rsid w:val="0047243F"/>
    <w:rsid w:val="00472639"/>
    <w:rsid w:val="00472641"/>
    <w:rsid w:val="004726DB"/>
    <w:rsid w:val="004728E8"/>
    <w:rsid w:val="00473207"/>
    <w:rsid w:val="00473968"/>
    <w:rsid w:val="00473A96"/>
    <w:rsid w:val="00473F06"/>
    <w:rsid w:val="00474399"/>
    <w:rsid w:val="0047469D"/>
    <w:rsid w:val="00474B60"/>
    <w:rsid w:val="00474D64"/>
    <w:rsid w:val="00474DEC"/>
    <w:rsid w:val="00474FA0"/>
    <w:rsid w:val="00476A91"/>
    <w:rsid w:val="00477E8A"/>
    <w:rsid w:val="0048014D"/>
    <w:rsid w:val="0048035B"/>
    <w:rsid w:val="004803EB"/>
    <w:rsid w:val="00480C00"/>
    <w:rsid w:val="00480E22"/>
    <w:rsid w:val="00480EA9"/>
    <w:rsid w:val="00481391"/>
    <w:rsid w:val="00481F1D"/>
    <w:rsid w:val="00482B35"/>
    <w:rsid w:val="00482F1F"/>
    <w:rsid w:val="00483088"/>
    <w:rsid w:val="00483618"/>
    <w:rsid w:val="00483867"/>
    <w:rsid w:val="00483CEC"/>
    <w:rsid w:val="00484DB3"/>
    <w:rsid w:val="004851D7"/>
    <w:rsid w:val="0048596F"/>
    <w:rsid w:val="00485C7A"/>
    <w:rsid w:val="0048699A"/>
    <w:rsid w:val="00486ADD"/>
    <w:rsid w:val="00486CA3"/>
    <w:rsid w:val="00486D7C"/>
    <w:rsid w:val="00486E4B"/>
    <w:rsid w:val="00486F3A"/>
    <w:rsid w:val="00486FC6"/>
    <w:rsid w:val="004876BC"/>
    <w:rsid w:val="00487812"/>
    <w:rsid w:val="00487EB5"/>
    <w:rsid w:val="004900E6"/>
    <w:rsid w:val="0049026B"/>
    <w:rsid w:val="00490568"/>
    <w:rsid w:val="004910C2"/>
    <w:rsid w:val="00491261"/>
    <w:rsid w:val="00491476"/>
    <w:rsid w:val="004914D8"/>
    <w:rsid w:val="00491A74"/>
    <w:rsid w:val="00491ECA"/>
    <w:rsid w:val="00492133"/>
    <w:rsid w:val="00492473"/>
    <w:rsid w:val="00493170"/>
    <w:rsid w:val="004935DC"/>
    <w:rsid w:val="00493ABB"/>
    <w:rsid w:val="00493D1D"/>
    <w:rsid w:val="00494491"/>
    <w:rsid w:val="00495477"/>
    <w:rsid w:val="00495FFD"/>
    <w:rsid w:val="0049607C"/>
    <w:rsid w:val="00496A57"/>
    <w:rsid w:val="0049792C"/>
    <w:rsid w:val="004979BD"/>
    <w:rsid w:val="004A012F"/>
    <w:rsid w:val="004A0944"/>
    <w:rsid w:val="004A0BFD"/>
    <w:rsid w:val="004A0C0B"/>
    <w:rsid w:val="004A0E0B"/>
    <w:rsid w:val="004A15F2"/>
    <w:rsid w:val="004A1751"/>
    <w:rsid w:val="004A2108"/>
    <w:rsid w:val="004A2760"/>
    <w:rsid w:val="004A29F7"/>
    <w:rsid w:val="004A2C4B"/>
    <w:rsid w:val="004A3013"/>
    <w:rsid w:val="004A31D6"/>
    <w:rsid w:val="004A359E"/>
    <w:rsid w:val="004A4258"/>
    <w:rsid w:val="004A429C"/>
    <w:rsid w:val="004A4705"/>
    <w:rsid w:val="004A47D5"/>
    <w:rsid w:val="004A566F"/>
    <w:rsid w:val="004A5A00"/>
    <w:rsid w:val="004A607E"/>
    <w:rsid w:val="004A622C"/>
    <w:rsid w:val="004A63B5"/>
    <w:rsid w:val="004A64D1"/>
    <w:rsid w:val="004A6962"/>
    <w:rsid w:val="004A6A0C"/>
    <w:rsid w:val="004B00AE"/>
    <w:rsid w:val="004B09FA"/>
    <w:rsid w:val="004B131A"/>
    <w:rsid w:val="004B15B1"/>
    <w:rsid w:val="004B18FE"/>
    <w:rsid w:val="004B1915"/>
    <w:rsid w:val="004B1979"/>
    <w:rsid w:val="004B1AFC"/>
    <w:rsid w:val="004B1C22"/>
    <w:rsid w:val="004B1C49"/>
    <w:rsid w:val="004B1CDB"/>
    <w:rsid w:val="004B1EC1"/>
    <w:rsid w:val="004B212C"/>
    <w:rsid w:val="004B2397"/>
    <w:rsid w:val="004B24D4"/>
    <w:rsid w:val="004B2F05"/>
    <w:rsid w:val="004B30AE"/>
    <w:rsid w:val="004B317C"/>
    <w:rsid w:val="004B369D"/>
    <w:rsid w:val="004B37E6"/>
    <w:rsid w:val="004B46D4"/>
    <w:rsid w:val="004B4C96"/>
    <w:rsid w:val="004B55E9"/>
    <w:rsid w:val="004B5A5C"/>
    <w:rsid w:val="004B5BB0"/>
    <w:rsid w:val="004B6676"/>
    <w:rsid w:val="004B6BDD"/>
    <w:rsid w:val="004B7012"/>
    <w:rsid w:val="004B7A63"/>
    <w:rsid w:val="004B7BA3"/>
    <w:rsid w:val="004B7E40"/>
    <w:rsid w:val="004C04FC"/>
    <w:rsid w:val="004C098D"/>
    <w:rsid w:val="004C0C51"/>
    <w:rsid w:val="004C1442"/>
    <w:rsid w:val="004C1463"/>
    <w:rsid w:val="004C1653"/>
    <w:rsid w:val="004C1DC6"/>
    <w:rsid w:val="004C2FA3"/>
    <w:rsid w:val="004C31A9"/>
    <w:rsid w:val="004C366E"/>
    <w:rsid w:val="004C3DFA"/>
    <w:rsid w:val="004C3F97"/>
    <w:rsid w:val="004C4007"/>
    <w:rsid w:val="004C4131"/>
    <w:rsid w:val="004C51F5"/>
    <w:rsid w:val="004C538B"/>
    <w:rsid w:val="004C566E"/>
    <w:rsid w:val="004C5CF1"/>
    <w:rsid w:val="004C5F1F"/>
    <w:rsid w:val="004C6138"/>
    <w:rsid w:val="004C61C1"/>
    <w:rsid w:val="004C65F7"/>
    <w:rsid w:val="004C66A8"/>
    <w:rsid w:val="004C681E"/>
    <w:rsid w:val="004C6AA8"/>
    <w:rsid w:val="004C6CD6"/>
    <w:rsid w:val="004C6EE4"/>
    <w:rsid w:val="004C7761"/>
    <w:rsid w:val="004C7923"/>
    <w:rsid w:val="004C793F"/>
    <w:rsid w:val="004D0040"/>
    <w:rsid w:val="004D0AB9"/>
    <w:rsid w:val="004D1175"/>
    <w:rsid w:val="004D126F"/>
    <w:rsid w:val="004D1E89"/>
    <w:rsid w:val="004D21EE"/>
    <w:rsid w:val="004D2629"/>
    <w:rsid w:val="004D28BA"/>
    <w:rsid w:val="004D2E36"/>
    <w:rsid w:val="004D3921"/>
    <w:rsid w:val="004D3E29"/>
    <w:rsid w:val="004D43E5"/>
    <w:rsid w:val="004D4887"/>
    <w:rsid w:val="004D4A7B"/>
    <w:rsid w:val="004D4E34"/>
    <w:rsid w:val="004D54E7"/>
    <w:rsid w:val="004D5649"/>
    <w:rsid w:val="004D5691"/>
    <w:rsid w:val="004D5EFE"/>
    <w:rsid w:val="004D6014"/>
    <w:rsid w:val="004D67C1"/>
    <w:rsid w:val="004D6A45"/>
    <w:rsid w:val="004D7159"/>
    <w:rsid w:val="004D7598"/>
    <w:rsid w:val="004D75CD"/>
    <w:rsid w:val="004D7647"/>
    <w:rsid w:val="004D7EC7"/>
    <w:rsid w:val="004E0128"/>
    <w:rsid w:val="004E01EA"/>
    <w:rsid w:val="004E02D0"/>
    <w:rsid w:val="004E0CF7"/>
    <w:rsid w:val="004E1189"/>
    <w:rsid w:val="004E177E"/>
    <w:rsid w:val="004E17BB"/>
    <w:rsid w:val="004E1E39"/>
    <w:rsid w:val="004E1FDF"/>
    <w:rsid w:val="004E2732"/>
    <w:rsid w:val="004E2B95"/>
    <w:rsid w:val="004E2BFF"/>
    <w:rsid w:val="004E330F"/>
    <w:rsid w:val="004E37A8"/>
    <w:rsid w:val="004E37D0"/>
    <w:rsid w:val="004E3E93"/>
    <w:rsid w:val="004E42CB"/>
    <w:rsid w:val="004E4A7B"/>
    <w:rsid w:val="004E4D98"/>
    <w:rsid w:val="004E516D"/>
    <w:rsid w:val="004E5716"/>
    <w:rsid w:val="004E5A3B"/>
    <w:rsid w:val="004E6046"/>
    <w:rsid w:val="004E631E"/>
    <w:rsid w:val="004E6507"/>
    <w:rsid w:val="004E68F9"/>
    <w:rsid w:val="004E7076"/>
    <w:rsid w:val="004E7260"/>
    <w:rsid w:val="004E7292"/>
    <w:rsid w:val="004E7A58"/>
    <w:rsid w:val="004F082C"/>
    <w:rsid w:val="004F09F4"/>
    <w:rsid w:val="004F0DAC"/>
    <w:rsid w:val="004F15AA"/>
    <w:rsid w:val="004F18B5"/>
    <w:rsid w:val="004F190A"/>
    <w:rsid w:val="004F1A7D"/>
    <w:rsid w:val="004F1EC5"/>
    <w:rsid w:val="004F2787"/>
    <w:rsid w:val="004F2AD9"/>
    <w:rsid w:val="004F2C69"/>
    <w:rsid w:val="004F34DC"/>
    <w:rsid w:val="004F4278"/>
    <w:rsid w:val="004F5D5B"/>
    <w:rsid w:val="004F66D0"/>
    <w:rsid w:val="004F6DCD"/>
    <w:rsid w:val="004F6F67"/>
    <w:rsid w:val="004F6FFF"/>
    <w:rsid w:val="004F749A"/>
    <w:rsid w:val="004F7BC1"/>
    <w:rsid w:val="0050038E"/>
    <w:rsid w:val="005004F7"/>
    <w:rsid w:val="0050095D"/>
    <w:rsid w:val="00500B5C"/>
    <w:rsid w:val="00500DFA"/>
    <w:rsid w:val="00500EC9"/>
    <w:rsid w:val="00500F40"/>
    <w:rsid w:val="00501512"/>
    <w:rsid w:val="00501720"/>
    <w:rsid w:val="00502399"/>
    <w:rsid w:val="005026E8"/>
    <w:rsid w:val="0050287D"/>
    <w:rsid w:val="0050297D"/>
    <w:rsid w:val="0050308F"/>
    <w:rsid w:val="00503367"/>
    <w:rsid w:val="005035E5"/>
    <w:rsid w:val="00503798"/>
    <w:rsid w:val="0050379D"/>
    <w:rsid w:val="00504027"/>
    <w:rsid w:val="0050418B"/>
    <w:rsid w:val="00504325"/>
    <w:rsid w:val="00504E9E"/>
    <w:rsid w:val="00505310"/>
    <w:rsid w:val="0050566B"/>
    <w:rsid w:val="005059B0"/>
    <w:rsid w:val="00505D37"/>
    <w:rsid w:val="005065E5"/>
    <w:rsid w:val="00506687"/>
    <w:rsid w:val="0050672A"/>
    <w:rsid w:val="005070C0"/>
    <w:rsid w:val="005075EE"/>
    <w:rsid w:val="0050766D"/>
    <w:rsid w:val="00510DFF"/>
    <w:rsid w:val="00511878"/>
    <w:rsid w:val="00511D73"/>
    <w:rsid w:val="005120E7"/>
    <w:rsid w:val="00512FB8"/>
    <w:rsid w:val="005133D0"/>
    <w:rsid w:val="005138A6"/>
    <w:rsid w:val="00513D9E"/>
    <w:rsid w:val="005144F1"/>
    <w:rsid w:val="005147FB"/>
    <w:rsid w:val="00515134"/>
    <w:rsid w:val="005152DE"/>
    <w:rsid w:val="005156EE"/>
    <w:rsid w:val="0051588A"/>
    <w:rsid w:val="005159B2"/>
    <w:rsid w:val="00515F06"/>
    <w:rsid w:val="00515F5E"/>
    <w:rsid w:val="005164CD"/>
    <w:rsid w:val="00516537"/>
    <w:rsid w:val="00517A33"/>
    <w:rsid w:val="00520AF3"/>
    <w:rsid w:val="005212D9"/>
    <w:rsid w:val="00521D9B"/>
    <w:rsid w:val="00521FC6"/>
    <w:rsid w:val="00522040"/>
    <w:rsid w:val="005222FF"/>
    <w:rsid w:val="00522614"/>
    <w:rsid w:val="00523264"/>
    <w:rsid w:val="005240E7"/>
    <w:rsid w:val="0052507D"/>
    <w:rsid w:val="005250C7"/>
    <w:rsid w:val="005252B6"/>
    <w:rsid w:val="005255AF"/>
    <w:rsid w:val="00525ED9"/>
    <w:rsid w:val="00526233"/>
    <w:rsid w:val="0052660D"/>
    <w:rsid w:val="00526ECA"/>
    <w:rsid w:val="0052733E"/>
    <w:rsid w:val="00527824"/>
    <w:rsid w:val="00531058"/>
    <w:rsid w:val="00532107"/>
    <w:rsid w:val="00533375"/>
    <w:rsid w:val="00533C17"/>
    <w:rsid w:val="00534451"/>
    <w:rsid w:val="00534592"/>
    <w:rsid w:val="00534922"/>
    <w:rsid w:val="00534A1D"/>
    <w:rsid w:val="00534A43"/>
    <w:rsid w:val="00535759"/>
    <w:rsid w:val="0053583A"/>
    <w:rsid w:val="00535921"/>
    <w:rsid w:val="00535DBC"/>
    <w:rsid w:val="00536F13"/>
    <w:rsid w:val="00537130"/>
    <w:rsid w:val="00537292"/>
    <w:rsid w:val="005374F1"/>
    <w:rsid w:val="0053774E"/>
    <w:rsid w:val="00537BA8"/>
    <w:rsid w:val="00537F16"/>
    <w:rsid w:val="00540173"/>
    <w:rsid w:val="005406CF"/>
    <w:rsid w:val="00540919"/>
    <w:rsid w:val="0054133A"/>
    <w:rsid w:val="005414FF"/>
    <w:rsid w:val="005419E3"/>
    <w:rsid w:val="00541F13"/>
    <w:rsid w:val="00542313"/>
    <w:rsid w:val="005425A1"/>
    <w:rsid w:val="00542663"/>
    <w:rsid w:val="00542664"/>
    <w:rsid w:val="00542A88"/>
    <w:rsid w:val="00542D22"/>
    <w:rsid w:val="00543FCE"/>
    <w:rsid w:val="00544026"/>
    <w:rsid w:val="0054440F"/>
    <w:rsid w:val="005445B3"/>
    <w:rsid w:val="0054483F"/>
    <w:rsid w:val="00544FFC"/>
    <w:rsid w:val="00545131"/>
    <w:rsid w:val="005454AB"/>
    <w:rsid w:val="00545CDB"/>
    <w:rsid w:val="00546777"/>
    <w:rsid w:val="0054734E"/>
    <w:rsid w:val="005501CF"/>
    <w:rsid w:val="00550632"/>
    <w:rsid w:val="00550E75"/>
    <w:rsid w:val="00551301"/>
    <w:rsid w:val="005519A5"/>
    <w:rsid w:val="005519D2"/>
    <w:rsid w:val="00552017"/>
    <w:rsid w:val="005521E4"/>
    <w:rsid w:val="005528B4"/>
    <w:rsid w:val="00552983"/>
    <w:rsid w:val="00553156"/>
    <w:rsid w:val="00553275"/>
    <w:rsid w:val="005532F7"/>
    <w:rsid w:val="00553328"/>
    <w:rsid w:val="00553BC5"/>
    <w:rsid w:val="00554067"/>
    <w:rsid w:val="005547D1"/>
    <w:rsid w:val="00554A3B"/>
    <w:rsid w:val="00554FBB"/>
    <w:rsid w:val="00555190"/>
    <w:rsid w:val="00555F67"/>
    <w:rsid w:val="005562B5"/>
    <w:rsid w:val="00556BA1"/>
    <w:rsid w:val="00556F8E"/>
    <w:rsid w:val="00557E3D"/>
    <w:rsid w:val="00560C70"/>
    <w:rsid w:val="00560DF4"/>
    <w:rsid w:val="0056143C"/>
    <w:rsid w:val="00561BC1"/>
    <w:rsid w:val="00561D06"/>
    <w:rsid w:val="0056212B"/>
    <w:rsid w:val="005626F4"/>
    <w:rsid w:val="005630BC"/>
    <w:rsid w:val="0056415B"/>
    <w:rsid w:val="00564B45"/>
    <w:rsid w:val="00565AFC"/>
    <w:rsid w:val="00565B38"/>
    <w:rsid w:val="00566149"/>
    <w:rsid w:val="00566185"/>
    <w:rsid w:val="00566F80"/>
    <w:rsid w:val="0056708E"/>
    <w:rsid w:val="00567465"/>
    <w:rsid w:val="005675DC"/>
    <w:rsid w:val="005701B9"/>
    <w:rsid w:val="00571335"/>
    <w:rsid w:val="00571340"/>
    <w:rsid w:val="0057164C"/>
    <w:rsid w:val="00572218"/>
    <w:rsid w:val="00572732"/>
    <w:rsid w:val="00572BEB"/>
    <w:rsid w:val="00572C36"/>
    <w:rsid w:val="00572D91"/>
    <w:rsid w:val="00573CC8"/>
    <w:rsid w:val="00573DA9"/>
    <w:rsid w:val="0057442B"/>
    <w:rsid w:val="00574E71"/>
    <w:rsid w:val="0057515D"/>
    <w:rsid w:val="00575298"/>
    <w:rsid w:val="00575615"/>
    <w:rsid w:val="005756C5"/>
    <w:rsid w:val="00575C0E"/>
    <w:rsid w:val="005763E7"/>
    <w:rsid w:val="005770A3"/>
    <w:rsid w:val="005772F4"/>
    <w:rsid w:val="005806D8"/>
    <w:rsid w:val="0058088A"/>
    <w:rsid w:val="00580A3B"/>
    <w:rsid w:val="00580CE6"/>
    <w:rsid w:val="00580D93"/>
    <w:rsid w:val="00581049"/>
    <w:rsid w:val="0058167B"/>
    <w:rsid w:val="00581DEE"/>
    <w:rsid w:val="0058229F"/>
    <w:rsid w:val="00582741"/>
    <w:rsid w:val="005829E0"/>
    <w:rsid w:val="005837D6"/>
    <w:rsid w:val="00583845"/>
    <w:rsid w:val="005838BF"/>
    <w:rsid w:val="00583A4C"/>
    <w:rsid w:val="00584793"/>
    <w:rsid w:val="00584A61"/>
    <w:rsid w:val="00585111"/>
    <w:rsid w:val="00585367"/>
    <w:rsid w:val="00585AC9"/>
    <w:rsid w:val="0058637E"/>
    <w:rsid w:val="00586DB4"/>
    <w:rsid w:val="00586EC8"/>
    <w:rsid w:val="005877A0"/>
    <w:rsid w:val="0059045F"/>
    <w:rsid w:val="005917F7"/>
    <w:rsid w:val="005919C8"/>
    <w:rsid w:val="00591C17"/>
    <w:rsid w:val="00591C64"/>
    <w:rsid w:val="00591EF2"/>
    <w:rsid w:val="00592B89"/>
    <w:rsid w:val="00592D91"/>
    <w:rsid w:val="005932BB"/>
    <w:rsid w:val="0059360B"/>
    <w:rsid w:val="00593736"/>
    <w:rsid w:val="00593A68"/>
    <w:rsid w:val="00593ADA"/>
    <w:rsid w:val="00593BD2"/>
    <w:rsid w:val="00593DFE"/>
    <w:rsid w:val="00594313"/>
    <w:rsid w:val="00594361"/>
    <w:rsid w:val="00594DBA"/>
    <w:rsid w:val="00594E6F"/>
    <w:rsid w:val="00594E7B"/>
    <w:rsid w:val="00595610"/>
    <w:rsid w:val="00595ABF"/>
    <w:rsid w:val="00595C5C"/>
    <w:rsid w:val="00596699"/>
    <w:rsid w:val="00596881"/>
    <w:rsid w:val="00596A5D"/>
    <w:rsid w:val="00596AF0"/>
    <w:rsid w:val="00596F67"/>
    <w:rsid w:val="00597081"/>
    <w:rsid w:val="00597325"/>
    <w:rsid w:val="00597346"/>
    <w:rsid w:val="0059767D"/>
    <w:rsid w:val="00597A05"/>
    <w:rsid w:val="00597C57"/>
    <w:rsid w:val="00597F2F"/>
    <w:rsid w:val="00597FFD"/>
    <w:rsid w:val="005A0598"/>
    <w:rsid w:val="005A05B6"/>
    <w:rsid w:val="005A10D8"/>
    <w:rsid w:val="005A1251"/>
    <w:rsid w:val="005A1920"/>
    <w:rsid w:val="005A195A"/>
    <w:rsid w:val="005A1AB1"/>
    <w:rsid w:val="005A1F63"/>
    <w:rsid w:val="005A1F9A"/>
    <w:rsid w:val="005A2030"/>
    <w:rsid w:val="005A21EE"/>
    <w:rsid w:val="005A21F3"/>
    <w:rsid w:val="005A3519"/>
    <w:rsid w:val="005A3943"/>
    <w:rsid w:val="005A436C"/>
    <w:rsid w:val="005A4585"/>
    <w:rsid w:val="005A45A2"/>
    <w:rsid w:val="005A46D5"/>
    <w:rsid w:val="005A51F6"/>
    <w:rsid w:val="005A557F"/>
    <w:rsid w:val="005A5640"/>
    <w:rsid w:val="005A57F6"/>
    <w:rsid w:val="005A5814"/>
    <w:rsid w:val="005A5872"/>
    <w:rsid w:val="005A5949"/>
    <w:rsid w:val="005A5A41"/>
    <w:rsid w:val="005A601B"/>
    <w:rsid w:val="005A68BB"/>
    <w:rsid w:val="005A74B0"/>
    <w:rsid w:val="005A75FD"/>
    <w:rsid w:val="005A79F9"/>
    <w:rsid w:val="005B0025"/>
    <w:rsid w:val="005B055E"/>
    <w:rsid w:val="005B0590"/>
    <w:rsid w:val="005B0882"/>
    <w:rsid w:val="005B0AC8"/>
    <w:rsid w:val="005B0B22"/>
    <w:rsid w:val="005B0C82"/>
    <w:rsid w:val="005B1875"/>
    <w:rsid w:val="005B1F1F"/>
    <w:rsid w:val="005B1F4A"/>
    <w:rsid w:val="005B2F10"/>
    <w:rsid w:val="005B3544"/>
    <w:rsid w:val="005B3B67"/>
    <w:rsid w:val="005B3BCD"/>
    <w:rsid w:val="005B3CAD"/>
    <w:rsid w:val="005B3D2D"/>
    <w:rsid w:val="005B4AAE"/>
    <w:rsid w:val="005B4AE2"/>
    <w:rsid w:val="005B5B67"/>
    <w:rsid w:val="005B6135"/>
    <w:rsid w:val="005B64B0"/>
    <w:rsid w:val="005B6B18"/>
    <w:rsid w:val="005B7A56"/>
    <w:rsid w:val="005C040E"/>
    <w:rsid w:val="005C0754"/>
    <w:rsid w:val="005C0837"/>
    <w:rsid w:val="005C0A5F"/>
    <w:rsid w:val="005C1329"/>
    <w:rsid w:val="005C13C8"/>
    <w:rsid w:val="005C1F29"/>
    <w:rsid w:val="005C2584"/>
    <w:rsid w:val="005C2EC8"/>
    <w:rsid w:val="005C2F42"/>
    <w:rsid w:val="005C3CED"/>
    <w:rsid w:val="005C4BFB"/>
    <w:rsid w:val="005C4D87"/>
    <w:rsid w:val="005C573F"/>
    <w:rsid w:val="005C62DD"/>
    <w:rsid w:val="005C643A"/>
    <w:rsid w:val="005C6DE0"/>
    <w:rsid w:val="005C70B3"/>
    <w:rsid w:val="005D00BB"/>
    <w:rsid w:val="005D0584"/>
    <w:rsid w:val="005D05AA"/>
    <w:rsid w:val="005D0AF7"/>
    <w:rsid w:val="005D0B96"/>
    <w:rsid w:val="005D115D"/>
    <w:rsid w:val="005D13A4"/>
    <w:rsid w:val="005D20AC"/>
    <w:rsid w:val="005D2A26"/>
    <w:rsid w:val="005D2D53"/>
    <w:rsid w:val="005D2FB6"/>
    <w:rsid w:val="005D3092"/>
    <w:rsid w:val="005D343D"/>
    <w:rsid w:val="005D38A0"/>
    <w:rsid w:val="005D4024"/>
    <w:rsid w:val="005D40BC"/>
    <w:rsid w:val="005D436D"/>
    <w:rsid w:val="005D46E6"/>
    <w:rsid w:val="005D489D"/>
    <w:rsid w:val="005D4DE9"/>
    <w:rsid w:val="005D4EF4"/>
    <w:rsid w:val="005D5633"/>
    <w:rsid w:val="005D56AB"/>
    <w:rsid w:val="005D5FB9"/>
    <w:rsid w:val="005D62E0"/>
    <w:rsid w:val="005D65C8"/>
    <w:rsid w:val="005D662B"/>
    <w:rsid w:val="005D6BA1"/>
    <w:rsid w:val="005D6CE0"/>
    <w:rsid w:val="005D75D8"/>
    <w:rsid w:val="005D77CD"/>
    <w:rsid w:val="005D7DA4"/>
    <w:rsid w:val="005D7E36"/>
    <w:rsid w:val="005D7F02"/>
    <w:rsid w:val="005D7F35"/>
    <w:rsid w:val="005E047D"/>
    <w:rsid w:val="005E073F"/>
    <w:rsid w:val="005E15AF"/>
    <w:rsid w:val="005E1A1D"/>
    <w:rsid w:val="005E1B17"/>
    <w:rsid w:val="005E2E17"/>
    <w:rsid w:val="005E350F"/>
    <w:rsid w:val="005E3527"/>
    <w:rsid w:val="005E3A2F"/>
    <w:rsid w:val="005E3DF5"/>
    <w:rsid w:val="005E3E25"/>
    <w:rsid w:val="005E3EAD"/>
    <w:rsid w:val="005E3FBC"/>
    <w:rsid w:val="005E4411"/>
    <w:rsid w:val="005E464D"/>
    <w:rsid w:val="005E4CA8"/>
    <w:rsid w:val="005E5638"/>
    <w:rsid w:val="005E604B"/>
    <w:rsid w:val="005E6831"/>
    <w:rsid w:val="005E6CFE"/>
    <w:rsid w:val="005E6EB7"/>
    <w:rsid w:val="005E723F"/>
    <w:rsid w:val="005E76F5"/>
    <w:rsid w:val="005E77FF"/>
    <w:rsid w:val="005E7883"/>
    <w:rsid w:val="005F022C"/>
    <w:rsid w:val="005F102C"/>
    <w:rsid w:val="005F10ED"/>
    <w:rsid w:val="005F1AF7"/>
    <w:rsid w:val="005F2838"/>
    <w:rsid w:val="005F2F2E"/>
    <w:rsid w:val="005F33FF"/>
    <w:rsid w:val="005F38E3"/>
    <w:rsid w:val="005F3A2C"/>
    <w:rsid w:val="005F3DE4"/>
    <w:rsid w:val="005F417F"/>
    <w:rsid w:val="005F4205"/>
    <w:rsid w:val="005F4CE1"/>
    <w:rsid w:val="005F5898"/>
    <w:rsid w:val="005F5D1B"/>
    <w:rsid w:val="005F5E6C"/>
    <w:rsid w:val="005F65F8"/>
    <w:rsid w:val="005F6757"/>
    <w:rsid w:val="006006B6"/>
    <w:rsid w:val="006008D7"/>
    <w:rsid w:val="00600B81"/>
    <w:rsid w:val="00600D04"/>
    <w:rsid w:val="0060162D"/>
    <w:rsid w:val="00601B20"/>
    <w:rsid w:val="00601D32"/>
    <w:rsid w:val="00602374"/>
    <w:rsid w:val="0060266C"/>
    <w:rsid w:val="00602857"/>
    <w:rsid w:val="00602BA6"/>
    <w:rsid w:val="00602D73"/>
    <w:rsid w:val="0060371E"/>
    <w:rsid w:val="00603A45"/>
    <w:rsid w:val="00603AD6"/>
    <w:rsid w:val="00603B57"/>
    <w:rsid w:val="0060435E"/>
    <w:rsid w:val="00604AD0"/>
    <w:rsid w:val="00604C4A"/>
    <w:rsid w:val="006050FC"/>
    <w:rsid w:val="00605D0F"/>
    <w:rsid w:val="00605F1D"/>
    <w:rsid w:val="006065ED"/>
    <w:rsid w:val="00606BD5"/>
    <w:rsid w:val="00606F6D"/>
    <w:rsid w:val="006070D1"/>
    <w:rsid w:val="006076C6"/>
    <w:rsid w:val="006079C3"/>
    <w:rsid w:val="00610354"/>
    <w:rsid w:val="006104BC"/>
    <w:rsid w:val="00610853"/>
    <w:rsid w:val="00610C57"/>
    <w:rsid w:val="006110C5"/>
    <w:rsid w:val="006111E2"/>
    <w:rsid w:val="00611599"/>
    <w:rsid w:val="006115B9"/>
    <w:rsid w:val="00611818"/>
    <w:rsid w:val="00611882"/>
    <w:rsid w:val="00611A7B"/>
    <w:rsid w:val="00611DCE"/>
    <w:rsid w:val="00611E92"/>
    <w:rsid w:val="00611F00"/>
    <w:rsid w:val="00612565"/>
    <w:rsid w:val="00612734"/>
    <w:rsid w:val="006127F5"/>
    <w:rsid w:val="00612CC4"/>
    <w:rsid w:val="006131E1"/>
    <w:rsid w:val="006134E3"/>
    <w:rsid w:val="006136F4"/>
    <w:rsid w:val="00613A65"/>
    <w:rsid w:val="00613C5A"/>
    <w:rsid w:val="00613F08"/>
    <w:rsid w:val="00614869"/>
    <w:rsid w:val="00614F17"/>
    <w:rsid w:val="00615595"/>
    <w:rsid w:val="00615670"/>
    <w:rsid w:val="006158E9"/>
    <w:rsid w:val="006166C8"/>
    <w:rsid w:val="00616B78"/>
    <w:rsid w:val="00616C1B"/>
    <w:rsid w:val="006170C5"/>
    <w:rsid w:val="0061712F"/>
    <w:rsid w:val="006172A9"/>
    <w:rsid w:val="0061771B"/>
    <w:rsid w:val="0062010F"/>
    <w:rsid w:val="0062133C"/>
    <w:rsid w:val="006217BB"/>
    <w:rsid w:val="00621A53"/>
    <w:rsid w:val="00621D53"/>
    <w:rsid w:val="00622777"/>
    <w:rsid w:val="00622DC2"/>
    <w:rsid w:val="00623611"/>
    <w:rsid w:val="006236D2"/>
    <w:rsid w:val="00623903"/>
    <w:rsid w:val="00624C99"/>
    <w:rsid w:val="006253F2"/>
    <w:rsid w:val="00626001"/>
    <w:rsid w:val="00626070"/>
    <w:rsid w:val="00626A36"/>
    <w:rsid w:val="00626A52"/>
    <w:rsid w:val="00626D15"/>
    <w:rsid w:val="00627498"/>
    <w:rsid w:val="00627783"/>
    <w:rsid w:val="00627F2C"/>
    <w:rsid w:val="00627FDC"/>
    <w:rsid w:val="00630E98"/>
    <w:rsid w:val="00631339"/>
    <w:rsid w:val="00631771"/>
    <w:rsid w:val="00631CC5"/>
    <w:rsid w:val="00632010"/>
    <w:rsid w:val="0063201F"/>
    <w:rsid w:val="00632310"/>
    <w:rsid w:val="00632488"/>
    <w:rsid w:val="00632DDC"/>
    <w:rsid w:val="0063305F"/>
    <w:rsid w:val="00633C8B"/>
    <w:rsid w:val="0063404A"/>
    <w:rsid w:val="006344A3"/>
    <w:rsid w:val="00634EA2"/>
    <w:rsid w:val="00635642"/>
    <w:rsid w:val="0063594E"/>
    <w:rsid w:val="00635C12"/>
    <w:rsid w:val="00635D92"/>
    <w:rsid w:val="00636012"/>
    <w:rsid w:val="0063610B"/>
    <w:rsid w:val="00636405"/>
    <w:rsid w:val="00636B97"/>
    <w:rsid w:val="0063761C"/>
    <w:rsid w:val="006378A5"/>
    <w:rsid w:val="00637A7A"/>
    <w:rsid w:val="00640265"/>
    <w:rsid w:val="00640327"/>
    <w:rsid w:val="00640E40"/>
    <w:rsid w:val="00640E8B"/>
    <w:rsid w:val="00640F73"/>
    <w:rsid w:val="00641C8C"/>
    <w:rsid w:val="006426D9"/>
    <w:rsid w:val="006427AE"/>
    <w:rsid w:val="00642DAB"/>
    <w:rsid w:val="0064323D"/>
    <w:rsid w:val="00644464"/>
    <w:rsid w:val="00644658"/>
    <w:rsid w:val="00644C24"/>
    <w:rsid w:val="00645EAF"/>
    <w:rsid w:val="0064655B"/>
    <w:rsid w:val="00647201"/>
    <w:rsid w:val="00647277"/>
    <w:rsid w:val="006476B3"/>
    <w:rsid w:val="006479AF"/>
    <w:rsid w:val="00647BE6"/>
    <w:rsid w:val="00650483"/>
    <w:rsid w:val="00650771"/>
    <w:rsid w:val="00650BDB"/>
    <w:rsid w:val="00651097"/>
    <w:rsid w:val="00651661"/>
    <w:rsid w:val="00651668"/>
    <w:rsid w:val="0065169B"/>
    <w:rsid w:val="006518AB"/>
    <w:rsid w:val="00651931"/>
    <w:rsid w:val="00651B76"/>
    <w:rsid w:val="00652011"/>
    <w:rsid w:val="00652078"/>
    <w:rsid w:val="00652A78"/>
    <w:rsid w:val="006534C3"/>
    <w:rsid w:val="0065496C"/>
    <w:rsid w:val="00654A98"/>
    <w:rsid w:val="00654E95"/>
    <w:rsid w:val="00654FE0"/>
    <w:rsid w:val="0065524C"/>
    <w:rsid w:val="0065558E"/>
    <w:rsid w:val="00655943"/>
    <w:rsid w:val="006559DF"/>
    <w:rsid w:val="00655A09"/>
    <w:rsid w:val="00656140"/>
    <w:rsid w:val="006564CA"/>
    <w:rsid w:val="00656815"/>
    <w:rsid w:val="006569B7"/>
    <w:rsid w:val="00656F97"/>
    <w:rsid w:val="0065700A"/>
    <w:rsid w:val="0065732D"/>
    <w:rsid w:val="006601B6"/>
    <w:rsid w:val="00660E64"/>
    <w:rsid w:val="0066180D"/>
    <w:rsid w:val="006619E1"/>
    <w:rsid w:val="00661E87"/>
    <w:rsid w:val="006624CA"/>
    <w:rsid w:val="006624CD"/>
    <w:rsid w:val="006628BF"/>
    <w:rsid w:val="00662E45"/>
    <w:rsid w:val="00663087"/>
    <w:rsid w:val="006633F0"/>
    <w:rsid w:val="00663ABA"/>
    <w:rsid w:val="00664322"/>
    <w:rsid w:val="00664673"/>
    <w:rsid w:val="00664811"/>
    <w:rsid w:val="0066490A"/>
    <w:rsid w:val="0066493F"/>
    <w:rsid w:val="00664A15"/>
    <w:rsid w:val="00664F8C"/>
    <w:rsid w:val="006653BB"/>
    <w:rsid w:val="00665538"/>
    <w:rsid w:val="0066614A"/>
    <w:rsid w:val="00666356"/>
    <w:rsid w:val="006667B3"/>
    <w:rsid w:val="0066688C"/>
    <w:rsid w:val="00667543"/>
    <w:rsid w:val="00667DA3"/>
    <w:rsid w:val="006702FA"/>
    <w:rsid w:val="00670328"/>
    <w:rsid w:val="0067068B"/>
    <w:rsid w:val="00670B70"/>
    <w:rsid w:val="00671198"/>
    <w:rsid w:val="0067171F"/>
    <w:rsid w:val="006717B3"/>
    <w:rsid w:val="00671CF0"/>
    <w:rsid w:val="00671F63"/>
    <w:rsid w:val="006721BF"/>
    <w:rsid w:val="00672332"/>
    <w:rsid w:val="00672432"/>
    <w:rsid w:val="006728B5"/>
    <w:rsid w:val="00672A9B"/>
    <w:rsid w:val="00672BEA"/>
    <w:rsid w:val="00672E97"/>
    <w:rsid w:val="00673311"/>
    <w:rsid w:val="00673DF3"/>
    <w:rsid w:val="00673E17"/>
    <w:rsid w:val="0067410E"/>
    <w:rsid w:val="00674124"/>
    <w:rsid w:val="0067412A"/>
    <w:rsid w:val="00674FED"/>
    <w:rsid w:val="006751C7"/>
    <w:rsid w:val="006752FC"/>
    <w:rsid w:val="0067573C"/>
    <w:rsid w:val="006758B1"/>
    <w:rsid w:val="0067646F"/>
    <w:rsid w:val="00676832"/>
    <w:rsid w:val="00676870"/>
    <w:rsid w:val="00676978"/>
    <w:rsid w:val="00676C6D"/>
    <w:rsid w:val="00677C43"/>
    <w:rsid w:val="006805A9"/>
    <w:rsid w:val="00680BD4"/>
    <w:rsid w:val="00680BF3"/>
    <w:rsid w:val="0068152A"/>
    <w:rsid w:val="00681562"/>
    <w:rsid w:val="00681D70"/>
    <w:rsid w:val="006822BD"/>
    <w:rsid w:val="00682376"/>
    <w:rsid w:val="0068257E"/>
    <w:rsid w:val="00682C29"/>
    <w:rsid w:val="00683211"/>
    <w:rsid w:val="0068334D"/>
    <w:rsid w:val="00683B1B"/>
    <w:rsid w:val="0068475B"/>
    <w:rsid w:val="00684C43"/>
    <w:rsid w:val="00685199"/>
    <w:rsid w:val="006854FD"/>
    <w:rsid w:val="00685B4A"/>
    <w:rsid w:val="00685D3B"/>
    <w:rsid w:val="0068617B"/>
    <w:rsid w:val="00686E82"/>
    <w:rsid w:val="00687515"/>
    <w:rsid w:val="006877F3"/>
    <w:rsid w:val="006879DB"/>
    <w:rsid w:val="006879F7"/>
    <w:rsid w:val="00687FC6"/>
    <w:rsid w:val="006902E8"/>
    <w:rsid w:val="00690A68"/>
    <w:rsid w:val="00690D10"/>
    <w:rsid w:val="00690D63"/>
    <w:rsid w:val="0069145B"/>
    <w:rsid w:val="00691552"/>
    <w:rsid w:val="006916F1"/>
    <w:rsid w:val="00691C14"/>
    <w:rsid w:val="00691D03"/>
    <w:rsid w:val="00691D75"/>
    <w:rsid w:val="00691FDE"/>
    <w:rsid w:val="00692230"/>
    <w:rsid w:val="006927E1"/>
    <w:rsid w:val="00692885"/>
    <w:rsid w:val="00692C52"/>
    <w:rsid w:val="00692C95"/>
    <w:rsid w:val="006930CF"/>
    <w:rsid w:val="006932A9"/>
    <w:rsid w:val="006935A6"/>
    <w:rsid w:val="006935F7"/>
    <w:rsid w:val="006941F8"/>
    <w:rsid w:val="00694741"/>
    <w:rsid w:val="006949C0"/>
    <w:rsid w:val="00694C72"/>
    <w:rsid w:val="006956AB"/>
    <w:rsid w:val="00695B1B"/>
    <w:rsid w:val="006960DE"/>
    <w:rsid w:val="00696485"/>
    <w:rsid w:val="006970E7"/>
    <w:rsid w:val="0069713D"/>
    <w:rsid w:val="0069713E"/>
    <w:rsid w:val="00697282"/>
    <w:rsid w:val="006974D3"/>
    <w:rsid w:val="006A0B5E"/>
    <w:rsid w:val="006A17F3"/>
    <w:rsid w:val="006A2130"/>
    <w:rsid w:val="006A2977"/>
    <w:rsid w:val="006A2A28"/>
    <w:rsid w:val="006A2D1B"/>
    <w:rsid w:val="006A2DF7"/>
    <w:rsid w:val="006A2E8E"/>
    <w:rsid w:val="006A3014"/>
    <w:rsid w:val="006A40E2"/>
    <w:rsid w:val="006A4265"/>
    <w:rsid w:val="006A4C3C"/>
    <w:rsid w:val="006A4EC5"/>
    <w:rsid w:val="006A5220"/>
    <w:rsid w:val="006A5B33"/>
    <w:rsid w:val="006A5F15"/>
    <w:rsid w:val="006A60CE"/>
    <w:rsid w:val="006A6147"/>
    <w:rsid w:val="006A6720"/>
    <w:rsid w:val="006A6920"/>
    <w:rsid w:val="006A6BDB"/>
    <w:rsid w:val="006A73DB"/>
    <w:rsid w:val="006A73E0"/>
    <w:rsid w:val="006B00E9"/>
    <w:rsid w:val="006B00EF"/>
    <w:rsid w:val="006B09B5"/>
    <w:rsid w:val="006B1AA0"/>
    <w:rsid w:val="006B1B7C"/>
    <w:rsid w:val="006B2387"/>
    <w:rsid w:val="006B2429"/>
    <w:rsid w:val="006B26F2"/>
    <w:rsid w:val="006B2972"/>
    <w:rsid w:val="006B2AB7"/>
    <w:rsid w:val="006B2D88"/>
    <w:rsid w:val="006B2F8B"/>
    <w:rsid w:val="006B32F1"/>
    <w:rsid w:val="006B3435"/>
    <w:rsid w:val="006B470F"/>
    <w:rsid w:val="006B4F4D"/>
    <w:rsid w:val="006B502C"/>
    <w:rsid w:val="006B5CD2"/>
    <w:rsid w:val="006B5FE5"/>
    <w:rsid w:val="006B6473"/>
    <w:rsid w:val="006B6AB9"/>
    <w:rsid w:val="006B6F8E"/>
    <w:rsid w:val="006B74FC"/>
    <w:rsid w:val="006B7EFE"/>
    <w:rsid w:val="006C04E1"/>
    <w:rsid w:val="006C059E"/>
    <w:rsid w:val="006C0713"/>
    <w:rsid w:val="006C09F1"/>
    <w:rsid w:val="006C14EF"/>
    <w:rsid w:val="006C1908"/>
    <w:rsid w:val="006C1E8D"/>
    <w:rsid w:val="006C227D"/>
    <w:rsid w:val="006C22EA"/>
    <w:rsid w:val="006C2361"/>
    <w:rsid w:val="006C2388"/>
    <w:rsid w:val="006C26D3"/>
    <w:rsid w:val="006C2BB4"/>
    <w:rsid w:val="006C2DAC"/>
    <w:rsid w:val="006C2ED0"/>
    <w:rsid w:val="006C3474"/>
    <w:rsid w:val="006C3509"/>
    <w:rsid w:val="006C36A2"/>
    <w:rsid w:val="006C3B89"/>
    <w:rsid w:val="006C3F43"/>
    <w:rsid w:val="006C41BA"/>
    <w:rsid w:val="006C44F0"/>
    <w:rsid w:val="006C5344"/>
    <w:rsid w:val="006C633B"/>
    <w:rsid w:val="006C646D"/>
    <w:rsid w:val="006C6998"/>
    <w:rsid w:val="006C7181"/>
    <w:rsid w:val="006D0017"/>
    <w:rsid w:val="006D0961"/>
    <w:rsid w:val="006D14E8"/>
    <w:rsid w:val="006D2151"/>
    <w:rsid w:val="006D2422"/>
    <w:rsid w:val="006D26D5"/>
    <w:rsid w:val="006D29CA"/>
    <w:rsid w:val="006D2B48"/>
    <w:rsid w:val="006D2BBA"/>
    <w:rsid w:val="006D3457"/>
    <w:rsid w:val="006D4031"/>
    <w:rsid w:val="006D43A9"/>
    <w:rsid w:val="006D4939"/>
    <w:rsid w:val="006D5A51"/>
    <w:rsid w:val="006D5FDB"/>
    <w:rsid w:val="006D6677"/>
    <w:rsid w:val="006D6759"/>
    <w:rsid w:val="006D69A3"/>
    <w:rsid w:val="006D7099"/>
    <w:rsid w:val="006D71C7"/>
    <w:rsid w:val="006D7BA7"/>
    <w:rsid w:val="006E0058"/>
    <w:rsid w:val="006E0772"/>
    <w:rsid w:val="006E0A7B"/>
    <w:rsid w:val="006E0CDC"/>
    <w:rsid w:val="006E0FF5"/>
    <w:rsid w:val="006E1268"/>
    <w:rsid w:val="006E187B"/>
    <w:rsid w:val="006E244E"/>
    <w:rsid w:val="006E28E1"/>
    <w:rsid w:val="006E290F"/>
    <w:rsid w:val="006E3A0D"/>
    <w:rsid w:val="006E425A"/>
    <w:rsid w:val="006E4456"/>
    <w:rsid w:val="006E538F"/>
    <w:rsid w:val="006E5464"/>
    <w:rsid w:val="006E5600"/>
    <w:rsid w:val="006E5C5E"/>
    <w:rsid w:val="006E65BB"/>
    <w:rsid w:val="006E6B7E"/>
    <w:rsid w:val="006E7026"/>
    <w:rsid w:val="006E7A6B"/>
    <w:rsid w:val="006E7D56"/>
    <w:rsid w:val="006E7D90"/>
    <w:rsid w:val="006E7ED7"/>
    <w:rsid w:val="006F018D"/>
    <w:rsid w:val="006F0D44"/>
    <w:rsid w:val="006F12DF"/>
    <w:rsid w:val="006F1301"/>
    <w:rsid w:val="006F1671"/>
    <w:rsid w:val="006F1839"/>
    <w:rsid w:val="006F1F0A"/>
    <w:rsid w:val="006F2208"/>
    <w:rsid w:val="006F2470"/>
    <w:rsid w:val="006F2B2D"/>
    <w:rsid w:val="006F2CDD"/>
    <w:rsid w:val="006F2EEF"/>
    <w:rsid w:val="006F3086"/>
    <w:rsid w:val="006F3783"/>
    <w:rsid w:val="006F419A"/>
    <w:rsid w:val="006F5285"/>
    <w:rsid w:val="006F5858"/>
    <w:rsid w:val="006F5A67"/>
    <w:rsid w:val="006F605E"/>
    <w:rsid w:val="006F61C8"/>
    <w:rsid w:val="006F6302"/>
    <w:rsid w:val="006F6AF0"/>
    <w:rsid w:val="006F7FD7"/>
    <w:rsid w:val="00700618"/>
    <w:rsid w:val="00700B49"/>
    <w:rsid w:val="00700FCF"/>
    <w:rsid w:val="00701151"/>
    <w:rsid w:val="0070138C"/>
    <w:rsid w:val="007016CC"/>
    <w:rsid w:val="00701771"/>
    <w:rsid w:val="0070262F"/>
    <w:rsid w:val="007030FF"/>
    <w:rsid w:val="00703E33"/>
    <w:rsid w:val="00704695"/>
    <w:rsid w:val="0070491D"/>
    <w:rsid w:val="00704A20"/>
    <w:rsid w:val="007051B4"/>
    <w:rsid w:val="00705601"/>
    <w:rsid w:val="00705994"/>
    <w:rsid w:val="00705CA8"/>
    <w:rsid w:val="00706262"/>
    <w:rsid w:val="007064DD"/>
    <w:rsid w:val="007067C8"/>
    <w:rsid w:val="0070685C"/>
    <w:rsid w:val="007075FD"/>
    <w:rsid w:val="0070788C"/>
    <w:rsid w:val="00707B6B"/>
    <w:rsid w:val="00710AD7"/>
    <w:rsid w:val="00710E9D"/>
    <w:rsid w:val="0071162E"/>
    <w:rsid w:val="00711C5A"/>
    <w:rsid w:val="0071223D"/>
    <w:rsid w:val="007123C8"/>
    <w:rsid w:val="007125BB"/>
    <w:rsid w:val="00712CD4"/>
    <w:rsid w:val="007130AA"/>
    <w:rsid w:val="00713456"/>
    <w:rsid w:val="0071369D"/>
    <w:rsid w:val="007142EB"/>
    <w:rsid w:val="007146F4"/>
    <w:rsid w:val="00714AD1"/>
    <w:rsid w:val="00714CDB"/>
    <w:rsid w:val="00714D71"/>
    <w:rsid w:val="00715E02"/>
    <w:rsid w:val="007164C6"/>
    <w:rsid w:val="0071657A"/>
    <w:rsid w:val="00716B76"/>
    <w:rsid w:val="007171BB"/>
    <w:rsid w:val="00717D65"/>
    <w:rsid w:val="00720564"/>
    <w:rsid w:val="00720B75"/>
    <w:rsid w:val="00720F07"/>
    <w:rsid w:val="00721978"/>
    <w:rsid w:val="00722136"/>
    <w:rsid w:val="0072241F"/>
    <w:rsid w:val="00722498"/>
    <w:rsid w:val="0072259D"/>
    <w:rsid w:val="0072268A"/>
    <w:rsid w:val="007227B0"/>
    <w:rsid w:val="00722D33"/>
    <w:rsid w:val="00723383"/>
    <w:rsid w:val="00723509"/>
    <w:rsid w:val="007236B1"/>
    <w:rsid w:val="00723CA6"/>
    <w:rsid w:val="007240DE"/>
    <w:rsid w:val="0072450D"/>
    <w:rsid w:val="00725716"/>
    <w:rsid w:val="00726241"/>
    <w:rsid w:val="00726A34"/>
    <w:rsid w:val="00727649"/>
    <w:rsid w:val="007278FD"/>
    <w:rsid w:val="00727CC7"/>
    <w:rsid w:val="00727D67"/>
    <w:rsid w:val="00727DA7"/>
    <w:rsid w:val="007301AC"/>
    <w:rsid w:val="00730C59"/>
    <w:rsid w:val="00731A35"/>
    <w:rsid w:val="00731AF0"/>
    <w:rsid w:val="00731C6A"/>
    <w:rsid w:val="00731D70"/>
    <w:rsid w:val="00731F8C"/>
    <w:rsid w:val="00731FBC"/>
    <w:rsid w:val="00732093"/>
    <w:rsid w:val="007320CA"/>
    <w:rsid w:val="00732EB9"/>
    <w:rsid w:val="0073307D"/>
    <w:rsid w:val="007331A5"/>
    <w:rsid w:val="00733393"/>
    <w:rsid w:val="00733548"/>
    <w:rsid w:val="007337FB"/>
    <w:rsid w:val="007338BD"/>
    <w:rsid w:val="00733D5D"/>
    <w:rsid w:val="00734B92"/>
    <w:rsid w:val="007350ED"/>
    <w:rsid w:val="00735DB1"/>
    <w:rsid w:val="007363A1"/>
    <w:rsid w:val="00736635"/>
    <w:rsid w:val="00736A68"/>
    <w:rsid w:val="007372B6"/>
    <w:rsid w:val="00737D8C"/>
    <w:rsid w:val="00737EAD"/>
    <w:rsid w:val="00737F63"/>
    <w:rsid w:val="007406D1"/>
    <w:rsid w:val="00741548"/>
    <w:rsid w:val="007417B8"/>
    <w:rsid w:val="00742224"/>
    <w:rsid w:val="007427AD"/>
    <w:rsid w:val="00742814"/>
    <w:rsid w:val="00742862"/>
    <w:rsid w:val="00742A96"/>
    <w:rsid w:val="00742C5C"/>
    <w:rsid w:val="007432AC"/>
    <w:rsid w:val="007432D7"/>
    <w:rsid w:val="007433AA"/>
    <w:rsid w:val="00743A66"/>
    <w:rsid w:val="00743CA9"/>
    <w:rsid w:val="00743DA1"/>
    <w:rsid w:val="00744DA6"/>
    <w:rsid w:val="00745704"/>
    <w:rsid w:val="00745783"/>
    <w:rsid w:val="00745E88"/>
    <w:rsid w:val="0074623A"/>
    <w:rsid w:val="0074681F"/>
    <w:rsid w:val="00746B23"/>
    <w:rsid w:val="00746DE0"/>
    <w:rsid w:val="007479CB"/>
    <w:rsid w:val="00750CA8"/>
    <w:rsid w:val="00750F3E"/>
    <w:rsid w:val="00750F41"/>
    <w:rsid w:val="00751349"/>
    <w:rsid w:val="007519A0"/>
    <w:rsid w:val="00751CC3"/>
    <w:rsid w:val="00751DC5"/>
    <w:rsid w:val="00752004"/>
    <w:rsid w:val="0075215C"/>
    <w:rsid w:val="00752212"/>
    <w:rsid w:val="00752567"/>
    <w:rsid w:val="00752AB2"/>
    <w:rsid w:val="00752CD7"/>
    <w:rsid w:val="00753CC3"/>
    <w:rsid w:val="00753E2C"/>
    <w:rsid w:val="00753EEF"/>
    <w:rsid w:val="0075405E"/>
    <w:rsid w:val="0075440B"/>
    <w:rsid w:val="00754643"/>
    <w:rsid w:val="00755F06"/>
    <w:rsid w:val="00755F73"/>
    <w:rsid w:val="00756037"/>
    <w:rsid w:val="007561D6"/>
    <w:rsid w:val="00756285"/>
    <w:rsid w:val="00756DD3"/>
    <w:rsid w:val="00757004"/>
    <w:rsid w:val="00757F90"/>
    <w:rsid w:val="0076061D"/>
    <w:rsid w:val="007607E5"/>
    <w:rsid w:val="00760B0E"/>
    <w:rsid w:val="00760EB8"/>
    <w:rsid w:val="007610BD"/>
    <w:rsid w:val="0076176E"/>
    <w:rsid w:val="00761911"/>
    <w:rsid w:val="007621B7"/>
    <w:rsid w:val="007621E4"/>
    <w:rsid w:val="0076222E"/>
    <w:rsid w:val="00762435"/>
    <w:rsid w:val="00762DFA"/>
    <w:rsid w:val="00762E13"/>
    <w:rsid w:val="00762E66"/>
    <w:rsid w:val="0076319A"/>
    <w:rsid w:val="00763216"/>
    <w:rsid w:val="0076345D"/>
    <w:rsid w:val="00763938"/>
    <w:rsid w:val="00763B83"/>
    <w:rsid w:val="00763E7F"/>
    <w:rsid w:val="0076424A"/>
    <w:rsid w:val="00764282"/>
    <w:rsid w:val="00764692"/>
    <w:rsid w:val="0076478E"/>
    <w:rsid w:val="0076499D"/>
    <w:rsid w:val="00764EED"/>
    <w:rsid w:val="00765037"/>
    <w:rsid w:val="00765231"/>
    <w:rsid w:val="0076525A"/>
    <w:rsid w:val="00765399"/>
    <w:rsid w:val="00765E72"/>
    <w:rsid w:val="007669F1"/>
    <w:rsid w:val="00766B5B"/>
    <w:rsid w:val="00767306"/>
    <w:rsid w:val="00767B87"/>
    <w:rsid w:val="00767FE7"/>
    <w:rsid w:val="00770419"/>
    <w:rsid w:val="00770C39"/>
    <w:rsid w:val="00771202"/>
    <w:rsid w:val="007717B7"/>
    <w:rsid w:val="0077193E"/>
    <w:rsid w:val="00771BC2"/>
    <w:rsid w:val="00771D5E"/>
    <w:rsid w:val="007721AF"/>
    <w:rsid w:val="00772216"/>
    <w:rsid w:val="00773065"/>
    <w:rsid w:val="00773574"/>
    <w:rsid w:val="00773839"/>
    <w:rsid w:val="00773C87"/>
    <w:rsid w:val="007744B6"/>
    <w:rsid w:val="007744EC"/>
    <w:rsid w:val="007748B7"/>
    <w:rsid w:val="007750D1"/>
    <w:rsid w:val="00775199"/>
    <w:rsid w:val="00775552"/>
    <w:rsid w:val="00776BEF"/>
    <w:rsid w:val="007771C2"/>
    <w:rsid w:val="007778D8"/>
    <w:rsid w:val="007779F8"/>
    <w:rsid w:val="00780050"/>
    <w:rsid w:val="007801F1"/>
    <w:rsid w:val="007808C3"/>
    <w:rsid w:val="00780E38"/>
    <w:rsid w:val="007813D3"/>
    <w:rsid w:val="007817AE"/>
    <w:rsid w:val="00781EC9"/>
    <w:rsid w:val="00781F84"/>
    <w:rsid w:val="00782571"/>
    <w:rsid w:val="00782A3A"/>
    <w:rsid w:val="00782C51"/>
    <w:rsid w:val="00783984"/>
    <w:rsid w:val="00783992"/>
    <w:rsid w:val="00783CB7"/>
    <w:rsid w:val="00783F4A"/>
    <w:rsid w:val="00784220"/>
    <w:rsid w:val="00784388"/>
    <w:rsid w:val="007847DF"/>
    <w:rsid w:val="00784FD9"/>
    <w:rsid w:val="007858B2"/>
    <w:rsid w:val="007858CB"/>
    <w:rsid w:val="00785B48"/>
    <w:rsid w:val="0078692B"/>
    <w:rsid w:val="00787D7C"/>
    <w:rsid w:val="00787DAE"/>
    <w:rsid w:val="00787EA6"/>
    <w:rsid w:val="007906F4"/>
    <w:rsid w:val="00790B24"/>
    <w:rsid w:val="00790D35"/>
    <w:rsid w:val="00790EA7"/>
    <w:rsid w:val="00791068"/>
    <w:rsid w:val="0079109A"/>
    <w:rsid w:val="00791E18"/>
    <w:rsid w:val="007920AD"/>
    <w:rsid w:val="00792541"/>
    <w:rsid w:val="00792792"/>
    <w:rsid w:val="00792795"/>
    <w:rsid w:val="007934B8"/>
    <w:rsid w:val="00794021"/>
    <w:rsid w:val="00794759"/>
    <w:rsid w:val="007963A4"/>
    <w:rsid w:val="00796FE1"/>
    <w:rsid w:val="007975E9"/>
    <w:rsid w:val="00797691"/>
    <w:rsid w:val="0079769D"/>
    <w:rsid w:val="007976C4"/>
    <w:rsid w:val="007A0459"/>
    <w:rsid w:val="007A04BF"/>
    <w:rsid w:val="007A09DB"/>
    <w:rsid w:val="007A0EC6"/>
    <w:rsid w:val="007A1109"/>
    <w:rsid w:val="007A13F4"/>
    <w:rsid w:val="007A1667"/>
    <w:rsid w:val="007A1681"/>
    <w:rsid w:val="007A18C5"/>
    <w:rsid w:val="007A1943"/>
    <w:rsid w:val="007A2275"/>
    <w:rsid w:val="007A22E7"/>
    <w:rsid w:val="007A230E"/>
    <w:rsid w:val="007A25A6"/>
    <w:rsid w:val="007A2D5F"/>
    <w:rsid w:val="007A32FD"/>
    <w:rsid w:val="007A337B"/>
    <w:rsid w:val="007A3BAA"/>
    <w:rsid w:val="007A40E9"/>
    <w:rsid w:val="007A43DE"/>
    <w:rsid w:val="007A458D"/>
    <w:rsid w:val="007A4856"/>
    <w:rsid w:val="007A54BC"/>
    <w:rsid w:val="007A5B40"/>
    <w:rsid w:val="007A5F87"/>
    <w:rsid w:val="007A5FAB"/>
    <w:rsid w:val="007A638C"/>
    <w:rsid w:val="007A6688"/>
    <w:rsid w:val="007A67B2"/>
    <w:rsid w:val="007A69DC"/>
    <w:rsid w:val="007A70DC"/>
    <w:rsid w:val="007A7BF8"/>
    <w:rsid w:val="007B0ABE"/>
    <w:rsid w:val="007B1231"/>
    <w:rsid w:val="007B1396"/>
    <w:rsid w:val="007B13E1"/>
    <w:rsid w:val="007B1759"/>
    <w:rsid w:val="007B1B5A"/>
    <w:rsid w:val="007B1CC3"/>
    <w:rsid w:val="007B2772"/>
    <w:rsid w:val="007B2FF1"/>
    <w:rsid w:val="007B31D6"/>
    <w:rsid w:val="007B3409"/>
    <w:rsid w:val="007B3D56"/>
    <w:rsid w:val="007B3F20"/>
    <w:rsid w:val="007B4137"/>
    <w:rsid w:val="007B4538"/>
    <w:rsid w:val="007B45A2"/>
    <w:rsid w:val="007B47B3"/>
    <w:rsid w:val="007B4D45"/>
    <w:rsid w:val="007B5669"/>
    <w:rsid w:val="007B5AA7"/>
    <w:rsid w:val="007B5B24"/>
    <w:rsid w:val="007B6007"/>
    <w:rsid w:val="007B6365"/>
    <w:rsid w:val="007B6506"/>
    <w:rsid w:val="007B6543"/>
    <w:rsid w:val="007B6B45"/>
    <w:rsid w:val="007B732D"/>
    <w:rsid w:val="007B7E39"/>
    <w:rsid w:val="007C0579"/>
    <w:rsid w:val="007C0865"/>
    <w:rsid w:val="007C13B6"/>
    <w:rsid w:val="007C14C5"/>
    <w:rsid w:val="007C1745"/>
    <w:rsid w:val="007C1984"/>
    <w:rsid w:val="007C1DD9"/>
    <w:rsid w:val="007C29ED"/>
    <w:rsid w:val="007C2EE9"/>
    <w:rsid w:val="007C3A97"/>
    <w:rsid w:val="007C414E"/>
    <w:rsid w:val="007C4E55"/>
    <w:rsid w:val="007C5134"/>
    <w:rsid w:val="007C62FA"/>
    <w:rsid w:val="007C6856"/>
    <w:rsid w:val="007C68F3"/>
    <w:rsid w:val="007C699E"/>
    <w:rsid w:val="007C69B5"/>
    <w:rsid w:val="007C6CB9"/>
    <w:rsid w:val="007C741B"/>
    <w:rsid w:val="007D0263"/>
    <w:rsid w:val="007D0937"/>
    <w:rsid w:val="007D111A"/>
    <w:rsid w:val="007D2990"/>
    <w:rsid w:val="007D2B8D"/>
    <w:rsid w:val="007D3A94"/>
    <w:rsid w:val="007D3AAE"/>
    <w:rsid w:val="007D3B85"/>
    <w:rsid w:val="007D3C29"/>
    <w:rsid w:val="007D3EF7"/>
    <w:rsid w:val="007D3FD0"/>
    <w:rsid w:val="007D40E5"/>
    <w:rsid w:val="007D48A0"/>
    <w:rsid w:val="007D48DB"/>
    <w:rsid w:val="007D4D61"/>
    <w:rsid w:val="007D4EE1"/>
    <w:rsid w:val="007D50E8"/>
    <w:rsid w:val="007D62D4"/>
    <w:rsid w:val="007D6C43"/>
    <w:rsid w:val="007D6CF0"/>
    <w:rsid w:val="007D7032"/>
    <w:rsid w:val="007D7181"/>
    <w:rsid w:val="007D72EA"/>
    <w:rsid w:val="007D73AC"/>
    <w:rsid w:val="007D763E"/>
    <w:rsid w:val="007E0677"/>
    <w:rsid w:val="007E12FA"/>
    <w:rsid w:val="007E1A1C"/>
    <w:rsid w:val="007E1F79"/>
    <w:rsid w:val="007E2158"/>
    <w:rsid w:val="007E2A86"/>
    <w:rsid w:val="007E3CC3"/>
    <w:rsid w:val="007E3F2A"/>
    <w:rsid w:val="007E446E"/>
    <w:rsid w:val="007E44A1"/>
    <w:rsid w:val="007E478B"/>
    <w:rsid w:val="007E4E86"/>
    <w:rsid w:val="007E514C"/>
    <w:rsid w:val="007E54B6"/>
    <w:rsid w:val="007E5E72"/>
    <w:rsid w:val="007E660D"/>
    <w:rsid w:val="007E6BD8"/>
    <w:rsid w:val="007E6FA8"/>
    <w:rsid w:val="007E72D2"/>
    <w:rsid w:val="007E749C"/>
    <w:rsid w:val="007E7A42"/>
    <w:rsid w:val="007E7DF3"/>
    <w:rsid w:val="007F00AF"/>
    <w:rsid w:val="007F06E4"/>
    <w:rsid w:val="007F0881"/>
    <w:rsid w:val="007F09C3"/>
    <w:rsid w:val="007F0A2E"/>
    <w:rsid w:val="007F101F"/>
    <w:rsid w:val="007F19BB"/>
    <w:rsid w:val="007F19C1"/>
    <w:rsid w:val="007F1C08"/>
    <w:rsid w:val="007F2546"/>
    <w:rsid w:val="007F2559"/>
    <w:rsid w:val="007F259E"/>
    <w:rsid w:val="007F2F38"/>
    <w:rsid w:val="007F30AB"/>
    <w:rsid w:val="007F3837"/>
    <w:rsid w:val="007F41D5"/>
    <w:rsid w:val="007F4281"/>
    <w:rsid w:val="007F4727"/>
    <w:rsid w:val="007F4835"/>
    <w:rsid w:val="007F4CA3"/>
    <w:rsid w:val="007F5022"/>
    <w:rsid w:val="007F541F"/>
    <w:rsid w:val="007F5501"/>
    <w:rsid w:val="007F5651"/>
    <w:rsid w:val="007F5AA2"/>
    <w:rsid w:val="007F5B0E"/>
    <w:rsid w:val="007F5CC8"/>
    <w:rsid w:val="007F5DE4"/>
    <w:rsid w:val="007F5E4A"/>
    <w:rsid w:val="007F63DB"/>
    <w:rsid w:val="007F66AF"/>
    <w:rsid w:val="007F6A38"/>
    <w:rsid w:val="007F6A6E"/>
    <w:rsid w:val="007F6AAA"/>
    <w:rsid w:val="007F713B"/>
    <w:rsid w:val="007F77FF"/>
    <w:rsid w:val="007F7B67"/>
    <w:rsid w:val="007F7C89"/>
    <w:rsid w:val="008006B3"/>
    <w:rsid w:val="00800BC9"/>
    <w:rsid w:val="00800C62"/>
    <w:rsid w:val="0080108E"/>
    <w:rsid w:val="008016BD"/>
    <w:rsid w:val="00801795"/>
    <w:rsid w:val="008025DC"/>
    <w:rsid w:val="0080278D"/>
    <w:rsid w:val="008027AA"/>
    <w:rsid w:val="0080300E"/>
    <w:rsid w:val="008036EC"/>
    <w:rsid w:val="00803E1E"/>
    <w:rsid w:val="00804281"/>
    <w:rsid w:val="008048D6"/>
    <w:rsid w:val="008049F4"/>
    <w:rsid w:val="00804D36"/>
    <w:rsid w:val="00804E3C"/>
    <w:rsid w:val="0080514C"/>
    <w:rsid w:val="008054D3"/>
    <w:rsid w:val="0080556C"/>
    <w:rsid w:val="00805700"/>
    <w:rsid w:val="00805ACD"/>
    <w:rsid w:val="00805CCE"/>
    <w:rsid w:val="00805D84"/>
    <w:rsid w:val="00806225"/>
    <w:rsid w:val="0080624A"/>
    <w:rsid w:val="008069A4"/>
    <w:rsid w:val="00807129"/>
    <w:rsid w:val="00807806"/>
    <w:rsid w:val="008100B4"/>
    <w:rsid w:val="008103AA"/>
    <w:rsid w:val="0081135B"/>
    <w:rsid w:val="008113A0"/>
    <w:rsid w:val="00811AB0"/>
    <w:rsid w:val="0081228A"/>
    <w:rsid w:val="008124FD"/>
    <w:rsid w:val="00813095"/>
    <w:rsid w:val="008134F1"/>
    <w:rsid w:val="008137D9"/>
    <w:rsid w:val="00813D3E"/>
    <w:rsid w:val="0081420D"/>
    <w:rsid w:val="008142A8"/>
    <w:rsid w:val="00814487"/>
    <w:rsid w:val="00814509"/>
    <w:rsid w:val="0081499C"/>
    <w:rsid w:val="0081550A"/>
    <w:rsid w:val="0081594A"/>
    <w:rsid w:val="00815C92"/>
    <w:rsid w:val="00815DEA"/>
    <w:rsid w:val="008166BB"/>
    <w:rsid w:val="008166DA"/>
    <w:rsid w:val="008167CF"/>
    <w:rsid w:val="00816DCE"/>
    <w:rsid w:val="00817201"/>
    <w:rsid w:val="008177B8"/>
    <w:rsid w:val="00817F96"/>
    <w:rsid w:val="008201C0"/>
    <w:rsid w:val="008204AF"/>
    <w:rsid w:val="008207EF"/>
    <w:rsid w:val="00820A06"/>
    <w:rsid w:val="00821388"/>
    <w:rsid w:val="0082166A"/>
    <w:rsid w:val="00822475"/>
    <w:rsid w:val="0082277A"/>
    <w:rsid w:val="00822AE2"/>
    <w:rsid w:val="008232A6"/>
    <w:rsid w:val="0082404C"/>
    <w:rsid w:val="0082462F"/>
    <w:rsid w:val="00824982"/>
    <w:rsid w:val="008251C0"/>
    <w:rsid w:val="008256CB"/>
    <w:rsid w:val="00825FCE"/>
    <w:rsid w:val="00827025"/>
    <w:rsid w:val="00827CA7"/>
    <w:rsid w:val="00827D95"/>
    <w:rsid w:val="008301A0"/>
    <w:rsid w:val="008303A7"/>
    <w:rsid w:val="008303B7"/>
    <w:rsid w:val="008303FE"/>
    <w:rsid w:val="00830407"/>
    <w:rsid w:val="00830532"/>
    <w:rsid w:val="00830A8A"/>
    <w:rsid w:val="00830C3D"/>
    <w:rsid w:val="00830C45"/>
    <w:rsid w:val="00830FB1"/>
    <w:rsid w:val="00831357"/>
    <w:rsid w:val="008318CC"/>
    <w:rsid w:val="00831F38"/>
    <w:rsid w:val="00832C38"/>
    <w:rsid w:val="00833981"/>
    <w:rsid w:val="00833B21"/>
    <w:rsid w:val="00834957"/>
    <w:rsid w:val="00834A8D"/>
    <w:rsid w:val="008355BC"/>
    <w:rsid w:val="00835772"/>
    <w:rsid w:val="00835BB3"/>
    <w:rsid w:val="00835EA0"/>
    <w:rsid w:val="008361A9"/>
    <w:rsid w:val="0083691D"/>
    <w:rsid w:val="00837016"/>
    <w:rsid w:val="00837133"/>
    <w:rsid w:val="0083717B"/>
    <w:rsid w:val="008376C7"/>
    <w:rsid w:val="00837BFB"/>
    <w:rsid w:val="00840027"/>
    <w:rsid w:val="0084007B"/>
    <w:rsid w:val="00840210"/>
    <w:rsid w:val="0084043B"/>
    <w:rsid w:val="00840EAC"/>
    <w:rsid w:val="00841BB8"/>
    <w:rsid w:val="008428C9"/>
    <w:rsid w:val="0084303C"/>
    <w:rsid w:val="0084391A"/>
    <w:rsid w:val="00843A28"/>
    <w:rsid w:val="00844E6F"/>
    <w:rsid w:val="00845405"/>
    <w:rsid w:val="0084550D"/>
    <w:rsid w:val="00845BC6"/>
    <w:rsid w:val="0084602F"/>
    <w:rsid w:val="00846350"/>
    <w:rsid w:val="00846B57"/>
    <w:rsid w:val="00846B80"/>
    <w:rsid w:val="008470FC"/>
    <w:rsid w:val="008471C7"/>
    <w:rsid w:val="008478AF"/>
    <w:rsid w:val="00847F89"/>
    <w:rsid w:val="00850645"/>
    <w:rsid w:val="008507BD"/>
    <w:rsid w:val="00850AB4"/>
    <w:rsid w:val="00851243"/>
    <w:rsid w:val="00851910"/>
    <w:rsid w:val="00851973"/>
    <w:rsid w:val="00852473"/>
    <w:rsid w:val="00852A00"/>
    <w:rsid w:val="00852BFE"/>
    <w:rsid w:val="00854704"/>
    <w:rsid w:val="0085531E"/>
    <w:rsid w:val="0085537D"/>
    <w:rsid w:val="00855AE5"/>
    <w:rsid w:val="00856094"/>
    <w:rsid w:val="008563C0"/>
    <w:rsid w:val="008563FA"/>
    <w:rsid w:val="00856A9F"/>
    <w:rsid w:val="00856FCA"/>
    <w:rsid w:val="0085754B"/>
    <w:rsid w:val="008577B9"/>
    <w:rsid w:val="00860772"/>
    <w:rsid w:val="00860933"/>
    <w:rsid w:val="008618AC"/>
    <w:rsid w:val="00861E36"/>
    <w:rsid w:val="0086200C"/>
    <w:rsid w:val="008622B0"/>
    <w:rsid w:val="008622FB"/>
    <w:rsid w:val="008629E3"/>
    <w:rsid w:val="00862C9A"/>
    <w:rsid w:val="00862D34"/>
    <w:rsid w:val="00862DA2"/>
    <w:rsid w:val="00862FB5"/>
    <w:rsid w:val="0086361B"/>
    <w:rsid w:val="00863B22"/>
    <w:rsid w:val="00864267"/>
    <w:rsid w:val="0086470F"/>
    <w:rsid w:val="008647DE"/>
    <w:rsid w:val="00864EBB"/>
    <w:rsid w:val="0086566F"/>
    <w:rsid w:val="0086598E"/>
    <w:rsid w:val="00865C2A"/>
    <w:rsid w:val="00865C8F"/>
    <w:rsid w:val="00866270"/>
    <w:rsid w:val="008668A2"/>
    <w:rsid w:val="00866982"/>
    <w:rsid w:val="00866A66"/>
    <w:rsid w:val="0086750F"/>
    <w:rsid w:val="00867663"/>
    <w:rsid w:val="00867EF6"/>
    <w:rsid w:val="00870750"/>
    <w:rsid w:val="008707A0"/>
    <w:rsid w:val="00870EDB"/>
    <w:rsid w:val="008714A8"/>
    <w:rsid w:val="008714B2"/>
    <w:rsid w:val="00871B80"/>
    <w:rsid w:val="0087219F"/>
    <w:rsid w:val="0087252B"/>
    <w:rsid w:val="008728BB"/>
    <w:rsid w:val="008728D7"/>
    <w:rsid w:val="00872C15"/>
    <w:rsid w:val="0087339F"/>
    <w:rsid w:val="00873711"/>
    <w:rsid w:val="0087377F"/>
    <w:rsid w:val="008737B8"/>
    <w:rsid w:val="0087391E"/>
    <w:rsid w:val="00873CD2"/>
    <w:rsid w:val="008749BA"/>
    <w:rsid w:val="00874BF1"/>
    <w:rsid w:val="008750E2"/>
    <w:rsid w:val="00875338"/>
    <w:rsid w:val="00875449"/>
    <w:rsid w:val="00875497"/>
    <w:rsid w:val="00876265"/>
    <w:rsid w:val="008768A0"/>
    <w:rsid w:val="00880518"/>
    <w:rsid w:val="0088054F"/>
    <w:rsid w:val="00880E1F"/>
    <w:rsid w:val="008813F6"/>
    <w:rsid w:val="00881A8B"/>
    <w:rsid w:val="0088252E"/>
    <w:rsid w:val="00882BC7"/>
    <w:rsid w:val="00882E37"/>
    <w:rsid w:val="0088314A"/>
    <w:rsid w:val="00883247"/>
    <w:rsid w:val="00883867"/>
    <w:rsid w:val="00884D5B"/>
    <w:rsid w:val="00884E92"/>
    <w:rsid w:val="0088540C"/>
    <w:rsid w:val="00885537"/>
    <w:rsid w:val="00885B32"/>
    <w:rsid w:val="00885C39"/>
    <w:rsid w:val="00885C65"/>
    <w:rsid w:val="008860A0"/>
    <w:rsid w:val="008861A0"/>
    <w:rsid w:val="008861C4"/>
    <w:rsid w:val="00886629"/>
    <w:rsid w:val="00886A4C"/>
    <w:rsid w:val="00886F9D"/>
    <w:rsid w:val="00887080"/>
    <w:rsid w:val="008879BC"/>
    <w:rsid w:val="00887BCD"/>
    <w:rsid w:val="00887C6B"/>
    <w:rsid w:val="0089019A"/>
    <w:rsid w:val="00890BCE"/>
    <w:rsid w:val="00891947"/>
    <w:rsid w:val="00891BC5"/>
    <w:rsid w:val="00892021"/>
    <w:rsid w:val="00892835"/>
    <w:rsid w:val="0089285C"/>
    <w:rsid w:val="008938E4"/>
    <w:rsid w:val="008939E3"/>
    <w:rsid w:val="00893D3B"/>
    <w:rsid w:val="00893EC6"/>
    <w:rsid w:val="008941BA"/>
    <w:rsid w:val="00894373"/>
    <w:rsid w:val="00894DDF"/>
    <w:rsid w:val="008952EE"/>
    <w:rsid w:val="008958A7"/>
    <w:rsid w:val="00895ED0"/>
    <w:rsid w:val="00896ADE"/>
    <w:rsid w:val="00897201"/>
    <w:rsid w:val="00897270"/>
    <w:rsid w:val="008973A9"/>
    <w:rsid w:val="00897657"/>
    <w:rsid w:val="00897E89"/>
    <w:rsid w:val="008A05DC"/>
    <w:rsid w:val="008A0724"/>
    <w:rsid w:val="008A1612"/>
    <w:rsid w:val="008A2036"/>
    <w:rsid w:val="008A2143"/>
    <w:rsid w:val="008A23E2"/>
    <w:rsid w:val="008A2A4A"/>
    <w:rsid w:val="008A2CD5"/>
    <w:rsid w:val="008A2FDD"/>
    <w:rsid w:val="008A3BE4"/>
    <w:rsid w:val="008A4345"/>
    <w:rsid w:val="008A45BF"/>
    <w:rsid w:val="008A48A7"/>
    <w:rsid w:val="008A4A6F"/>
    <w:rsid w:val="008A4C52"/>
    <w:rsid w:val="008A4E3B"/>
    <w:rsid w:val="008A5441"/>
    <w:rsid w:val="008A5CED"/>
    <w:rsid w:val="008A77C7"/>
    <w:rsid w:val="008A78D0"/>
    <w:rsid w:val="008A7E9E"/>
    <w:rsid w:val="008B0212"/>
    <w:rsid w:val="008B0486"/>
    <w:rsid w:val="008B15BD"/>
    <w:rsid w:val="008B1B52"/>
    <w:rsid w:val="008B21DD"/>
    <w:rsid w:val="008B238A"/>
    <w:rsid w:val="008B2457"/>
    <w:rsid w:val="008B3357"/>
    <w:rsid w:val="008B3D97"/>
    <w:rsid w:val="008B3DEC"/>
    <w:rsid w:val="008B3E11"/>
    <w:rsid w:val="008B40E1"/>
    <w:rsid w:val="008B4113"/>
    <w:rsid w:val="008B44AF"/>
    <w:rsid w:val="008B566A"/>
    <w:rsid w:val="008B5678"/>
    <w:rsid w:val="008B5D4F"/>
    <w:rsid w:val="008B5F98"/>
    <w:rsid w:val="008B612B"/>
    <w:rsid w:val="008B6452"/>
    <w:rsid w:val="008B656A"/>
    <w:rsid w:val="008B7633"/>
    <w:rsid w:val="008B7BAA"/>
    <w:rsid w:val="008C007F"/>
    <w:rsid w:val="008C052A"/>
    <w:rsid w:val="008C1715"/>
    <w:rsid w:val="008C1B27"/>
    <w:rsid w:val="008C2067"/>
    <w:rsid w:val="008C244A"/>
    <w:rsid w:val="008C2679"/>
    <w:rsid w:val="008C28E9"/>
    <w:rsid w:val="008C2957"/>
    <w:rsid w:val="008C2F63"/>
    <w:rsid w:val="008C30FE"/>
    <w:rsid w:val="008C3F38"/>
    <w:rsid w:val="008C41AF"/>
    <w:rsid w:val="008C43B7"/>
    <w:rsid w:val="008C4FCB"/>
    <w:rsid w:val="008C571D"/>
    <w:rsid w:val="008C5BDD"/>
    <w:rsid w:val="008C64E2"/>
    <w:rsid w:val="008C7039"/>
    <w:rsid w:val="008C768A"/>
    <w:rsid w:val="008C7718"/>
    <w:rsid w:val="008C7B96"/>
    <w:rsid w:val="008D0DB4"/>
    <w:rsid w:val="008D16C0"/>
    <w:rsid w:val="008D1711"/>
    <w:rsid w:val="008D1815"/>
    <w:rsid w:val="008D1D36"/>
    <w:rsid w:val="008D3201"/>
    <w:rsid w:val="008D4B6B"/>
    <w:rsid w:val="008D5069"/>
    <w:rsid w:val="008D5839"/>
    <w:rsid w:val="008D659F"/>
    <w:rsid w:val="008D6D06"/>
    <w:rsid w:val="008D7B59"/>
    <w:rsid w:val="008E0057"/>
    <w:rsid w:val="008E0148"/>
    <w:rsid w:val="008E076A"/>
    <w:rsid w:val="008E0944"/>
    <w:rsid w:val="008E0A6F"/>
    <w:rsid w:val="008E0A99"/>
    <w:rsid w:val="008E0C3C"/>
    <w:rsid w:val="008E0DE7"/>
    <w:rsid w:val="008E122C"/>
    <w:rsid w:val="008E1696"/>
    <w:rsid w:val="008E1966"/>
    <w:rsid w:val="008E1D4C"/>
    <w:rsid w:val="008E1FAA"/>
    <w:rsid w:val="008E21AF"/>
    <w:rsid w:val="008E22B4"/>
    <w:rsid w:val="008E2494"/>
    <w:rsid w:val="008E24E1"/>
    <w:rsid w:val="008E2953"/>
    <w:rsid w:val="008E31F5"/>
    <w:rsid w:val="008E3816"/>
    <w:rsid w:val="008E3A4D"/>
    <w:rsid w:val="008E3AFF"/>
    <w:rsid w:val="008E3E89"/>
    <w:rsid w:val="008E3F0B"/>
    <w:rsid w:val="008E4177"/>
    <w:rsid w:val="008E4361"/>
    <w:rsid w:val="008E455C"/>
    <w:rsid w:val="008E4733"/>
    <w:rsid w:val="008E478B"/>
    <w:rsid w:val="008E4B38"/>
    <w:rsid w:val="008E5927"/>
    <w:rsid w:val="008E5C78"/>
    <w:rsid w:val="008E5CEA"/>
    <w:rsid w:val="008E5D23"/>
    <w:rsid w:val="008E5D84"/>
    <w:rsid w:val="008E617A"/>
    <w:rsid w:val="008E62EA"/>
    <w:rsid w:val="008E6AB8"/>
    <w:rsid w:val="008E6E4A"/>
    <w:rsid w:val="008E6EF7"/>
    <w:rsid w:val="008E71C3"/>
    <w:rsid w:val="008E7629"/>
    <w:rsid w:val="008E79B7"/>
    <w:rsid w:val="008E7AE0"/>
    <w:rsid w:val="008F033C"/>
    <w:rsid w:val="008F0625"/>
    <w:rsid w:val="008F0AC7"/>
    <w:rsid w:val="008F0C93"/>
    <w:rsid w:val="008F0DFF"/>
    <w:rsid w:val="008F0EC3"/>
    <w:rsid w:val="008F1054"/>
    <w:rsid w:val="008F1427"/>
    <w:rsid w:val="008F180E"/>
    <w:rsid w:val="008F1A08"/>
    <w:rsid w:val="008F1BA4"/>
    <w:rsid w:val="008F1FC2"/>
    <w:rsid w:val="008F2800"/>
    <w:rsid w:val="008F2B80"/>
    <w:rsid w:val="008F2FA8"/>
    <w:rsid w:val="008F3205"/>
    <w:rsid w:val="008F3750"/>
    <w:rsid w:val="008F3931"/>
    <w:rsid w:val="008F3CF0"/>
    <w:rsid w:val="008F3ED5"/>
    <w:rsid w:val="008F3ED9"/>
    <w:rsid w:val="008F542E"/>
    <w:rsid w:val="008F56A9"/>
    <w:rsid w:val="008F5C52"/>
    <w:rsid w:val="008F5E92"/>
    <w:rsid w:val="008F6409"/>
    <w:rsid w:val="008F6F44"/>
    <w:rsid w:val="008F7228"/>
    <w:rsid w:val="008F7325"/>
    <w:rsid w:val="008F75C6"/>
    <w:rsid w:val="008F7B2E"/>
    <w:rsid w:val="008F7EBF"/>
    <w:rsid w:val="0090055F"/>
    <w:rsid w:val="0090141E"/>
    <w:rsid w:val="00901EB1"/>
    <w:rsid w:val="009020E6"/>
    <w:rsid w:val="00902182"/>
    <w:rsid w:val="009022CE"/>
    <w:rsid w:val="009025D5"/>
    <w:rsid w:val="0090360E"/>
    <w:rsid w:val="00903715"/>
    <w:rsid w:val="00903D0E"/>
    <w:rsid w:val="00904111"/>
    <w:rsid w:val="009041B4"/>
    <w:rsid w:val="009044AB"/>
    <w:rsid w:val="0090464C"/>
    <w:rsid w:val="0090478A"/>
    <w:rsid w:val="00904D47"/>
    <w:rsid w:val="00904FD4"/>
    <w:rsid w:val="009053E6"/>
    <w:rsid w:val="00905880"/>
    <w:rsid w:val="00906170"/>
    <w:rsid w:val="009062CF"/>
    <w:rsid w:val="009063CB"/>
    <w:rsid w:val="0090693D"/>
    <w:rsid w:val="00906E9A"/>
    <w:rsid w:val="00906FD5"/>
    <w:rsid w:val="009076A7"/>
    <w:rsid w:val="00907F1A"/>
    <w:rsid w:val="009102D2"/>
    <w:rsid w:val="0091098D"/>
    <w:rsid w:val="009109E9"/>
    <w:rsid w:val="00910CEF"/>
    <w:rsid w:val="009112B5"/>
    <w:rsid w:val="0091133C"/>
    <w:rsid w:val="00911533"/>
    <w:rsid w:val="00911771"/>
    <w:rsid w:val="00911803"/>
    <w:rsid w:val="009119F5"/>
    <w:rsid w:val="00911B07"/>
    <w:rsid w:val="009120A6"/>
    <w:rsid w:val="0091239F"/>
    <w:rsid w:val="0091251B"/>
    <w:rsid w:val="0091272A"/>
    <w:rsid w:val="00912AA9"/>
    <w:rsid w:val="009131D7"/>
    <w:rsid w:val="00913EB7"/>
    <w:rsid w:val="009145A7"/>
    <w:rsid w:val="009147F8"/>
    <w:rsid w:val="00914E8C"/>
    <w:rsid w:val="009156FA"/>
    <w:rsid w:val="009161BC"/>
    <w:rsid w:val="0091649A"/>
    <w:rsid w:val="00916F24"/>
    <w:rsid w:val="00917330"/>
    <w:rsid w:val="00920379"/>
    <w:rsid w:val="00920CA7"/>
    <w:rsid w:val="00920D50"/>
    <w:rsid w:val="00920DDD"/>
    <w:rsid w:val="009214D1"/>
    <w:rsid w:val="00921835"/>
    <w:rsid w:val="009218FD"/>
    <w:rsid w:val="00921CA9"/>
    <w:rsid w:val="00921D22"/>
    <w:rsid w:val="00921DC3"/>
    <w:rsid w:val="00921FFB"/>
    <w:rsid w:val="009222F1"/>
    <w:rsid w:val="00923374"/>
    <w:rsid w:val="00923FDF"/>
    <w:rsid w:val="00924C5A"/>
    <w:rsid w:val="0092529A"/>
    <w:rsid w:val="009255F3"/>
    <w:rsid w:val="00925753"/>
    <w:rsid w:val="00925D4A"/>
    <w:rsid w:val="00925EA1"/>
    <w:rsid w:val="0092613A"/>
    <w:rsid w:val="00926E64"/>
    <w:rsid w:val="00927374"/>
    <w:rsid w:val="00927C99"/>
    <w:rsid w:val="00927D69"/>
    <w:rsid w:val="00930000"/>
    <w:rsid w:val="0093044A"/>
    <w:rsid w:val="00930A81"/>
    <w:rsid w:val="00930D40"/>
    <w:rsid w:val="00930ED3"/>
    <w:rsid w:val="0093127F"/>
    <w:rsid w:val="00931A40"/>
    <w:rsid w:val="00931EE1"/>
    <w:rsid w:val="009322FF"/>
    <w:rsid w:val="0093246D"/>
    <w:rsid w:val="00934132"/>
    <w:rsid w:val="0093486F"/>
    <w:rsid w:val="009353AB"/>
    <w:rsid w:val="00935508"/>
    <w:rsid w:val="00935944"/>
    <w:rsid w:val="00935A37"/>
    <w:rsid w:val="00935A69"/>
    <w:rsid w:val="009364F2"/>
    <w:rsid w:val="0093669E"/>
    <w:rsid w:val="00936A9C"/>
    <w:rsid w:val="00936C18"/>
    <w:rsid w:val="00936D40"/>
    <w:rsid w:val="00940219"/>
    <w:rsid w:val="00940AAA"/>
    <w:rsid w:val="00941490"/>
    <w:rsid w:val="009416B1"/>
    <w:rsid w:val="00941A8A"/>
    <w:rsid w:val="00941F5F"/>
    <w:rsid w:val="00942317"/>
    <w:rsid w:val="0094233E"/>
    <w:rsid w:val="00942375"/>
    <w:rsid w:val="0094239F"/>
    <w:rsid w:val="00942629"/>
    <w:rsid w:val="00942851"/>
    <w:rsid w:val="009428B6"/>
    <w:rsid w:val="00942B97"/>
    <w:rsid w:val="00942E6B"/>
    <w:rsid w:val="009430EA"/>
    <w:rsid w:val="0094320D"/>
    <w:rsid w:val="009436AB"/>
    <w:rsid w:val="00943B0F"/>
    <w:rsid w:val="00943B12"/>
    <w:rsid w:val="00944682"/>
    <w:rsid w:val="009449F6"/>
    <w:rsid w:val="00944DDF"/>
    <w:rsid w:val="00944FF6"/>
    <w:rsid w:val="009452E2"/>
    <w:rsid w:val="0094568F"/>
    <w:rsid w:val="00946011"/>
    <w:rsid w:val="0094628A"/>
    <w:rsid w:val="00946610"/>
    <w:rsid w:val="0094790E"/>
    <w:rsid w:val="0094791F"/>
    <w:rsid w:val="00947A65"/>
    <w:rsid w:val="00947D86"/>
    <w:rsid w:val="00947E4F"/>
    <w:rsid w:val="00947F8C"/>
    <w:rsid w:val="00950B6E"/>
    <w:rsid w:val="009510D1"/>
    <w:rsid w:val="009515E3"/>
    <w:rsid w:val="00951D3C"/>
    <w:rsid w:val="0095264B"/>
    <w:rsid w:val="0095274E"/>
    <w:rsid w:val="0095275C"/>
    <w:rsid w:val="00952C78"/>
    <w:rsid w:val="00952DDF"/>
    <w:rsid w:val="00953101"/>
    <w:rsid w:val="00953C2A"/>
    <w:rsid w:val="00953CA6"/>
    <w:rsid w:val="0095468F"/>
    <w:rsid w:val="009553B9"/>
    <w:rsid w:val="0095557F"/>
    <w:rsid w:val="00955873"/>
    <w:rsid w:val="0095592E"/>
    <w:rsid w:val="00955E1F"/>
    <w:rsid w:val="00955FD6"/>
    <w:rsid w:val="0095687D"/>
    <w:rsid w:val="00956CD1"/>
    <w:rsid w:val="00956D39"/>
    <w:rsid w:val="009571A7"/>
    <w:rsid w:val="00957207"/>
    <w:rsid w:val="009574D1"/>
    <w:rsid w:val="00957B13"/>
    <w:rsid w:val="00957C86"/>
    <w:rsid w:val="00957DA5"/>
    <w:rsid w:val="00957E92"/>
    <w:rsid w:val="009604EE"/>
    <w:rsid w:val="009622D0"/>
    <w:rsid w:val="0096274F"/>
    <w:rsid w:val="00962A0D"/>
    <w:rsid w:val="00962A7C"/>
    <w:rsid w:val="00962BF2"/>
    <w:rsid w:val="00963369"/>
    <w:rsid w:val="00963533"/>
    <w:rsid w:val="00963621"/>
    <w:rsid w:val="00963FB2"/>
    <w:rsid w:val="00964158"/>
    <w:rsid w:val="009641C0"/>
    <w:rsid w:val="009645F7"/>
    <w:rsid w:val="00964CDD"/>
    <w:rsid w:val="009650DD"/>
    <w:rsid w:val="00965DCF"/>
    <w:rsid w:val="009669A9"/>
    <w:rsid w:val="00967960"/>
    <w:rsid w:val="00970397"/>
    <w:rsid w:val="009704DA"/>
    <w:rsid w:val="009705BF"/>
    <w:rsid w:val="009706B3"/>
    <w:rsid w:val="00970731"/>
    <w:rsid w:val="009708A0"/>
    <w:rsid w:val="009709A5"/>
    <w:rsid w:val="00970C58"/>
    <w:rsid w:val="00971113"/>
    <w:rsid w:val="0097128C"/>
    <w:rsid w:val="009712A4"/>
    <w:rsid w:val="0097139E"/>
    <w:rsid w:val="009726F4"/>
    <w:rsid w:val="009728A8"/>
    <w:rsid w:val="009728E1"/>
    <w:rsid w:val="00972B3A"/>
    <w:rsid w:val="00972B95"/>
    <w:rsid w:val="00972E6F"/>
    <w:rsid w:val="009733E1"/>
    <w:rsid w:val="00973C08"/>
    <w:rsid w:val="00974162"/>
    <w:rsid w:val="00974250"/>
    <w:rsid w:val="009747FF"/>
    <w:rsid w:val="0097486C"/>
    <w:rsid w:val="00975780"/>
    <w:rsid w:val="00975D27"/>
    <w:rsid w:val="00975E36"/>
    <w:rsid w:val="009762DB"/>
    <w:rsid w:val="00976591"/>
    <w:rsid w:val="0097680F"/>
    <w:rsid w:val="0097696A"/>
    <w:rsid w:val="009769C3"/>
    <w:rsid w:val="00976BCC"/>
    <w:rsid w:val="00976C6C"/>
    <w:rsid w:val="00977372"/>
    <w:rsid w:val="0097772D"/>
    <w:rsid w:val="00977965"/>
    <w:rsid w:val="00980209"/>
    <w:rsid w:val="00980377"/>
    <w:rsid w:val="00980DC8"/>
    <w:rsid w:val="00981012"/>
    <w:rsid w:val="009810FE"/>
    <w:rsid w:val="00981C3E"/>
    <w:rsid w:val="009828E2"/>
    <w:rsid w:val="00982D27"/>
    <w:rsid w:val="0098334F"/>
    <w:rsid w:val="00983493"/>
    <w:rsid w:val="0098384C"/>
    <w:rsid w:val="00983FA5"/>
    <w:rsid w:val="00984180"/>
    <w:rsid w:val="0098465D"/>
    <w:rsid w:val="0098471F"/>
    <w:rsid w:val="00984861"/>
    <w:rsid w:val="00984BC3"/>
    <w:rsid w:val="00984F5E"/>
    <w:rsid w:val="0098519F"/>
    <w:rsid w:val="00985F02"/>
    <w:rsid w:val="00985F16"/>
    <w:rsid w:val="00985FC3"/>
    <w:rsid w:val="009866E8"/>
    <w:rsid w:val="009868C5"/>
    <w:rsid w:val="00986AB5"/>
    <w:rsid w:val="00986CF9"/>
    <w:rsid w:val="00986D8B"/>
    <w:rsid w:val="00986E2E"/>
    <w:rsid w:val="00987BEF"/>
    <w:rsid w:val="00987F89"/>
    <w:rsid w:val="009906A9"/>
    <w:rsid w:val="00990925"/>
    <w:rsid w:val="00991613"/>
    <w:rsid w:val="00991732"/>
    <w:rsid w:val="00991DE9"/>
    <w:rsid w:val="00991EF8"/>
    <w:rsid w:val="009922A1"/>
    <w:rsid w:val="00992862"/>
    <w:rsid w:val="009929DE"/>
    <w:rsid w:val="00992D54"/>
    <w:rsid w:val="00992E8A"/>
    <w:rsid w:val="00992EBB"/>
    <w:rsid w:val="009936CB"/>
    <w:rsid w:val="00993E8A"/>
    <w:rsid w:val="0099411A"/>
    <w:rsid w:val="00994A9D"/>
    <w:rsid w:val="00994BE7"/>
    <w:rsid w:val="00994C0F"/>
    <w:rsid w:val="00995001"/>
    <w:rsid w:val="009950DA"/>
    <w:rsid w:val="009952A8"/>
    <w:rsid w:val="0099556E"/>
    <w:rsid w:val="009955C3"/>
    <w:rsid w:val="00995748"/>
    <w:rsid w:val="00995BF0"/>
    <w:rsid w:val="009968A2"/>
    <w:rsid w:val="009968F5"/>
    <w:rsid w:val="00996922"/>
    <w:rsid w:val="009973D0"/>
    <w:rsid w:val="009976AF"/>
    <w:rsid w:val="0099797B"/>
    <w:rsid w:val="00997A01"/>
    <w:rsid w:val="009A03E6"/>
    <w:rsid w:val="009A096F"/>
    <w:rsid w:val="009A0BE4"/>
    <w:rsid w:val="009A0D00"/>
    <w:rsid w:val="009A185E"/>
    <w:rsid w:val="009A1C83"/>
    <w:rsid w:val="009A24A2"/>
    <w:rsid w:val="009A288A"/>
    <w:rsid w:val="009A28C6"/>
    <w:rsid w:val="009A29D1"/>
    <w:rsid w:val="009A2A62"/>
    <w:rsid w:val="009A33F9"/>
    <w:rsid w:val="009A342C"/>
    <w:rsid w:val="009A3CD4"/>
    <w:rsid w:val="009A471A"/>
    <w:rsid w:val="009A484C"/>
    <w:rsid w:val="009A515B"/>
    <w:rsid w:val="009A51E2"/>
    <w:rsid w:val="009A52CD"/>
    <w:rsid w:val="009A53AA"/>
    <w:rsid w:val="009A55A8"/>
    <w:rsid w:val="009A5AA7"/>
    <w:rsid w:val="009A60A8"/>
    <w:rsid w:val="009A60C6"/>
    <w:rsid w:val="009A70AB"/>
    <w:rsid w:val="009A7B67"/>
    <w:rsid w:val="009A7FCE"/>
    <w:rsid w:val="009B02EB"/>
    <w:rsid w:val="009B0879"/>
    <w:rsid w:val="009B0D16"/>
    <w:rsid w:val="009B1B77"/>
    <w:rsid w:val="009B222A"/>
    <w:rsid w:val="009B22AA"/>
    <w:rsid w:val="009B24EC"/>
    <w:rsid w:val="009B2A49"/>
    <w:rsid w:val="009B2AF2"/>
    <w:rsid w:val="009B33B5"/>
    <w:rsid w:val="009B3A26"/>
    <w:rsid w:val="009B3B84"/>
    <w:rsid w:val="009B461C"/>
    <w:rsid w:val="009B46FE"/>
    <w:rsid w:val="009B48B5"/>
    <w:rsid w:val="009B4AAC"/>
    <w:rsid w:val="009B5081"/>
    <w:rsid w:val="009B5171"/>
    <w:rsid w:val="009B6019"/>
    <w:rsid w:val="009B650E"/>
    <w:rsid w:val="009B686B"/>
    <w:rsid w:val="009B6D0A"/>
    <w:rsid w:val="009B73C4"/>
    <w:rsid w:val="009B7800"/>
    <w:rsid w:val="009C0287"/>
    <w:rsid w:val="009C07AD"/>
    <w:rsid w:val="009C1530"/>
    <w:rsid w:val="009C16FD"/>
    <w:rsid w:val="009C1A3E"/>
    <w:rsid w:val="009C1A49"/>
    <w:rsid w:val="009C1FEC"/>
    <w:rsid w:val="009C2133"/>
    <w:rsid w:val="009C21CF"/>
    <w:rsid w:val="009C222A"/>
    <w:rsid w:val="009C26E4"/>
    <w:rsid w:val="009C29CF"/>
    <w:rsid w:val="009C319F"/>
    <w:rsid w:val="009C3942"/>
    <w:rsid w:val="009C3A73"/>
    <w:rsid w:val="009C40E1"/>
    <w:rsid w:val="009C40FD"/>
    <w:rsid w:val="009C475F"/>
    <w:rsid w:val="009C4FF4"/>
    <w:rsid w:val="009C522A"/>
    <w:rsid w:val="009C542E"/>
    <w:rsid w:val="009C57A5"/>
    <w:rsid w:val="009C5DF3"/>
    <w:rsid w:val="009C5E17"/>
    <w:rsid w:val="009C64A9"/>
    <w:rsid w:val="009C64B5"/>
    <w:rsid w:val="009C659C"/>
    <w:rsid w:val="009C66D5"/>
    <w:rsid w:val="009C6733"/>
    <w:rsid w:val="009C6E3A"/>
    <w:rsid w:val="009C7CDC"/>
    <w:rsid w:val="009D0D28"/>
    <w:rsid w:val="009D0D2B"/>
    <w:rsid w:val="009D0D76"/>
    <w:rsid w:val="009D0DE9"/>
    <w:rsid w:val="009D0E50"/>
    <w:rsid w:val="009D1794"/>
    <w:rsid w:val="009D1823"/>
    <w:rsid w:val="009D271D"/>
    <w:rsid w:val="009D2819"/>
    <w:rsid w:val="009D2D57"/>
    <w:rsid w:val="009D2E1B"/>
    <w:rsid w:val="009D3080"/>
    <w:rsid w:val="009D32FA"/>
    <w:rsid w:val="009D39B4"/>
    <w:rsid w:val="009D3BB1"/>
    <w:rsid w:val="009D42C4"/>
    <w:rsid w:val="009D42E7"/>
    <w:rsid w:val="009D52E4"/>
    <w:rsid w:val="009D6430"/>
    <w:rsid w:val="009D6DD9"/>
    <w:rsid w:val="009D6EB5"/>
    <w:rsid w:val="009D6FA1"/>
    <w:rsid w:val="009D77AC"/>
    <w:rsid w:val="009D7CA0"/>
    <w:rsid w:val="009E09A1"/>
    <w:rsid w:val="009E1B23"/>
    <w:rsid w:val="009E1CB8"/>
    <w:rsid w:val="009E1E5B"/>
    <w:rsid w:val="009E1FD3"/>
    <w:rsid w:val="009E2841"/>
    <w:rsid w:val="009E2B28"/>
    <w:rsid w:val="009E3592"/>
    <w:rsid w:val="009E3ACC"/>
    <w:rsid w:val="009E3C6B"/>
    <w:rsid w:val="009E49C6"/>
    <w:rsid w:val="009E543B"/>
    <w:rsid w:val="009E5A6B"/>
    <w:rsid w:val="009E5AE4"/>
    <w:rsid w:val="009E5D3F"/>
    <w:rsid w:val="009E5D45"/>
    <w:rsid w:val="009E615B"/>
    <w:rsid w:val="009E615F"/>
    <w:rsid w:val="009E6714"/>
    <w:rsid w:val="009E6A89"/>
    <w:rsid w:val="009E6ABC"/>
    <w:rsid w:val="009E75F7"/>
    <w:rsid w:val="009E78E8"/>
    <w:rsid w:val="009E7BD9"/>
    <w:rsid w:val="009E7F58"/>
    <w:rsid w:val="009E7FF8"/>
    <w:rsid w:val="009F0092"/>
    <w:rsid w:val="009F01B7"/>
    <w:rsid w:val="009F03CD"/>
    <w:rsid w:val="009F1ADF"/>
    <w:rsid w:val="009F2F8C"/>
    <w:rsid w:val="009F3774"/>
    <w:rsid w:val="009F37C7"/>
    <w:rsid w:val="009F37F1"/>
    <w:rsid w:val="009F3C1A"/>
    <w:rsid w:val="009F3D84"/>
    <w:rsid w:val="009F4072"/>
    <w:rsid w:val="009F4211"/>
    <w:rsid w:val="009F4437"/>
    <w:rsid w:val="009F4CC9"/>
    <w:rsid w:val="009F5420"/>
    <w:rsid w:val="009F56B6"/>
    <w:rsid w:val="009F5725"/>
    <w:rsid w:val="009F583D"/>
    <w:rsid w:val="009F5B9B"/>
    <w:rsid w:val="009F5DFF"/>
    <w:rsid w:val="009F60CB"/>
    <w:rsid w:val="009F61D5"/>
    <w:rsid w:val="009F646D"/>
    <w:rsid w:val="009F6899"/>
    <w:rsid w:val="009F6C2F"/>
    <w:rsid w:val="009F6F9E"/>
    <w:rsid w:val="009F70F2"/>
    <w:rsid w:val="009F73F9"/>
    <w:rsid w:val="009F74B0"/>
    <w:rsid w:val="009F7E89"/>
    <w:rsid w:val="009F7ED0"/>
    <w:rsid w:val="00A0086A"/>
    <w:rsid w:val="00A011C9"/>
    <w:rsid w:val="00A0152A"/>
    <w:rsid w:val="00A01787"/>
    <w:rsid w:val="00A01C06"/>
    <w:rsid w:val="00A02083"/>
    <w:rsid w:val="00A02753"/>
    <w:rsid w:val="00A02892"/>
    <w:rsid w:val="00A02B8D"/>
    <w:rsid w:val="00A02CB3"/>
    <w:rsid w:val="00A03134"/>
    <w:rsid w:val="00A03379"/>
    <w:rsid w:val="00A0359B"/>
    <w:rsid w:val="00A048D1"/>
    <w:rsid w:val="00A0519F"/>
    <w:rsid w:val="00A062F9"/>
    <w:rsid w:val="00A0681C"/>
    <w:rsid w:val="00A06A0F"/>
    <w:rsid w:val="00A07060"/>
    <w:rsid w:val="00A07B21"/>
    <w:rsid w:val="00A07C55"/>
    <w:rsid w:val="00A07CC8"/>
    <w:rsid w:val="00A10154"/>
    <w:rsid w:val="00A1149A"/>
    <w:rsid w:val="00A11D5A"/>
    <w:rsid w:val="00A11D73"/>
    <w:rsid w:val="00A12195"/>
    <w:rsid w:val="00A125A8"/>
    <w:rsid w:val="00A125F8"/>
    <w:rsid w:val="00A128C4"/>
    <w:rsid w:val="00A12FDC"/>
    <w:rsid w:val="00A132AF"/>
    <w:rsid w:val="00A1398C"/>
    <w:rsid w:val="00A13C1F"/>
    <w:rsid w:val="00A14002"/>
    <w:rsid w:val="00A14621"/>
    <w:rsid w:val="00A1469C"/>
    <w:rsid w:val="00A1500D"/>
    <w:rsid w:val="00A15AAF"/>
    <w:rsid w:val="00A15C89"/>
    <w:rsid w:val="00A15D6D"/>
    <w:rsid w:val="00A15EEA"/>
    <w:rsid w:val="00A161DD"/>
    <w:rsid w:val="00A1633E"/>
    <w:rsid w:val="00A1643A"/>
    <w:rsid w:val="00A1649E"/>
    <w:rsid w:val="00A1656E"/>
    <w:rsid w:val="00A16B48"/>
    <w:rsid w:val="00A170D1"/>
    <w:rsid w:val="00A171AC"/>
    <w:rsid w:val="00A171F8"/>
    <w:rsid w:val="00A174DF"/>
    <w:rsid w:val="00A175EC"/>
    <w:rsid w:val="00A17818"/>
    <w:rsid w:val="00A17F2B"/>
    <w:rsid w:val="00A203D2"/>
    <w:rsid w:val="00A203E4"/>
    <w:rsid w:val="00A20946"/>
    <w:rsid w:val="00A2098C"/>
    <w:rsid w:val="00A21701"/>
    <w:rsid w:val="00A21D4D"/>
    <w:rsid w:val="00A21D87"/>
    <w:rsid w:val="00A2251E"/>
    <w:rsid w:val="00A22719"/>
    <w:rsid w:val="00A227B6"/>
    <w:rsid w:val="00A22A83"/>
    <w:rsid w:val="00A22CFB"/>
    <w:rsid w:val="00A23019"/>
    <w:rsid w:val="00A23701"/>
    <w:rsid w:val="00A2381E"/>
    <w:rsid w:val="00A239F2"/>
    <w:rsid w:val="00A23BFD"/>
    <w:rsid w:val="00A23DD7"/>
    <w:rsid w:val="00A242AC"/>
    <w:rsid w:val="00A243B4"/>
    <w:rsid w:val="00A2445D"/>
    <w:rsid w:val="00A246F2"/>
    <w:rsid w:val="00A24BA8"/>
    <w:rsid w:val="00A24C23"/>
    <w:rsid w:val="00A24F3C"/>
    <w:rsid w:val="00A25192"/>
    <w:rsid w:val="00A25773"/>
    <w:rsid w:val="00A25D8D"/>
    <w:rsid w:val="00A26838"/>
    <w:rsid w:val="00A26D94"/>
    <w:rsid w:val="00A26E39"/>
    <w:rsid w:val="00A26F48"/>
    <w:rsid w:val="00A270AD"/>
    <w:rsid w:val="00A2730A"/>
    <w:rsid w:val="00A2735F"/>
    <w:rsid w:val="00A2743F"/>
    <w:rsid w:val="00A27479"/>
    <w:rsid w:val="00A27A73"/>
    <w:rsid w:val="00A27B50"/>
    <w:rsid w:val="00A3098E"/>
    <w:rsid w:val="00A3125E"/>
    <w:rsid w:val="00A326D5"/>
    <w:rsid w:val="00A33894"/>
    <w:rsid w:val="00A341AF"/>
    <w:rsid w:val="00A346BC"/>
    <w:rsid w:val="00A34C96"/>
    <w:rsid w:val="00A34E31"/>
    <w:rsid w:val="00A34E8E"/>
    <w:rsid w:val="00A3531A"/>
    <w:rsid w:val="00A364E6"/>
    <w:rsid w:val="00A36A4D"/>
    <w:rsid w:val="00A36AE9"/>
    <w:rsid w:val="00A3724C"/>
    <w:rsid w:val="00A374DB"/>
    <w:rsid w:val="00A40B54"/>
    <w:rsid w:val="00A4184E"/>
    <w:rsid w:val="00A41E99"/>
    <w:rsid w:val="00A422AB"/>
    <w:rsid w:val="00A43654"/>
    <w:rsid w:val="00A44293"/>
    <w:rsid w:val="00A443CE"/>
    <w:rsid w:val="00A44D3A"/>
    <w:rsid w:val="00A4511D"/>
    <w:rsid w:val="00A452E8"/>
    <w:rsid w:val="00A46AFC"/>
    <w:rsid w:val="00A470C7"/>
    <w:rsid w:val="00A472A4"/>
    <w:rsid w:val="00A47571"/>
    <w:rsid w:val="00A50481"/>
    <w:rsid w:val="00A50DE5"/>
    <w:rsid w:val="00A51536"/>
    <w:rsid w:val="00A5156B"/>
    <w:rsid w:val="00A52097"/>
    <w:rsid w:val="00A5229B"/>
    <w:rsid w:val="00A522C6"/>
    <w:rsid w:val="00A52ED3"/>
    <w:rsid w:val="00A532EE"/>
    <w:rsid w:val="00A537EB"/>
    <w:rsid w:val="00A53A2A"/>
    <w:rsid w:val="00A54881"/>
    <w:rsid w:val="00A54974"/>
    <w:rsid w:val="00A54CB4"/>
    <w:rsid w:val="00A54F0B"/>
    <w:rsid w:val="00A5538F"/>
    <w:rsid w:val="00A559CF"/>
    <w:rsid w:val="00A56445"/>
    <w:rsid w:val="00A57B77"/>
    <w:rsid w:val="00A57E08"/>
    <w:rsid w:val="00A57FEB"/>
    <w:rsid w:val="00A6153B"/>
    <w:rsid w:val="00A616A6"/>
    <w:rsid w:val="00A61CA7"/>
    <w:rsid w:val="00A62517"/>
    <w:rsid w:val="00A628A4"/>
    <w:rsid w:val="00A6290F"/>
    <w:rsid w:val="00A62B29"/>
    <w:rsid w:val="00A630AF"/>
    <w:rsid w:val="00A63312"/>
    <w:rsid w:val="00A63724"/>
    <w:rsid w:val="00A63DDD"/>
    <w:rsid w:val="00A63DE1"/>
    <w:rsid w:val="00A64270"/>
    <w:rsid w:val="00A6439E"/>
    <w:rsid w:val="00A647A5"/>
    <w:rsid w:val="00A648DB"/>
    <w:rsid w:val="00A6564A"/>
    <w:rsid w:val="00A65AA8"/>
    <w:rsid w:val="00A661F5"/>
    <w:rsid w:val="00A667D9"/>
    <w:rsid w:val="00A67455"/>
    <w:rsid w:val="00A700DB"/>
    <w:rsid w:val="00A70578"/>
    <w:rsid w:val="00A70F48"/>
    <w:rsid w:val="00A716C0"/>
    <w:rsid w:val="00A718AF"/>
    <w:rsid w:val="00A722EA"/>
    <w:rsid w:val="00A72348"/>
    <w:rsid w:val="00A728CE"/>
    <w:rsid w:val="00A72CBC"/>
    <w:rsid w:val="00A73242"/>
    <w:rsid w:val="00A73610"/>
    <w:rsid w:val="00A7367C"/>
    <w:rsid w:val="00A748F5"/>
    <w:rsid w:val="00A74D5C"/>
    <w:rsid w:val="00A75285"/>
    <w:rsid w:val="00A75384"/>
    <w:rsid w:val="00A75D5A"/>
    <w:rsid w:val="00A767DB"/>
    <w:rsid w:val="00A76CD2"/>
    <w:rsid w:val="00A76CE7"/>
    <w:rsid w:val="00A76D07"/>
    <w:rsid w:val="00A76E14"/>
    <w:rsid w:val="00A77066"/>
    <w:rsid w:val="00A80192"/>
    <w:rsid w:val="00A8027B"/>
    <w:rsid w:val="00A80D21"/>
    <w:rsid w:val="00A80D36"/>
    <w:rsid w:val="00A811C5"/>
    <w:rsid w:val="00A812C6"/>
    <w:rsid w:val="00A81300"/>
    <w:rsid w:val="00A813C9"/>
    <w:rsid w:val="00A81454"/>
    <w:rsid w:val="00A814BA"/>
    <w:rsid w:val="00A8151F"/>
    <w:rsid w:val="00A81EC0"/>
    <w:rsid w:val="00A82371"/>
    <w:rsid w:val="00A82747"/>
    <w:rsid w:val="00A828F5"/>
    <w:rsid w:val="00A82CCC"/>
    <w:rsid w:val="00A82FE9"/>
    <w:rsid w:val="00A83054"/>
    <w:rsid w:val="00A83A8A"/>
    <w:rsid w:val="00A84407"/>
    <w:rsid w:val="00A84846"/>
    <w:rsid w:val="00A84A61"/>
    <w:rsid w:val="00A84C74"/>
    <w:rsid w:val="00A8515D"/>
    <w:rsid w:val="00A851B7"/>
    <w:rsid w:val="00A85FE7"/>
    <w:rsid w:val="00A86113"/>
    <w:rsid w:val="00A86BBF"/>
    <w:rsid w:val="00A87DE0"/>
    <w:rsid w:val="00A87F68"/>
    <w:rsid w:val="00A9041C"/>
    <w:rsid w:val="00A90BEC"/>
    <w:rsid w:val="00A91433"/>
    <w:rsid w:val="00A917CA"/>
    <w:rsid w:val="00A917E2"/>
    <w:rsid w:val="00A91BA1"/>
    <w:rsid w:val="00A92244"/>
    <w:rsid w:val="00A924A0"/>
    <w:rsid w:val="00A9295D"/>
    <w:rsid w:val="00A93243"/>
    <w:rsid w:val="00A93621"/>
    <w:rsid w:val="00A93C07"/>
    <w:rsid w:val="00A9483D"/>
    <w:rsid w:val="00A967F3"/>
    <w:rsid w:val="00A96E4C"/>
    <w:rsid w:val="00A978D4"/>
    <w:rsid w:val="00A979AF"/>
    <w:rsid w:val="00A97D66"/>
    <w:rsid w:val="00AA05A7"/>
    <w:rsid w:val="00AA0B0C"/>
    <w:rsid w:val="00AA0E90"/>
    <w:rsid w:val="00AA17E4"/>
    <w:rsid w:val="00AA1A7B"/>
    <w:rsid w:val="00AA1CFC"/>
    <w:rsid w:val="00AA1CFE"/>
    <w:rsid w:val="00AA3A48"/>
    <w:rsid w:val="00AA3C6C"/>
    <w:rsid w:val="00AA3F56"/>
    <w:rsid w:val="00AA412A"/>
    <w:rsid w:val="00AA43A5"/>
    <w:rsid w:val="00AA4681"/>
    <w:rsid w:val="00AA4921"/>
    <w:rsid w:val="00AA4A31"/>
    <w:rsid w:val="00AA5323"/>
    <w:rsid w:val="00AA5B25"/>
    <w:rsid w:val="00AA6C0C"/>
    <w:rsid w:val="00AA7376"/>
    <w:rsid w:val="00AA7898"/>
    <w:rsid w:val="00AA7CF9"/>
    <w:rsid w:val="00AB0490"/>
    <w:rsid w:val="00AB09DB"/>
    <w:rsid w:val="00AB0BFF"/>
    <w:rsid w:val="00AB0C3F"/>
    <w:rsid w:val="00AB1558"/>
    <w:rsid w:val="00AB193B"/>
    <w:rsid w:val="00AB1AFF"/>
    <w:rsid w:val="00AB224A"/>
    <w:rsid w:val="00AB2A59"/>
    <w:rsid w:val="00AB2BBB"/>
    <w:rsid w:val="00AB307B"/>
    <w:rsid w:val="00AB38DE"/>
    <w:rsid w:val="00AB3F51"/>
    <w:rsid w:val="00AB460C"/>
    <w:rsid w:val="00AB46A9"/>
    <w:rsid w:val="00AB4806"/>
    <w:rsid w:val="00AB49E9"/>
    <w:rsid w:val="00AB4A58"/>
    <w:rsid w:val="00AB519B"/>
    <w:rsid w:val="00AB5262"/>
    <w:rsid w:val="00AB5C4F"/>
    <w:rsid w:val="00AB6279"/>
    <w:rsid w:val="00AB649D"/>
    <w:rsid w:val="00AB6A59"/>
    <w:rsid w:val="00AB71AF"/>
    <w:rsid w:val="00AB723D"/>
    <w:rsid w:val="00AB737B"/>
    <w:rsid w:val="00AB7519"/>
    <w:rsid w:val="00AB7863"/>
    <w:rsid w:val="00AB7B53"/>
    <w:rsid w:val="00AB7CF4"/>
    <w:rsid w:val="00AB7E16"/>
    <w:rsid w:val="00AB7E1C"/>
    <w:rsid w:val="00AC10F8"/>
    <w:rsid w:val="00AC2CB7"/>
    <w:rsid w:val="00AC38D4"/>
    <w:rsid w:val="00AC40D0"/>
    <w:rsid w:val="00AC5C64"/>
    <w:rsid w:val="00AC66B9"/>
    <w:rsid w:val="00AC689E"/>
    <w:rsid w:val="00AC69F2"/>
    <w:rsid w:val="00AC6BC4"/>
    <w:rsid w:val="00AC6C3E"/>
    <w:rsid w:val="00AC6F2A"/>
    <w:rsid w:val="00AC76B7"/>
    <w:rsid w:val="00AC7B76"/>
    <w:rsid w:val="00AC7E9C"/>
    <w:rsid w:val="00AC7F4C"/>
    <w:rsid w:val="00AD0227"/>
    <w:rsid w:val="00AD0DAB"/>
    <w:rsid w:val="00AD1102"/>
    <w:rsid w:val="00AD1C4C"/>
    <w:rsid w:val="00AD1DCA"/>
    <w:rsid w:val="00AD200D"/>
    <w:rsid w:val="00AD2836"/>
    <w:rsid w:val="00AD3605"/>
    <w:rsid w:val="00AD3CBD"/>
    <w:rsid w:val="00AD3FA5"/>
    <w:rsid w:val="00AD4579"/>
    <w:rsid w:val="00AD4668"/>
    <w:rsid w:val="00AD4DC9"/>
    <w:rsid w:val="00AD5207"/>
    <w:rsid w:val="00AD57D7"/>
    <w:rsid w:val="00AD5F16"/>
    <w:rsid w:val="00AD6A7A"/>
    <w:rsid w:val="00AD6AAB"/>
    <w:rsid w:val="00AD6D81"/>
    <w:rsid w:val="00AD6E67"/>
    <w:rsid w:val="00AD6EA2"/>
    <w:rsid w:val="00AD7424"/>
    <w:rsid w:val="00AD7866"/>
    <w:rsid w:val="00AD7B8A"/>
    <w:rsid w:val="00AD7DD9"/>
    <w:rsid w:val="00AE00CD"/>
    <w:rsid w:val="00AE0316"/>
    <w:rsid w:val="00AE0671"/>
    <w:rsid w:val="00AE0F92"/>
    <w:rsid w:val="00AE0FDD"/>
    <w:rsid w:val="00AE1CFF"/>
    <w:rsid w:val="00AE2024"/>
    <w:rsid w:val="00AE20C1"/>
    <w:rsid w:val="00AE2457"/>
    <w:rsid w:val="00AE25B3"/>
    <w:rsid w:val="00AE2A91"/>
    <w:rsid w:val="00AE2B3D"/>
    <w:rsid w:val="00AE34C3"/>
    <w:rsid w:val="00AE3A41"/>
    <w:rsid w:val="00AE4365"/>
    <w:rsid w:val="00AE4517"/>
    <w:rsid w:val="00AE468A"/>
    <w:rsid w:val="00AE4B70"/>
    <w:rsid w:val="00AE51FB"/>
    <w:rsid w:val="00AE555C"/>
    <w:rsid w:val="00AE5592"/>
    <w:rsid w:val="00AE5CBE"/>
    <w:rsid w:val="00AE63BF"/>
    <w:rsid w:val="00AE6899"/>
    <w:rsid w:val="00AE69E7"/>
    <w:rsid w:val="00AE6D1C"/>
    <w:rsid w:val="00AE71DF"/>
    <w:rsid w:val="00AE72C8"/>
    <w:rsid w:val="00AF0B8C"/>
    <w:rsid w:val="00AF0D04"/>
    <w:rsid w:val="00AF1772"/>
    <w:rsid w:val="00AF18DF"/>
    <w:rsid w:val="00AF1C37"/>
    <w:rsid w:val="00AF2226"/>
    <w:rsid w:val="00AF28EC"/>
    <w:rsid w:val="00AF2932"/>
    <w:rsid w:val="00AF2B4C"/>
    <w:rsid w:val="00AF2EEA"/>
    <w:rsid w:val="00AF3393"/>
    <w:rsid w:val="00AF4271"/>
    <w:rsid w:val="00AF43CE"/>
    <w:rsid w:val="00AF4AAC"/>
    <w:rsid w:val="00AF4CBA"/>
    <w:rsid w:val="00AF4CC2"/>
    <w:rsid w:val="00AF5D41"/>
    <w:rsid w:val="00AF6675"/>
    <w:rsid w:val="00AF687E"/>
    <w:rsid w:val="00AF69F5"/>
    <w:rsid w:val="00AF6C6F"/>
    <w:rsid w:val="00AF7189"/>
    <w:rsid w:val="00AF7736"/>
    <w:rsid w:val="00AF77BA"/>
    <w:rsid w:val="00AF7C0F"/>
    <w:rsid w:val="00AF7C14"/>
    <w:rsid w:val="00AF7C84"/>
    <w:rsid w:val="00B00217"/>
    <w:rsid w:val="00B00925"/>
    <w:rsid w:val="00B00A74"/>
    <w:rsid w:val="00B01377"/>
    <w:rsid w:val="00B015B0"/>
    <w:rsid w:val="00B02077"/>
    <w:rsid w:val="00B0267C"/>
    <w:rsid w:val="00B02F3F"/>
    <w:rsid w:val="00B03711"/>
    <w:rsid w:val="00B04056"/>
    <w:rsid w:val="00B04423"/>
    <w:rsid w:val="00B046DA"/>
    <w:rsid w:val="00B04869"/>
    <w:rsid w:val="00B04A92"/>
    <w:rsid w:val="00B051BA"/>
    <w:rsid w:val="00B0538B"/>
    <w:rsid w:val="00B055BA"/>
    <w:rsid w:val="00B0571C"/>
    <w:rsid w:val="00B05A83"/>
    <w:rsid w:val="00B05D6C"/>
    <w:rsid w:val="00B062ED"/>
    <w:rsid w:val="00B06AEA"/>
    <w:rsid w:val="00B07177"/>
    <w:rsid w:val="00B0774B"/>
    <w:rsid w:val="00B078EB"/>
    <w:rsid w:val="00B100A3"/>
    <w:rsid w:val="00B103D5"/>
    <w:rsid w:val="00B103FF"/>
    <w:rsid w:val="00B1083D"/>
    <w:rsid w:val="00B10E71"/>
    <w:rsid w:val="00B10EFF"/>
    <w:rsid w:val="00B1102A"/>
    <w:rsid w:val="00B11084"/>
    <w:rsid w:val="00B110CA"/>
    <w:rsid w:val="00B11BB5"/>
    <w:rsid w:val="00B122A8"/>
    <w:rsid w:val="00B1246F"/>
    <w:rsid w:val="00B124AF"/>
    <w:rsid w:val="00B128DD"/>
    <w:rsid w:val="00B12C30"/>
    <w:rsid w:val="00B12CD1"/>
    <w:rsid w:val="00B12EE1"/>
    <w:rsid w:val="00B1305D"/>
    <w:rsid w:val="00B14803"/>
    <w:rsid w:val="00B14FDA"/>
    <w:rsid w:val="00B14FF9"/>
    <w:rsid w:val="00B1506F"/>
    <w:rsid w:val="00B157CF"/>
    <w:rsid w:val="00B15E47"/>
    <w:rsid w:val="00B15EFD"/>
    <w:rsid w:val="00B16256"/>
    <w:rsid w:val="00B16652"/>
    <w:rsid w:val="00B16AC6"/>
    <w:rsid w:val="00B16B57"/>
    <w:rsid w:val="00B2036E"/>
    <w:rsid w:val="00B2037C"/>
    <w:rsid w:val="00B210CC"/>
    <w:rsid w:val="00B2140D"/>
    <w:rsid w:val="00B2148D"/>
    <w:rsid w:val="00B21EC4"/>
    <w:rsid w:val="00B2207E"/>
    <w:rsid w:val="00B22A27"/>
    <w:rsid w:val="00B22DE9"/>
    <w:rsid w:val="00B23B66"/>
    <w:rsid w:val="00B23DB8"/>
    <w:rsid w:val="00B24424"/>
    <w:rsid w:val="00B2497F"/>
    <w:rsid w:val="00B24C7D"/>
    <w:rsid w:val="00B24D67"/>
    <w:rsid w:val="00B24DC8"/>
    <w:rsid w:val="00B260D7"/>
    <w:rsid w:val="00B263C4"/>
    <w:rsid w:val="00B26E1F"/>
    <w:rsid w:val="00B3038A"/>
    <w:rsid w:val="00B3070E"/>
    <w:rsid w:val="00B3096C"/>
    <w:rsid w:val="00B30BCA"/>
    <w:rsid w:val="00B31B4A"/>
    <w:rsid w:val="00B31D21"/>
    <w:rsid w:val="00B321B3"/>
    <w:rsid w:val="00B32828"/>
    <w:rsid w:val="00B32933"/>
    <w:rsid w:val="00B32B29"/>
    <w:rsid w:val="00B32D04"/>
    <w:rsid w:val="00B331AA"/>
    <w:rsid w:val="00B33ED3"/>
    <w:rsid w:val="00B341CC"/>
    <w:rsid w:val="00B353DD"/>
    <w:rsid w:val="00B356B2"/>
    <w:rsid w:val="00B35AB1"/>
    <w:rsid w:val="00B35DE8"/>
    <w:rsid w:val="00B362AB"/>
    <w:rsid w:val="00B365D6"/>
    <w:rsid w:val="00B36B94"/>
    <w:rsid w:val="00B36DE3"/>
    <w:rsid w:val="00B37330"/>
    <w:rsid w:val="00B401C2"/>
    <w:rsid w:val="00B405EB"/>
    <w:rsid w:val="00B40919"/>
    <w:rsid w:val="00B41121"/>
    <w:rsid w:val="00B411BE"/>
    <w:rsid w:val="00B413D6"/>
    <w:rsid w:val="00B415C4"/>
    <w:rsid w:val="00B418C4"/>
    <w:rsid w:val="00B4226A"/>
    <w:rsid w:val="00B4282B"/>
    <w:rsid w:val="00B42969"/>
    <w:rsid w:val="00B42B02"/>
    <w:rsid w:val="00B42B34"/>
    <w:rsid w:val="00B42BFF"/>
    <w:rsid w:val="00B43499"/>
    <w:rsid w:val="00B4394D"/>
    <w:rsid w:val="00B43B50"/>
    <w:rsid w:val="00B43C81"/>
    <w:rsid w:val="00B43DDE"/>
    <w:rsid w:val="00B43F8D"/>
    <w:rsid w:val="00B43FEC"/>
    <w:rsid w:val="00B441F7"/>
    <w:rsid w:val="00B44628"/>
    <w:rsid w:val="00B44716"/>
    <w:rsid w:val="00B4491B"/>
    <w:rsid w:val="00B449B3"/>
    <w:rsid w:val="00B457D6"/>
    <w:rsid w:val="00B458C8"/>
    <w:rsid w:val="00B45958"/>
    <w:rsid w:val="00B45C7B"/>
    <w:rsid w:val="00B46121"/>
    <w:rsid w:val="00B46633"/>
    <w:rsid w:val="00B46A04"/>
    <w:rsid w:val="00B46BFB"/>
    <w:rsid w:val="00B46EEF"/>
    <w:rsid w:val="00B4743E"/>
    <w:rsid w:val="00B47EB2"/>
    <w:rsid w:val="00B47EC4"/>
    <w:rsid w:val="00B47EC9"/>
    <w:rsid w:val="00B503C8"/>
    <w:rsid w:val="00B50A87"/>
    <w:rsid w:val="00B50BDA"/>
    <w:rsid w:val="00B50DC6"/>
    <w:rsid w:val="00B51349"/>
    <w:rsid w:val="00B51E88"/>
    <w:rsid w:val="00B52368"/>
    <w:rsid w:val="00B529AD"/>
    <w:rsid w:val="00B531D8"/>
    <w:rsid w:val="00B53227"/>
    <w:rsid w:val="00B532C4"/>
    <w:rsid w:val="00B53DE9"/>
    <w:rsid w:val="00B54A07"/>
    <w:rsid w:val="00B54AA9"/>
    <w:rsid w:val="00B54CBF"/>
    <w:rsid w:val="00B54D7F"/>
    <w:rsid w:val="00B54FE9"/>
    <w:rsid w:val="00B556F9"/>
    <w:rsid w:val="00B558A2"/>
    <w:rsid w:val="00B55C07"/>
    <w:rsid w:val="00B57828"/>
    <w:rsid w:val="00B57BC0"/>
    <w:rsid w:val="00B57EE3"/>
    <w:rsid w:val="00B6029F"/>
    <w:rsid w:val="00B60E35"/>
    <w:rsid w:val="00B60E92"/>
    <w:rsid w:val="00B610BC"/>
    <w:rsid w:val="00B61194"/>
    <w:rsid w:val="00B616C3"/>
    <w:rsid w:val="00B6199B"/>
    <w:rsid w:val="00B61E28"/>
    <w:rsid w:val="00B61EF9"/>
    <w:rsid w:val="00B62210"/>
    <w:rsid w:val="00B62756"/>
    <w:rsid w:val="00B63242"/>
    <w:rsid w:val="00B63A8E"/>
    <w:rsid w:val="00B63AAD"/>
    <w:rsid w:val="00B63D83"/>
    <w:rsid w:val="00B640C7"/>
    <w:rsid w:val="00B64325"/>
    <w:rsid w:val="00B643CC"/>
    <w:rsid w:val="00B6450A"/>
    <w:rsid w:val="00B647EA"/>
    <w:rsid w:val="00B64854"/>
    <w:rsid w:val="00B651DE"/>
    <w:rsid w:val="00B65319"/>
    <w:rsid w:val="00B65970"/>
    <w:rsid w:val="00B66319"/>
    <w:rsid w:val="00B6675A"/>
    <w:rsid w:val="00B667A2"/>
    <w:rsid w:val="00B66970"/>
    <w:rsid w:val="00B66AB1"/>
    <w:rsid w:val="00B66FD8"/>
    <w:rsid w:val="00B67071"/>
    <w:rsid w:val="00B67293"/>
    <w:rsid w:val="00B6730F"/>
    <w:rsid w:val="00B6780A"/>
    <w:rsid w:val="00B70601"/>
    <w:rsid w:val="00B7084D"/>
    <w:rsid w:val="00B70908"/>
    <w:rsid w:val="00B70B7A"/>
    <w:rsid w:val="00B70C17"/>
    <w:rsid w:val="00B717BD"/>
    <w:rsid w:val="00B719C3"/>
    <w:rsid w:val="00B71BF6"/>
    <w:rsid w:val="00B71F03"/>
    <w:rsid w:val="00B71F85"/>
    <w:rsid w:val="00B7242E"/>
    <w:rsid w:val="00B72771"/>
    <w:rsid w:val="00B72890"/>
    <w:rsid w:val="00B72B6C"/>
    <w:rsid w:val="00B7322D"/>
    <w:rsid w:val="00B74356"/>
    <w:rsid w:val="00B748B4"/>
    <w:rsid w:val="00B75283"/>
    <w:rsid w:val="00B75AB0"/>
    <w:rsid w:val="00B75DBD"/>
    <w:rsid w:val="00B76547"/>
    <w:rsid w:val="00B76918"/>
    <w:rsid w:val="00B769F1"/>
    <w:rsid w:val="00B76D99"/>
    <w:rsid w:val="00B7721A"/>
    <w:rsid w:val="00B774F6"/>
    <w:rsid w:val="00B77D47"/>
    <w:rsid w:val="00B77DE1"/>
    <w:rsid w:val="00B80006"/>
    <w:rsid w:val="00B8015D"/>
    <w:rsid w:val="00B803B3"/>
    <w:rsid w:val="00B80D8B"/>
    <w:rsid w:val="00B8105C"/>
    <w:rsid w:val="00B8251E"/>
    <w:rsid w:val="00B826EB"/>
    <w:rsid w:val="00B82944"/>
    <w:rsid w:val="00B831AF"/>
    <w:rsid w:val="00B831CA"/>
    <w:rsid w:val="00B836D9"/>
    <w:rsid w:val="00B83980"/>
    <w:rsid w:val="00B83DB8"/>
    <w:rsid w:val="00B84F43"/>
    <w:rsid w:val="00B8510F"/>
    <w:rsid w:val="00B8529E"/>
    <w:rsid w:val="00B855DF"/>
    <w:rsid w:val="00B857C5"/>
    <w:rsid w:val="00B85F5A"/>
    <w:rsid w:val="00B86895"/>
    <w:rsid w:val="00B87083"/>
    <w:rsid w:val="00B87443"/>
    <w:rsid w:val="00B87A2A"/>
    <w:rsid w:val="00B87B6F"/>
    <w:rsid w:val="00B87FDE"/>
    <w:rsid w:val="00B87FFA"/>
    <w:rsid w:val="00B90041"/>
    <w:rsid w:val="00B900B6"/>
    <w:rsid w:val="00B9013B"/>
    <w:rsid w:val="00B90212"/>
    <w:rsid w:val="00B906DA"/>
    <w:rsid w:val="00B90707"/>
    <w:rsid w:val="00B90C97"/>
    <w:rsid w:val="00B91DDC"/>
    <w:rsid w:val="00B922F5"/>
    <w:rsid w:val="00B927EA"/>
    <w:rsid w:val="00B9284F"/>
    <w:rsid w:val="00B92F7C"/>
    <w:rsid w:val="00B9327A"/>
    <w:rsid w:val="00B9356C"/>
    <w:rsid w:val="00B94084"/>
    <w:rsid w:val="00B94626"/>
    <w:rsid w:val="00B94B0F"/>
    <w:rsid w:val="00B966E0"/>
    <w:rsid w:val="00B96CDB"/>
    <w:rsid w:val="00B97758"/>
    <w:rsid w:val="00BA0B34"/>
    <w:rsid w:val="00BA0E0D"/>
    <w:rsid w:val="00BA191A"/>
    <w:rsid w:val="00BA1E6D"/>
    <w:rsid w:val="00BA2097"/>
    <w:rsid w:val="00BA2A35"/>
    <w:rsid w:val="00BA2CDA"/>
    <w:rsid w:val="00BA2FE7"/>
    <w:rsid w:val="00BA3081"/>
    <w:rsid w:val="00BA3522"/>
    <w:rsid w:val="00BA3620"/>
    <w:rsid w:val="00BA3680"/>
    <w:rsid w:val="00BA3D15"/>
    <w:rsid w:val="00BA3FB4"/>
    <w:rsid w:val="00BA471B"/>
    <w:rsid w:val="00BA4C76"/>
    <w:rsid w:val="00BA4EE0"/>
    <w:rsid w:val="00BA5155"/>
    <w:rsid w:val="00BA57D4"/>
    <w:rsid w:val="00BA591C"/>
    <w:rsid w:val="00BA59C6"/>
    <w:rsid w:val="00BA6414"/>
    <w:rsid w:val="00BA6B10"/>
    <w:rsid w:val="00BA6CEE"/>
    <w:rsid w:val="00BA7091"/>
    <w:rsid w:val="00BA7514"/>
    <w:rsid w:val="00BA7A9F"/>
    <w:rsid w:val="00BA7CE6"/>
    <w:rsid w:val="00BB0525"/>
    <w:rsid w:val="00BB0818"/>
    <w:rsid w:val="00BB1216"/>
    <w:rsid w:val="00BB152A"/>
    <w:rsid w:val="00BB15D8"/>
    <w:rsid w:val="00BB169B"/>
    <w:rsid w:val="00BB1715"/>
    <w:rsid w:val="00BB1841"/>
    <w:rsid w:val="00BB1A69"/>
    <w:rsid w:val="00BB21AC"/>
    <w:rsid w:val="00BB25A2"/>
    <w:rsid w:val="00BB2619"/>
    <w:rsid w:val="00BB269F"/>
    <w:rsid w:val="00BB2DD0"/>
    <w:rsid w:val="00BB3672"/>
    <w:rsid w:val="00BB3713"/>
    <w:rsid w:val="00BB40E9"/>
    <w:rsid w:val="00BB42FA"/>
    <w:rsid w:val="00BB496E"/>
    <w:rsid w:val="00BB5457"/>
    <w:rsid w:val="00BB5ACD"/>
    <w:rsid w:val="00BB5B49"/>
    <w:rsid w:val="00BB61CA"/>
    <w:rsid w:val="00BB699F"/>
    <w:rsid w:val="00BB6E1C"/>
    <w:rsid w:val="00BB733F"/>
    <w:rsid w:val="00BB74E3"/>
    <w:rsid w:val="00BB7605"/>
    <w:rsid w:val="00BC0646"/>
    <w:rsid w:val="00BC0699"/>
    <w:rsid w:val="00BC084E"/>
    <w:rsid w:val="00BC120D"/>
    <w:rsid w:val="00BC1A4D"/>
    <w:rsid w:val="00BC1A9B"/>
    <w:rsid w:val="00BC1CDC"/>
    <w:rsid w:val="00BC1E41"/>
    <w:rsid w:val="00BC21A8"/>
    <w:rsid w:val="00BC26A2"/>
    <w:rsid w:val="00BC272C"/>
    <w:rsid w:val="00BC2ECC"/>
    <w:rsid w:val="00BC3017"/>
    <w:rsid w:val="00BC3305"/>
    <w:rsid w:val="00BC33D7"/>
    <w:rsid w:val="00BC3530"/>
    <w:rsid w:val="00BC490A"/>
    <w:rsid w:val="00BC4913"/>
    <w:rsid w:val="00BC497B"/>
    <w:rsid w:val="00BC4E1A"/>
    <w:rsid w:val="00BC50E7"/>
    <w:rsid w:val="00BC5637"/>
    <w:rsid w:val="00BC5C44"/>
    <w:rsid w:val="00BC60D9"/>
    <w:rsid w:val="00BC6347"/>
    <w:rsid w:val="00BC638D"/>
    <w:rsid w:val="00BC671F"/>
    <w:rsid w:val="00BC6F7A"/>
    <w:rsid w:val="00BC7307"/>
    <w:rsid w:val="00BC73F9"/>
    <w:rsid w:val="00BC7F31"/>
    <w:rsid w:val="00BD0447"/>
    <w:rsid w:val="00BD1364"/>
    <w:rsid w:val="00BD16A0"/>
    <w:rsid w:val="00BD16D4"/>
    <w:rsid w:val="00BD180E"/>
    <w:rsid w:val="00BD1D97"/>
    <w:rsid w:val="00BD230F"/>
    <w:rsid w:val="00BD2336"/>
    <w:rsid w:val="00BD2618"/>
    <w:rsid w:val="00BD2E78"/>
    <w:rsid w:val="00BD32BF"/>
    <w:rsid w:val="00BD4321"/>
    <w:rsid w:val="00BD46FF"/>
    <w:rsid w:val="00BD4805"/>
    <w:rsid w:val="00BD5097"/>
    <w:rsid w:val="00BD52B3"/>
    <w:rsid w:val="00BD5481"/>
    <w:rsid w:val="00BD598E"/>
    <w:rsid w:val="00BD61E7"/>
    <w:rsid w:val="00BD6D3C"/>
    <w:rsid w:val="00BD73B7"/>
    <w:rsid w:val="00BD785A"/>
    <w:rsid w:val="00BD7870"/>
    <w:rsid w:val="00BD7939"/>
    <w:rsid w:val="00BD7E01"/>
    <w:rsid w:val="00BD7E38"/>
    <w:rsid w:val="00BD7E5F"/>
    <w:rsid w:val="00BE0BFE"/>
    <w:rsid w:val="00BE0E8F"/>
    <w:rsid w:val="00BE15C1"/>
    <w:rsid w:val="00BE3192"/>
    <w:rsid w:val="00BE35AE"/>
    <w:rsid w:val="00BE36C6"/>
    <w:rsid w:val="00BE3D40"/>
    <w:rsid w:val="00BE49CC"/>
    <w:rsid w:val="00BE4A38"/>
    <w:rsid w:val="00BE55A5"/>
    <w:rsid w:val="00BE5A01"/>
    <w:rsid w:val="00BE5BAB"/>
    <w:rsid w:val="00BE5F8F"/>
    <w:rsid w:val="00BE63B5"/>
    <w:rsid w:val="00BE6B6B"/>
    <w:rsid w:val="00BF0393"/>
    <w:rsid w:val="00BF03DA"/>
    <w:rsid w:val="00BF0E08"/>
    <w:rsid w:val="00BF1C65"/>
    <w:rsid w:val="00BF2238"/>
    <w:rsid w:val="00BF2254"/>
    <w:rsid w:val="00BF2570"/>
    <w:rsid w:val="00BF2BA4"/>
    <w:rsid w:val="00BF2D36"/>
    <w:rsid w:val="00BF365E"/>
    <w:rsid w:val="00BF3713"/>
    <w:rsid w:val="00BF3B46"/>
    <w:rsid w:val="00BF4363"/>
    <w:rsid w:val="00BF4723"/>
    <w:rsid w:val="00BF4877"/>
    <w:rsid w:val="00BF4964"/>
    <w:rsid w:val="00BF49ED"/>
    <w:rsid w:val="00BF4FB7"/>
    <w:rsid w:val="00BF4FC1"/>
    <w:rsid w:val="00BF501C"/>
    <w:rsid w:val="00BF50D7"/>
    <w:rsid w:val="00BF5159"/>
    <w:rsid w:val="00BF5471"/>
    <w:rsid w:val="00BF5B59"/>
    <w:rsid w:val="00BF5CA8"/>
    <w:rsid w:val="00BF70D7"/>
    <w:rsid w:val="00BF71C1"/>
    <w:rsid w:val="00BF73A1"/>
    <w:rsid w:val="00BF74EE"/>
    <w:rsid w:val="00C00490"/>
    <w:rsid w:val="00C0056F"/>
    <w:rsid w:val="00C0066A"/>
    <w:rsid w:val="00C0081A"/>
    <w:rsid w:val="00C00D23"/>
    <w:rsid w:val="00C00E7F"/>
    <w:rsid w:val="00C00E84"/>
    <w:rsid w:val="00C0134C"/>
    <w:rsid w:val="00C01512"/>
    <w:rsid w:val="00C01A41"/>
    <w:rsid w:val="00C01BD9"/>
    <w:rsid w:val="00C02A6E"/>
    <w:rsid w:val="00C02F7B"/>
    <w:rsid w:val="00C03284"/>
    <w:rsid w:val="00C03405"/>
    <w:rsid w:val="00C0381F"/>
    <w:rsid w:val="00C04DD8"/>
    <w:rsid w:val="00C055E5"/>
    <w:rsid w:val="00C0576B"/>
    <w:rsid w:val="00C05920"/>
    <w:rsid w:val="00C05A97"/>
    <w:rsid w:val="00C05BA1"/>
    <w:rsid w:val="00C07342"/>
    <w:rsid w:val="00C073FE"/>
    <w:rsid w:val="00C07DF7"/>
    <w:rsid w:val="00C10510"/>
    <w:rsid w:val="00C105CF"/>
    <w:rsid w:val="00C107BF"/>
    <w:rsid w:val="00C11C85"/>
    <w:rsid w:val="00C12A1F"/>
    <w:rsid w:val="00C12E90"/>
    <w:rsid w:val="00C1305B"/>
    <w:rsid w:val="00C13306"/>
    <w:rsid w:val="00C133CC"/>
    <w:rsid w:val="00C13EC0"/>
    <w:rsid w:val="00C1463B"/>
    <w:rsid w:val="00C14D89"/>
    <w:rsid w:val="00C14EF9"/>
    <w:rsid w:val="00C1543B"/>
    <w:rsid w:val="00C1573B"/>
    <w:rsid w:val="00C16296"/>
    <w:rsid w:val="00C16BFF"/>
    <w:rsid w:val="00C170F3"/>
    <w:rsid w:val="00C173FB"/>
    <w:rsid w:val="00C175EA"/>
    <w:rsid w:val="00C17764"/>
    <w:rsid w:val="00C20692"/>
    <w:rsid w:val="00C21157"/>
    <w:rsid w:val="00C219DA"/>
    <w:rsid w:val="00C224BD"/>
    <w:rsid w:val="00C22DDF"/>
    <w:rsid w:val="00C22E27"/>
    <w:rsid w:val="00C23091"/>
    <w:rsid w:val="00C2355D"/>
    <w:rsid w:val="00C23736"/>
    <w:rsid w:val="00C2389C"/>
    <w:rsid w:val="00C23A35"/>
    <w:rsid w:val="00C23F4C"/>
    <w:rsid w:val="00C24281"/>
    <w:rsid w:val="00C247D9"/>
    <w:rsid w:val="00C2522D"/>
    <w:rsid w:val="00C258B0"/>
    <w:rsid w:val="00C2653A"/>
    <w:rsid w:val="00C2687B"/>
    <w:rsid w:val="00C2691C"/>
    <w:rsid w:val="00C26F50"/>
    <w:rsid w:val="00C272A7"/>
    <w:rsid w:val="00C27403"/>
    <w:rsid w:val="00C27693"/>
    <w:rsid w:val="00C2771C"/>
    <w:rsid w:val="00C2783F"/>
    <w:rsid w:val="00C27B0A"/>
    <w:rsid w:val="00C300F1"/>
    <w:rsid w:val="00C303A0"/>
    <w:rsid w:val="00C3069D"/>
    <w:rsid w:val="00C306DE"/>
    <w:rsid w:val="00C312D3"/>
    <w:rsid w:val="00C31605"/>
    <w:rsid w:val="00C3170D"/>
    <w:rsid w:val="00C318D3"/>
    <w:rsid w:val="00C318ED"/>
    <w:rsid w:val="00C31EFF"/>
    <w:rsid w:val="00C325A7"/>
    <w:rsid w:val="00C32855"/>
    <w:rsid w:val="00C32A23"/>
    <w:rsid w:val="00C32D04"/>
    <w:rsid w:val="00C334AB"/>
    <w:rsid w:val="00C33DB3"/>
    <w:rsid w:val="00C34C7D"/>
    <w:rsid w:val="00C34DBB"/>
    <w:rsid w:val="00C34FC7"/>
    <w:rsid w:val="00C3569E"/>
    <w:rsid w:val="00C35E95"/>
    <w:rsid w:val="00C3656B"/>
    <w:rsid w:val="00C3686B"/>
    <w:rsid w:val="00C36925"/>
    <w:rsid w:val="00C36C60"/>
    <w:rsid w:val="00C37305"/>
    <w:rsid w:val="00C37961"/>
    <w:rsid w:val="00C37C90"/>
    <w:rsid w:val="00C37D8D"/>
    <w:rsid w:val="00C4012E"/>
    <w:rsid w:val="00C402F3"/>
    <w:rsid w:val="00C406F7"/>
    <w:rsid w:val="00C406FD"/>
    <w:rsid w:val="00C40D25"/>
    <w:rsid w:val="00C40DF6"/>
    <w:rsid w:val="00C410DC"/>
    <w:rsid w:val="00C41198"/>
    <w:rsid w:val="00C41334"/>
    <w:rsid w:val="00C416ED"/>
    <w:rsid w:val="00C41F80"/>
    <w:rsid w:val="00C42311"/>
    <w:rsid w:val="00C42549"/>
    <w:rsid w:val="00C42C20"/>
    <w:rsid w:val="00C42D73"/>
    <w:rsid w:val="00C437A9"/>
    <w:rsid w:val="00C43A74"/>
    <w:rsid w:val="00C43AA1"/>
    <w:rsid w:val="00C43B75"/>
    <w:rsid w:val="00C44134"/>
    <w:rsid w:val="00C451B3"/>
    <w:rsid w:val="00C45E90"/>
    <w:rsid w:val="00C462FD"/>
    <w:rsid w:val="00C465EA"/>
    <w:rsid w:val="00C46DB2"/>
    <w:rsid w:val="00C470FD"/>
    <w:rsid w:val="00C47D3A"/>
    <w:rsid w:val="00C50147"/>
    <w:rsid w:val="00C50C7B"/>
    <w:rsid w:val="00C50E84"/>
    <w:rsid w:val="00C50FCA"/>
    <w:rsid w:val="00C515C5"/>
    <w:rsid w:val="00C51B61"/>
    <w:rsid w:val="00C51C99"/>
    <w:rsid w:val="00C52943"/>
    <w:rsid w:val="00C52BE9"/>
    <w:rsid w:val="00C52F2C"/>
    <w:rsid w:val="00C52F4E"/>
    <w:rsid w:val="00C532F4"/>
    <w:rsid w:val="00C53C65"/>
    <w:rsid w:val="00C53D11"/>
    <w:rsid w:val="00C53D5C"/>
    <w:rsid w:val="00C53E09"/>
    <w:rsid w:val="00C5442F"/>
    <w:rsid w:val="00C54475"/>
    <w:rsid w:val="00C54A69"/>
    <w:rsid w:val="00C54AA4"/>
    <w:rsid w:val="00C54D09"/>
    <w:rsid w:val="00C54D90"/>
    <w:rsid w:val="00C54DBC"/>
    <w:rsid w:val="00C55FC1"/>
    <w:rsid w:val="00C562B8"/>
    <w:rsid w:val="00C565A5"/>
    <w:rsid w:val="00C56702"/>
    <w:rsid w:val="00C569A4"/>
    <w:rsid w:val="00C56D81"/>
    <w:rsid w:val="00C57237"/>
    <w:rsid w:val="00C572F7"/>
    <w:rsid w:val="00C57700"/>
    <w:rsid w:val="00C57709"/>
    <w:rsid w:val="00C57FAD"/>
    <w:rsid w:val="00C60069"/>
    <w:rsid w:val="00C6090F"/>
    <w:rsid w:val="00C60C39"/>
    <w:rsid w:val="00C60D08"/>
    <w:rsid w:val="00C6116F"/>
    <w:rsid w:val="00C61249"/>
    <w:rsid w:val="00C62874"/>
    <w:rsid w:val="00C63321"/>
    <w:rsid w:val="00C63D00"/>
    <w:rsid w:val="00C64116"/>
    <w:rsid w:val="00C64785"/>
    <w:rsid w:val="00C64B1C"/>
    <w:rsid w:val="00C65008"/>
    <w:rsid w:val="00C6623E"/>
    <w:rsid w:val="00C66500"/>
    <w:rsid w:val="00C665B2"/>
    <w:rsid w:val="00C66BA1"/>
    <w:rsid w:val="00C706A3"/>
    <w:rsid w:val="00C706B7"/>
    <w:rsid w:val="00C709A6"/>
    <w:rsid w:val="00C709D3"/>
    <w:rsid w:val="00C70D11"/>
    <w:rsid w:val="00C7108F"/>
    <w:rsid w:val="00C7136A"/>
    <w:rsid w:val="00C718AE"/>
    <w:rsid w:val="00C71AA2"/>
    <w:rsid w:val="00C72189"/>
    <w:rsid w:val="00C72988"/>
    <w:rsid w:val="00C72A04"/>
    <w:rsid w:val="00C72C2B"/>
    <w:rsid w:val="00C72ED9"/>
    <w:rsid w:val="00C73619"/>
    <w:rsid w:val="00C7361C"/>
    <w:rsid w:val="00C73A5F"/>
    <w:rsid w:val="00C73BEF"/>
    <w:rsid w:val="00C73F8D"/>
    <w:rsid w:val="00C74054"/>
    <w:rsid w:val="00C740CD"/>
    <w:rsid w:val="00C74140"/>
    <w:rsid w:val="00C742CD"/>
    <w:rsid w:val="00C74CA6"/>
    <w:rsid w:val="00C74E17"/>
    <w:rsid w:val="00C758E1"/>
    <w:rsid w:val="00C75F6A"/>
    <w:rsid w:val="00C76252"/>
    <w:rsid w:val="00C76B13"/>
    <w:rsid w:val="00C76B2B"/>
    <w:rsid w:val="00C76F35"/>
    <w:rsid w:val="00C77311"/>
    <w:rsid w:val="00C7798F"/>
    <w:rsid w:val="00C77A65"/>
    <w:rsid w:val="00C809DC"/>
    <w:rsid w:val="00C80B2A"/>
    <w:rsid w:val="00C81215"/>
    <w:rsid w:val="00C81493"/>
    <w:rsid w:val="00C81A59"/>
    <w:rsid w:val="00C81B6D"/>
    <w:rsid w:val="00C825DF"/>
    <w:rsid w:val="00C82B7D"/>
    <w:rsid w:val="00C83ADE"/>
    <w:rsid w:val="00C83B63"/>
    <w:rsid w:val="00C85613"/>
    <w:rsid w:val="00C857B7"/>
    <w:rsid w:val="00C85F4C"/>
    <w:rsid w:val="00C86352"/>
    <w:rsid w:val="00C8660E"/>
    <w:rsid w:val="00C86758"/>
    <w:rsid w:val="00C868FB"/>
    <w:rsid w:val="00C86DDE"/>
    <w:rsid w:val="00C86ED0"/>
    <w:rsid w:val="00C87581"/>
    <w:rsid w:val="00C87E68"/>
    <w:rsid w:val="00C90083"/>
    <w:rsid w:val="00C90407"/>
    <w:rsid w:val="00C90704"/>
    <w:rsid w:val="00C915DD"/>
    <w:rsid w:val="00C91954"/>
    <w:rsid w:val="00C91A2F"/>
    <w:rsid w:val="00C91F4A"/>
    <w:rsid w:val="00C920E0"/>
    <w:rsid w:val="00C94071"/>
    <w:rsid w:val="00C94277"/>
    <w:rsid w:val="00C94B41"/>
    <w:rsid w:val="00C94DEA"/>
    <w:rsid w:val="00C95247"/>
    <w:rsid w:val="00C957E4"/>
    <w:rsid w:val="00C96381"/>
    <w:rsid w:val="00C963D4"/>
    <w:rsid w:val="00C964D9"/>
    <w:rsid w:val="00C9702C"/>
    <w:rsid w:val="00C97175"/>
    <w:rsid w:val="00C97C17"/>
    <w:rsid w:val="00C97CF9"/>
    <w:rsid w:val="00CA06F6"/>
    <w:rsid w:val="00CA0A70"/>
    <w:rsid w:val="00CA0DC8"/>
    <w:rsid w:val="00CA15B5"/>
    <w:rsid w:val="00CA1DE1"/>
    <w:rsid w:val="00CA2A05"/>
    <w:rsid w:val="00CA3B76"/>
    <w:rsid w:val="00CA40C6"/>
    <w:rsid w:val="00CA497B"/>
    <w:rsid w:val="00CA4A1A"/>
    <w:rsid w:val="00CA4B98"/>
    <w:rsid w:val="00CA5B8F"/>
    <w:rsid w:val="00CA5E13"/>
    <w:rsid w:val="00CA5E40"/>
    <w:rsid w:val="00CA6024"/>
    <w:rsid w:val="00CA6821"/>
    <w:rsid w:val="00CA6AB6"/>
    <w:rsid w:val="00CA71ED"/>
    <w:rsid w:val="00CA72BF"/>
    <w:rsid w:val="00CA7327"/>
    <w:rsid w:val="00CA7336"/>
    <w:rsid w:val="00CA7A41"/>
    <w:rsid w:val="00CA7BF8"/>
    <w:rsid w:val="00CA7C56"/>
    <w:rsid w:val="00CB044A"/>
    <w:rsid w:val="00CB0521"/>
    <w:rsid w:val="00CB0877"/>
    <w:rsid w:val="00CB0925"/>
    <w:rsid w:val="00CB0C60"/>
    <w:rsid w:val="00CB0E20"/>
    <w:rsid w:val="00CB12B4"/>
    <w:rsid w:val="00CB12DA"/>
    <w:rsid w:val="00CB16C1"/>
    <w:rsid w:val="00CB1CB2"/>
    <w:rsid w:val="00CB1F1C"/>
    <w:rsid w:val="00CB22A2"/>
    <w:rsid w:val="00CB232D"/>
    <w:rsid w:val="00CB236B"/>
    <w:rsid w:val="00CB2852"/>
    <w:rsid w:val="00CB29E6"/>
    <w:rsid w:val="00CB3414"/>
    <w:rsid w:val="00CB41CD"/>
    <w:rsid w:val="00CB4635"/>
    <w:rsid w:val="00CB5479"/>
    <w:rsid w:val="00CB54B2"/>
    <w:rsid w:val="00CB5596"/>
    <w:rsid w:val="00CB5EE8"/>
    <w:rsid w:val="00CB6161"/>
    <w:rsid w:val="00CB64A5"/>
    <w:rsid w:val="00CB64B9"/>
    <w:rsid w:val="00CB6B5E"/>
    <w:rsid w:val="00CB70CB"/>
    <w:rsid w:val="00CB7746"/>
    <w:rsid w:val="00CC0297"/>
    <w:rsid w:val="00CC0329"/>
    <w:rsid w:val="00CC06A3"/>
    <w:rsid w:val="00CC230E"/>
    <w:rsid w:val="00CC2E1C"/>
    <w:rsid w:val="00CC2FCA"/>
    <w:rsid w:val="00CC3660"/>
    <w:rsid w:val="00CC3794"/>
    <w:rsid w:val="00CC3E20"/>
    <w:rsid w:val="00CC41A3"/>
    <w:rsid w:val="00CC4476"/>
    <w:rsid w:val="00CC4AC2"/>
    <w:rsid w:val="00CC52EA"/>
    <w:rsid w:val="00CC53A8"/>
    <w:rsid w:val="00CC5565"/>
    <w:rsid w:val="00CC610C"/>
    <w:rsid w:val="00CC67BC"/>
    <w:rsid w:val="00CC696F"/>
    <w:rsid w:val="00CC6A18"/>
    <w:rsid w:val="00CC6CE6"/>
    <w:rsid w:val="00CC739E"/>
    <w:rsid w:val="00CC7679"/>
    <w:rsid w:val="00CC78C0"/>
    <w:rsid w:val="00CC7A21"/>
    <w:rsid w:val="00CD02D6"/>
    <w:rsid w:val="00CD0466"/>
    <w:rsid w:val="00CD08C8"/>
    <w:rsid w:val="00CD131C"/>
    <w:rsid w:val="00CD1B57"/>
    <w:rsid w:val="00CD1FD9"/>
    <w:rsid w:val="00CD27C6"/>
    <w:rsid w:val="00CD2825"/>
    <w:rsid w:val="00CD2BE1"/>
    <w:rsid w:val="00CD2E04"/>
    <w:rsid w:val="00CD2E15"/>
    <w:rsid w:val="00CD32E8"/>
    <w:rsid w:val="00CD3859"/>
    <w:rsid w:val="00CD39CB"/>
    <w:rsid w:val="00CD3A1F"/>
    <w:rsid w:val="00CD4439"/>
    <w:rsid w:val="00CD447F"/>
    <w:rsid w:val="00CD46C9"/>
    <w:rsid w:val="00CD4ADD"/>
    <w:rsid w:val="00CD50B4"/>
    <w:rsid w:val="00CD5228"/>
    <w:rsid w:val="00CD54EB"/>
    <w:rsid w:val="00CD5797"/>
    <w:rsid w:val="00CD654C"/>
    <w:rsid w:val="00CD6BD4"/>
    <w:rsid w:val="00CD746E"/>
    <w:rsid w:val="00CD77C8"/>
    <w:rsid w:val="00CD7A5D"/>
    <w:rsid w:val="00CD7C9D"/>
    <w:rsid w:val="00CE077A"/>
    <w:rsid w:val="00CE0B7A"/>
    <w:rsid w:val="00CE0C5E"/>
    <w:rsid w:val="00CE17DC"/>
    <w:rsid w:val="00CE19BC"/>
    <w:rsid w:val="00CE21FB"/>
    <w:rsid w:val="00CE2260"/>
    <w:rsid w:val="00CE237D"/>
    <w:rsid w:val="00CE249D"/>
    <w:rsid w:val="00CE3717"/>
    <w:rsid w:val="00CE39A0"/>
    <w:rsid w:val="00CE39EB"/>
    <w:rsid w:val="00CE3CDD"/>
    <w:rsid w:val="00CE3EA6"/>
    <w:rsid w:val="00CE46BC"/>
    <w:rsid w:val="00CE4AC2"/>
    <w:rsid w:val="00CE4F7B"/>
    <w:rsid w:val="00CE525F"/>
    <w:rsid w:val="00CE566F"/>
    <w:rsid w:val="00CE5950"/>
    <w:rsid w:val="00CE5ABF"/>
    <w:rsid w:val="00CE6681"/>
    <w:rsid w:val="00CE6CD0"/>
    <w:rsid w:val="00CE70B6"/>
    <w:rsid w:val="00CF067A"/>
    <w:rsid w:val="00CF0A37"/>
    <w:rsid w:val="00CF0C44"/>
    <w:rsid w:val="00CF0E35"/>
    <w:rsid w:val="00CF10B6"/>
    <w:rsid w:val="00CF1453"/>
    <w:rsid w:val="00CF184A"/>
    <w:rsid w:val="00CF1ACF"/>
    <w:rsid w:val="00CF20B8"/>
    <w:rsid w:val="00CF2C03"/>
    <w:rsid w:val="00CF33B6"/>
    <w:rsid w:val="00CF33B9"/>
    <w:rsid w:val="00CF36F1"/>
    <w:rsid w:val="00CF378C"/>
    <w:rsid w:val="00CF383D"/>
    <w:rsid w:val="00CF38FE"/>
    <w:rsid w:val="00CF3A3D"/>
    <w:rsid w:val="00CF3BFE"/>
    <w:rsid w:val="00CF3D18"/>
    <w:rsid w:val="00CF3EAE"/>
    <w:rsid w:val="00CF3F00"/>
    <w:rsid w:val="00CF40E4"/>
    <w:rsid w:val="00CF4100"/>
    <w:rsid w:val="00CF4B00"/>
    <w:rsid w:val="00CF4D97"/>
    <w:rsid w:val="00CF5ABD"/>
    <w:rsid w:val="00CF6192"/>
    <w:rsid w:val="00CF6DA5"/>
    <w:rsid w:val="00CF7158"/>
    <w:rsid w:val="00CF7520"/>
    <w:rsid w:val="00CF79ED"/>
    <w:rsid w:val="00CF7E0B"/>
    <w:rsid w:val="00CF7E36"/>
    <w:rsid w:val="00CF7E88"/>
    <w:rsid w:val="00D00058"/>
    <w:rsid w:val="00D00315"/>
    <w:rsid w:val="00D005B0"/>
    <w:rsid w:val="00D00704"/>
    <w:rsid w:val="00D0072E"/>
    <w:rsid w:val="00D00833"/>
    <w:rsid w:val="00D00965"/>
    <w:rsid w:val="00D01314"/>
    <w:rsid w:val="00D0138D"/>
    <w:rsid w:val="00D015E6"/>
    <w:rsid w:val="00D016B0"/>
    <w:rsid w:val="00D01C90"/>
    <w:rsid w:val="00D021BA"/>
    <w:rsid w:val="00D021F8"/>
    <w:rsid w:val="00D02DBB"/>
    <w:rsid w:val="00D0306E"/>
    <w:rsid w:val="00D03794"/>
    <w:rsid w:val="00D0386E"/>
    <w:rsid w:val="00D03C5C"/>
    <w:rsid w:val="00D04004"/>
    <w:rsid w:val="00D04014"/>
    <w:rsid w:val="00D04592"/>
    <w:rsid w:val="00D051A4"/>
    <w:rsid w:val="00D051EB"/>
    <w:rsid w:val="00D0587F"/>
    <w:rsid w:val="00D0638B"/>
    <w:rsid w:val="00D06C61"/>
    <w:rsid w:val="00D06E43"/>
    <w:rsid w:val="00D07049"/>
    <w:rsid w:val="00D07C55"/>
    <w:rsid w:val="00D07E15"/>
    <w:rsid w:val="00D10A43"/>
    <w:rsid w:val="00D11C9C"/>
    <w:rsid w:val="00D11E52"/>
    <w:rsid w:val="00D12213"/>
    <w:rsid w:val="00D12264"/>
    <w:rsid w:val="00D12709"/>
    <w:rsid w:val="00D12784"/>
    <w:rsid w:val="00D128D1"/>
    <w:rsid w:val="00D12DBA"/>
    <w:rsid w:val="00D12F5E"/>
    <w:rsid w:val="00D134B5"/>
    <w:rsid w:val="00D13856"/>
    <w:rsid w:val="00D1404C"/>
    <w:rsid w:val="00D1460A"/>
    <w:rsid w:val="00D1469C"/>
    <w:rsid w:val="00D14DA7"/>
    <w:rsid w:val="00D14E13"/>
    <w:rsid w:val="00D153B6"/>
    <w:rsid w:val="00D15405"/>
    <w:rsid w:val="00D1658B"/>
    <w:rsid w:val="00D16D6D"/>
    <w:rsid w:val="00D16F8D"/>
    <w:rsid w:val="00D1789F"/>
    <w:rsid w:val="00D17969"/>
    <w:rsid w:val="00D179BC"/>
    <w:rsid w:val="00D17BA5"/>
    <w:rsid w:val="00D207E5"/>
    <w:rsid w:val="00D208FA"/>
    <w:rsid w:val="00D2094A"/>
    <w:rsid w:val="00D20B70"/>
    <w:rsid w:val="00D20EE2"/>
    <w:rsid w:val="00D211B7"/>
    <w:rsid w:val="00D2127C"/>
    <w:rsid w:val="00D2159E"/>
    <w:rsid w:val="00D2164C"/>
    <w:rsid w:val="00D216CD"/>
    <w:rsid w:val="00D22110"/>
    <w:rsid w:val="00D22B68"/>
    <w:rsid w:val="00D22DAD"/>
    <w:rsid w:val="00D2418D"/>
    <w:rsid w:val="00D248AD"/>
    <w:rsid w:val="00D24F49"/>
    <w:rsid w:val="00D25937"/>
    <w:rsid w:val="00D25FDB"/>
    <w:rsid w:val="00D26040"/>
    <w:rsid w:val="00D261C9"/>
    <w:rsid w:val="00D262BF"/>
    <w:rsid w:val="00D26FB4"/>
    <w:rsid w:val="00D27062"/>
    <w:rsid w:val="00D276D7"/>
    <w:rsid w:val="00D27A26"/>
    <w:rsid w:val="00D27EF5"/>
    <w:rsid w:val="00D30491"/>
    <w:rsid w:val="00D30576"/>
    <w:rsid w:val="00D31005"/>
    <w:rsid w:val="00D3277B"/>
    <w:rsid w:val="00D32BE4"/>
    <w:rsid w:val="00D32FF5"/>
    <w:rsid w:val="00D33712"/>
    <w:rsid w:val="00D33CE6"/>
    <w:rsid w:val="00D34172"/>
    <w:rsid w:val="00D342FB"/>
    <w:rsid w:val="00D3482D"/>
    <w:rsid w:val="00D348E7"/>
    <w:rsid w:val="00D34BA4"/>
    <w:rsid w:val="00D3523A"/>
    <w:rsid w:val="00D352B4"/>
    <w:rsid w:val="00D35337"/>
    <w:rsid w:val="00D36001"/>
    <w:rsid w:val="00D362A6"/>
    <w:rsid w:val="00D36421"/>
    <w:rsid w:val="00D364C0"/>
    <w:rsid w:val="00D364CB"/>
    <w:rsid w:val="00D36555"/>
    <w:rsid w:val="00D36B90"/>
    <w:rsid w:val="00D36C62"/>
    <w:rsid w:val="00D372FF"/>
    <w:rsid w:val="00D37850"/>
    <w:rsid w:val="00D379F0"/>
    <w:rsid w:val="00D37B0C"/>
    <w:rsid w:val="00D40267"/>
    <w:rsid w:val="00D4092E"/>
    <w:rsid w:val="00D40C9A"/>
    <w:rsid w:val="00D40E23"/>
    <w:rsid w:val="00D413B9"/>
    <w:rsid w:val="00D41CB0"/>
    <w:rsid w:val="00D41D25"/>
    <w:rsid w:val="00D447DB"/>
    <w:rsid w:val="00D44A62"/>
    <w:rsid w:val="00D45C3B"/>
    <w:rsid w:val="00D45E87"/>
    <w:rsid w:val="00D4629E"/>
    <w:rsid w:val="00D462CE"/>
    <w:rsid w:val="00D468B5"/>
    <w:rsid w:val="00D46BD2"/>
    <w:rsid w:val="00D46C15"/>
    <w:rsid w:val="00D46C3C"/>
    <w:rsid w:val="00D471CB"/>
    <w:rsid w:val="00D4723F"/>
    <w:rsid w:val="00D4758E"/>
    <w:rsid w:val="00D4792E"/>
    <w:rsid w:val="00D47AC8"/>
    <w:rsid w:val="00D47D09"/>
    <w:rsid w:val="00D47DAF"/>
    <w:rsid w:val="00D47E03"/>
    <w:rsid w:val="00D502BF"/>
    <w:rsid w:val="00D50AF9"/>
    <w:rsid w:val="00D51188"/>
    <w:rsid w:val="00D512A3"/>
    <w:rsid w:val="00D515B7"/>
    <w:rsid w:val="00D51A3E"/>
    <w:rsid w:val="00D51C98"/>
    <w:rsid w:val="00D5226B"/>
    <w:rsid w:val="00D52475"/>
    <w:rsid w:val="00D524A5"/>
    <w:rsid w:val="00D526BD"/>
    <w:rsid w:val="00D5287D"/>
    <w:rsid w:val="00D53460"/>
    <w:rsid w:val="00D53874"/>
    <w:rsid w:val="00D5395B"/>
    <w:rsid w:val="00D5424E"/>
    <w:rsid w:val="00D54660"/>
    <w:rsid w:val="00D54CD7"/>
    <w:rsid w:val="00D54D9A"/>
    <w:rsid w:val="00D54F4F"/>
    <w:rsid w:val="00D553CA"/>
    <w:rsid w:val="00D554E9"/>
    <w:rsid w:val="00D5578E"/>
    <w:rsid w:val="00D55E9A"/>
    <w:rsid w:val="00D56529"/>
    <w:rsid w:val="00D56651"/>
    <w:rsid w:val="00D5689C"/>
    <w:rsid w:val="00D56929"/>
    <w:rsid w:val="00D56BD5"/>
    <w:rsid w:val="00D56CA0"/>
    <w:rsid w:val="00D5791E"/>
    <w:rsid w:val="00D57B8C"/>
    <w:rsid w:val="00D57EDA"/>
    <w:rsid w:val="00D600A5"/>
    <w:rsid w:val="00D60134"/>
    <w:rsid w:val="00D6030F"/>
    <w:rsid w:val="00D60382"/>
    <w:rsid w:val="00D604D5"/>
    <w:rsid w:val="00D6082E"/>
    <w:rsid w:val="00D60835"/>
    <w:rsid w:val="00D60DDA"/>
    <w:rsid w:val="00D6103D"/>
    <w:rsid w:val="00D61076"/>
    <w:rsid w:val="00D613DD"/>
    <w:rsid w:val="00D61B84"/>
    <w:rsid w:val="00D61E5A"/>
    <w:rsid w:val="00D625AA"/>
    <w:rsid w:val="00D62B20"/>
    <w:rsid w:val="00D63090"/>
    <w:rsid w:val="00D631B9"/>
    <w:rsid w:val="00D636D3"/>
    <w:rsid w:val="00D63837"/>
    <w:rsid w:val="00D6388F"/>
    <w:rsid w:val="00D63A63"/>
    <w:rsid w:val="00D6404D"/>
    <w:rsid w:val="00D64176"/>
    <w:rsid w:val="00D64264"/>
    <w:rsid w:val="00D64386"/>
    <w:rsid w:val="00D644E1"/>
    <w:rsid w:val="00D64932"/>
    <w:rsid w:val="00D64A77"/>
    <w:rsid w:val="00D64E87"/>
    <w:rsid w:val="00D65F62"/>
    <w:rsid w:val="00D65FC5"/>
    <w:rsid w:val="00D6794A"/>
    <w:rsid w:val="00D67ABA"/>
    <w:rsid w:val="00D67C5F"/>
    <w:rsid w:val="00D67EE5"/>
    <w:rsid w:val="00D67FB3"/>
    <w:rsid w:val="00D7023C"/>
    <w:rsid w:val="00D70441"/>
    <w:rsid w:val="00D71166"/>
    <w:rsid w:val="00D7174A"/>
    <w:rsid w:val="00D71874"/>
    <w:rsid w:val="00D71F4B"/>
    <w:rsid w:val="00D72267"/>
    <w:rsid w:val="00D72517"/>
    <w:rsid w:val="00D7333C"/>
    <w:rsid w:val="00D7339F"/>
    <w:rsid w:val="00D73912"/>
    <w:rsid w:val="00D73ABA"/>
    <w:rsid w:val="00D73D94"/>
    <w:rsid w:val="00D748EA"/>
    <w:rsid w:val="00D74EBD"/>
    <w:rsid w:val="00D751F9"/>
    <w:rsid w:val="00D7551A"/>
    <w:rsid w:val="00D75778"/>
    <w:rsid w:val="00D75A65"/>
    <w:rsid w:val="00D764E1"/>
    <w:rsid w:val="00D76AE6"/>
    <w:rsid w:val="00D771D3"/>
    <w:rsid w:val="00D776DB"/>
    <w:rsid w:val="00D77B08"/>
    <w:rsid w:val="00D77E51"/>
    <w:rsid w:val="00D801E9"/>
    <w:rsid w:val="00D80472"/>
    <w:rsid w:val="00D80F4F"/>
    <w:rsid w:val="00D8102D"/>
    <w:rsid w:val="00D811C2"/>
    <w:rsid w:val="00D812E3"/>
    <w:rsid w:val="00D81AF6"/>
    <w:rsid w:val="00D81CD6"/>
    <w:rsid w:val="00D81EC4"/>
    <w:rsid w:val="00D81FFE"/>
    <w:rsid w:val="00D820AB"/>
    <w:rsid w:val="00D82998"/>
    <w:rsid w:val="00D82F8D"/>
    <w:rsid w:val="00D83016"/>
    <w:rsid w:val="00D839C0"/>
    <w:rsid w:val="00D83E9C"/>
    <w:rsid w:val="00D8415B"/>
    <w:rsid w:val="00D846E6"/>
    <w:rsid w:val="00D84711"/>
    <w:rsid w:val="00D852B7"/>
    <w:rsid w:val="00D8557C"/>
    <w:rsid w:val="00D85A3E"/>
    <w:rsid w:val="00D85C15"/>
    <w:rsid w:val="00D86200"/>
    <w:rsid w:val="00D86607"/>
    <w:rsid w:val="00D8664B"/>
    <w:rsid w:val="00D86691"/>
    <w:rsid w:val="00D876EC"/>
    <w:rsid w:val="00D878FD"/>
    <w:rsid w:val="00D87E64"/>
    <w:rsid w:val="00D900CF"/>
    <w:rsid w:val="00D9080A"/>
    <w:rsid w:val="00D90934"/>
    <w:rsid w:val="00D90AB6"/>
    <w:rsid w:val="00D91655"/>
    <w:rsid w:val="00D91C61"/>
    <w:rsid w:val="00D91D27"/>
    <w:rsid w:val="00D921B0"/>
    <w:rsid w:val="00D9245F"/>
    <w:rsid w:val="00D92D1D"/>
    <w:rsid w:val="00D92F64"/>
    <w:rsid w:val="00D93288"/>
    <w:rsid w:val="00D93569"/>
    <w:rsid w:val="00D9361F"/>
    <w:rsid w:val="00D93BFB"/>
    <w:rsid w:val="00D93C41"/>
    <w:rsid w:val="00D94090"/>
    <w:rsid w:val="00D94364"/>
    <w:rsid w:val="00D947F0"/>
    <w:rsid w:val="00D94DC4"/>
    <w:rsid w:val="00D95917"/>
    <w:rsid w:val="00D960F5"/>
    <w:rsid w:val="00D96A1E"/>
    <w:rsid w:val="00D96EC4"/>
    <w:rsid w:val="00D97040"/>
    <w:rsid w:val="00D97485"/>
    <w:rsid w:val="00D9799D"/>
    <w:rsid w:val="00D97AE2"/>
    <w:rsid w:val="00D97C2B"/>
    <w:rsid w:val="00DA0995"/>
    <w:rsid w:val="00DA0A0F"/>
    <w:rsid w:val="00DA10B7"/>
    <w:rsid w:val="00DA17DC"/>
    <w:rsid w:val="00DA1C4F"/>
    <w:rsid w:val="00DA21DF"/>
    <w:rsid w:val="00DA24C3"/>
    <w:rsid w:val="00DA28CD"/>
    <w:rsid w:val="00DA3399"/>
    <w:rsid w:val="00DA344C"/>
    <w:rsid w:val="00DA34BA"/>
    <w:rsid w:val="00DA393F"/>
    <w:rsid w:val="00DA3A50"/>
    <w:rsid w:val="00DA3D19"/>
    <w:rsid w:val="00DA3D3D"/>
    <w:rsid w:val="00DA3F3D"/>
    <w:rsid w:val="00DA4248"/>
    <w:rsid w:val="00DA4550"/>
    <w:rsid w:val="00DA5188"/>
    <w:rsid w:val="00DA5274"/>
    <w:rsid w:val="00DA5405"/>
    <w:rsid w:val="00DA56FE"/>
    <w:rsid w:val="00DA5DB5"/>
    <w:rsid w:val="00DA60B7"/>
    <w:rsid w:val="00DA639A"/>
    <w:rsid w:val="00DA7015"/>
    <w:rsid w:val="00DA72D3"/>
    <w:rsid w:val="00DA7B26"/>
    <w:rsid w:val="00DB0444"/>
    <w:rsid w:val="00DB0467"/>
    <w:rsid w:val="00DB05C5"/>
    <w:rsid w:val="00DB13C1"/>
    <w:rsid w:val="00DB22BB"/>
    <w:rsid w:val="00DB2918"/>
    <w:rsid w:val="00DB4094"/>
    <w:rsid w:val="00DB425B"/>
    <w:rsid w:val="00DB4303"/>
    <w:rsid w:val="00DB4620"/>
    <w:rsid w:val="00DB4740"/>
    <w:rsid w:val="00DB4998"/>
    <w:rsid w:val="00DB4A38"/>
    <w:rsid w:val="00DB4BA8"/>
    <w:rsid w:val="00DB4C3D"/>
    <w:rsid w:val="00DB667C"/>
    <w:rsid w:val="00DB6877"/>
    <w:rsid w:val="00DB6FDF"/>
    <w:rsid w:val="00DB71B2"/>
    <w:rsid w:val="00DB7BA2"/>
    <w:rsid w:val="00DC072C"/>
    <w:rsid w:val="00DC0E3C"/>
    <w:rsid w:val="00DC1059"/>
    <w:rsid w:val="00DC1646"/>
    <w:rsid w:val="00DC1FB6"/>
    <w:rsid w:val="00DC283E"/>
    <w:rsid w:val="00DC30E5"/>
    <w:rsid w:val="00DC3244"/>
    <w:rsid w:val="00DC35EB"/>
    <w:rsid w:val="00DC3A3E"/>
    <w:rsid w:val="00DC3BE3"/>
    <w:rsid w:val="00DC3EF1"/>
    <w:rsid w:val="00DC46C4"/>
    <w:rsid w:val="00DC46FF"/>
    <w:rsid w:val="00DC4A47"/>
    <w:rsid w:val="00DC4A80"/>
    <w:rsid w:val="00DC5B30"/>
    <w:rsid w:val="00DC5DE0"/>
    <w:rsid w:val="00DC6201"/>
    <w:rsid w:val="00DC6A56"/>
    <w:rsid w:val="00DC7E7C"/>
    <w:rsid w:val="00DD024D"/>
    <w:rsid w:val="00DD02E1"/>
    <w:rsid w:val="00DD0428"/>
    <w:rsid w:val="00DD0C20"/>
    <w:rsid w:val="00DD11C7"/>
    <w:rsid w:val="00DD11D2"/>
    <w:rsid w:val="00DD1446"/>
    <w:rsid w:val="00DD1778"/>
    <w:rsid w:val="00DD1A02"/>
    <w:rsid w:val="00DD2927"/>
    <w:rsid w:val="00DD2AE5"/>
    <w:rsid w:val="00DD2F4F"/>
    <w:rsid w:val="00DD3060"/>
    <w:rsid w:val="00DD3088"/>
    <w:rsid w:val="00DD3162"/>
    <w:rsid w:val="00DD3881"/>
    <w:rsid w:val="00DD3B0C"/>
    <w:rsid w:val="00DD4D82"/>
    <w:rsid w:val="00DD4DDA"/>
    <w:rsid w:val="00DD5638"/>
    <w:rsid w:val="00DD569D"/>
    <w:rsid w:val="00DD6650"/>
    <w:rsid w:val="00DD6739"/>
    <w:rsid w:val="00DD6CF8"/>
    <w:rsid w:val="00DD7643"/>
    <w:rsid w:val="00DD77DA"/>
    <w:rsid w:val="00DE06AA"/>
    <w:rsid w:val="00DE0861"/>
    <w:rsid w:val="00DE0D01"/>
    <w:rsid w:val="00DE1410"/>
    <w:rsid w:val="00DE163B"/>
    <w:rsid w:val="00DE1858"/>
    <w:rsid w:val="00DE1ABE"/>
    <w:rsid w:val="00DE2764"/>
    <w:rsid w:val="00DE2931"/>
    <w:rsid w:val="00DE2E63"/>
    <w:rsid w:val="00DE3312"/>
    <w:rsid w:val="00DE411F"/>
    <w:rsid w:val="00DE4B35"/>
    <w:rsid w:val="00DE4C84"/>
    <w:rsid w:val="00DE50CE"/>
    <w:rsid w:val="00DE5720"/>
    <w:rsid w:val="00DE5B95"/>
    <w:rsid w:val="00DE5E7F"/>
    <w:rsid w:val="00DE6121"/>
    <w:rsid w:val="00DE6305"/>
    <w:rsid w:val="00DE710A"/>
    <w:rsid w:val="00DE7753"/>
    <w:rsid w:val="00DF0611"/>
    <w:rsid w:val="00DF2420"/>
    <w:rsid w:val="00DF260D"/>
    <w:rsid w:val="00DF27A1"/>
    <w:rsid w:val="00DF292E"/>
    <w:rsid w:val="00DF2FAE"/>
    <w:rsid w:val="00DF3934"/>
    <w:rsid w:val="00DF3BC9"/>
    <w:rsid w:val="00DF4860"/>
    <w:rsid w:val="00DF4E9C"/>
    <w:rsid w:val="00DF6584"/>
    <w:rsid w:val="00DF6FBF"/>
    <w:rsid w:val="00DF78CA"/>
    <w:rsid w:val="00DF7ADF"/>
    <w:rsid w:val="00E008C8"/>
    <w:rsid w:val="00E00C2F"/>
    <w:rsid w:val="00E02BE2"/>
    <w:rsid w:val="00E02EAE"/>
    <w:rsid w:val="00E03487"/>
    <w:rsid w:val="00E03912"/>
    <w:rsid w:val="00E039FD"/>
    <w:rsid w:val="00E03CBC"/>
    <w:rsid w:val="00E053BA"/>
    <w:rsid w:val="00E05499"/>
    <w:rsid w:val="00E05821"/>
    <w:rsid w:val="00E05C0E"/>
    <w:rsid w:val="00E062FC"/>
    <w:rsid w:val="00E06E83"/>
    <w:rsid w:val="00E06EEC"/>
    <w:rsid w:val="00E07854"/>
    <w:rsid w:val="00E07981"/>
    <w:rsid w:val="00E07EB5"/>
    <w:rsid w:val="00E100AB"/>
    <w:rsid w:val="00E100FA"/>
    <w:rsid w:val="00E10738"/>
    <w:rsid w:val="00E10809"/>
    <w:rsid w:val="00E10865"/>
    <w:rsid w:val="00E109EF"/>
    <w:rsid w:val="00E10A68"/>
    <w:rsid w:val="00E10C43"/>
    <w:rsid w:val="00E11182"/>
    <w:rsid w:val="00E11185"/>
    <w:rsid w:val="00E11307"/>
    <w:rsid w:val="00E12450"/>
    <w:rsid w:val="00E1248C"/>
    <w:rsid w:val="00E12E8C"/>
    <w:rsid w:val="00E1317A"/>
    <w:rsid w:val="00E136CC"/>
    <w:rsid w:val="00E1468B"/>
    <w:rsid w:val="00E149F3"/>
    <w:rsid w:val="00E14BB0"/>
    <w:rsid w:val="00E157F4"/>
    <w:rsid w:val="00E16320"/>
    <w:rsid w:val="00E166AF"/>
    <w:rsid w:val="00E16EC5"/>
    <w:rsid w:val="00E176DD"/>
    <w:rsid w:val="00E17921"/>
    <w:rsid w:val="00E17D57"/>
    <w:rsid w:val="00E20A0C"/>
    <w:rsid w:val="00E20B8F"/>
    <w:rsid w:val="00E217D0"/>
    <w:rsid w:val="00E2199B"/>
    <w:rsid w:val="00E21A5B"/>
    <w:rsid w:val="00E21CEF"/>
    <w:rsid w:val="00E21E9D"/>
    <w:rsid w:val="00E21FF5"/>
    <w:rsid w:val="00E220FF"/>
    <w:rsid w:val="00E224D0"/>
    <w:rsid w:val="00E2265C"/>
    <w:rsid w:val="00E22D59"/>
    <w:rsid w:val="00E22DFB"/>
    <w:rsid w:val="00E23980"/>
    <w:rsid w:val="00E239D3"/>
    <w:rsid w:val="00E23EF6"/>
    <w:rsid w:val="00E244B8"/>
    <w:rsid w:val="00E2475D"/>
    <w:rsid w:val="00E2516D"/>
    <w:rsid w:val="00E254A1"/>
    <w:rsid w:val="00E25A33"/>
    <w:rsid w:val="00E2727A"/>
    <w:rsid w:val="00E27908"/>
    <w:rsid w:val="00E300DF"/>
    <w:rsid w:val="00E305CA"/>
    <w:rsid w:val="00E30BAD"/>
    <w:rsid w:val="00E30D09"/>
    <w:rsid w:val="00E30D9D"/>
    <w:rsid w:val="00E317BB"/>
    <w:rsid w:val="00E31946"/>
    <w:rsid w:val="00E327B3"/>
    <w:rsid w:val="00E32938"/>
    <w:rsid w:val="00E32D75"/>
    <w:rsid w:val="00E32DA9"/>
    <w:rsid w:val="00E33382"/>
    <w:rsid w:val="00E337A9"/>
    <w:rsid w:val="00E33851"/>
    <w:rsid w:val="00E338FF"/>
    <w:rsid w:val="00E33C01"/>
    <w:rsid w:val="00E33DEE"/>
    <w:rsid w:val="00E3437D"/>
    <w:rsid w:val="00E34567"/>
    <w:rsid w:val="00E34722"/>
    <w:rsid w:val="00E34AA1"/>
    <w:rsid w:val="00E34DF6"/>
    <w:rsid w:val="00E35171"/>
    <w:rsid w:val="00E3575B"/>
    <w:rsid w:val="00E35BE4"/>
    <w:rsid w:val="00E35CD9"/>
    <w:rsid w:val="00E36443"/>
    <w:rsid w:val="00E3653D"/>
    <w:rsid w:val="00E36795"/>
    <w:rsid w:val="00E376C1"/>
    <w:rsid w:val="00E37EAD"/>
    <w:rsid w:val="00E37FAD"/>
    <w:rsid w:val="00E402DB"/>
    <w:rsid w:val="00E405B7"/>
    <w:rsid w:val="00E4097B"/>
    <w:rsid w:val="00E41206"/>
    <w:rsid w:val="00E41503"/>
    <w:rsid w:val="00E41D59"/>
    <w:rsid w:val="00E42C06"/>
    <w:rsid w:val="00E42C5B"/>
    <w:rsid w:val="00E43686"/>
    <w:rsid w:val="00E439A9"/>
    <w:rsid w:val="00E43F93"/>
    <w:rsid w:val="00E43FF2"/>
    <w:rsid w:val="00E44009"/>
    <w:rsid w:val="00E44582"/>
    <w:rsid w:val="00E45130"/>
    <w:rsid w:val="00E45667"/>
    <w:rsid w:val="00E456E3"/>
    <w:rsid w:val="00E45932"/>
    <w:rsid w:val="00E45AD5"/>
    <w:rsid w:val="00E45DC3"/>
    <w:rsid w:val="00E45F76"/>
    <w:rsid w:val="00E468AF"/>
    <w:rsid w:val="00E46960"/>
    <w:rsid w:val="00E46A67"/>
    <w:rsid w:val="00E473CF"/>
    <w:rsid w:val="00E47A97"/>
    <w:rsid w:val="00E47B7E"/>
    <w:rsid w:val="00E50091"/>
    <w:rsid w:val="00E5058A"/>
    <w:rsid w:val="00E506F1"/>
    <w:rsid w:val="00E50A67"/>
    <w:rsid w:val="00E50AC8"/>
    <w:rsid w:val="00E50F12"/>
    <w:rsid w:val="00E51322"/>
    <w:rsid w:val="00E51864"/>
    <w:rsid w:val="00E518B1"/>
    <w:rsid w:val="00E51DFE"/>
    <w:rsid w:val="00E522C0"/>
    <w:rsid w:val="00E52303"/>
    <w:rsid w:val="00E5268A"/>
    <w:rsid w:val="00E5274D"/>
    <w:rsid w:val="00E534AF"/>
    <w:rsid w:val="00E53D5B"/>
    <w:rsid w:val="00E53D93"/>
    <w:rsid w:val="00E54459"/>
    <w:rsid w:val="00E54602"/>
    <w:rsid w:val="00E55826"/>
    <w:rsid w:val="00E55D2F"/>
    <w:rsid w:val="00E55EE1"/>
    <w:rsid w:val="00E562E0"/>
    <w:rsid w:val="00E56BA5"/>
    <w:rsid w:val="00E56CBC"/>
    <w:rsid w:val="00E57319"/>
    <w:rsid w:val="00E601E0"/>
    <w:rsid w:val="00E603E7"/>
    <w:rsid w:val="00E60B1E"/>
    <w:rsid w:val="00E60DB6"/>
    <w:rsid w:val="00E61FB3"/>
    <w:rsid w:val="00E6265F"/>
    <w:rsid w:val="00E626FF"/>
    <w:rsid w:val="00E62ABD"/>
    <w:rsid w:val="00E62AD3"/>
    <w:rsid w:val="00E63194"/>
    <w:rsid w:val="00E632B4"/>
    <w:rsid w:val="00E63638"/>
    <w:rsid w:val="00E636D5"/>
    <w:rsid w:val="00E6375D"/>
    <w:rsid w:val="00E63B1F"/>
    <w:rsid w:val="00E646B1"/>
    <w:rsid w:val="00E66128"/>
    <w:rsid w:val="00E6641C"/>
    <w:rsid w:val="00E66BA7"/>
    <w:rsid w:val="00E66CF0"/>
    <w:rsid w:val="00E66DFE"/>
    <w:rsid w:val="00E67242"/>
    <w:rsid w:val="00E67A56"/>
    <w:rsid w:val="00E67AC4"/>
    <w:rsid w:val="00E7099D"/>
    <w:rsid w:val="00E714F9"/>
    <w:rsid w:val="00E72716"/>
    <w:rsid w:val="00E72B02"/>
    <w:rsid w:val="00E72F7D"/>
    <w:rsid w:val="00E734C5"/>
    <w:rsid w:val="00E73B61"/>
    <w:rsid w:val="00E73D3C"/>
    <w:rsid w:val="00E74090"/>
    <w:rsid w:val="00E740B2"/>
    <w:rsid w:val="00E74189"/>
    <w:rsid w:val="00E7419E"/>
    <w:rsid w:val="00E75887"/>
    <w:rsid w:val="00E7627D"/>
    <w:rsid w:val="00E76291"/>
    <w:rsid w:val="00E76391"/>
    <w:rsid w:val="00E76559"/>
    <w:rsid w:val="00E76F39"/>
    <w:rsid w:val="00E773DB"/>
    <w:rsid w:val="00E779AC"/>
    <w:rsid w:val="00E77A8B"/>
    <w:rsid w:val="00E8029D"/>
    <w:rsid w:val="00E80425"/>
    <w:rsid w:val="00E80CC9"/>
    <w:rsid w:val="00E81505"/>
    <w:rsid w:val="00E815BF"/>
    <w:rsid w:val="00E817AE"/>
    <w:rsid w:val="00E82083"/>
    <w:rsid w:val="00E82270"/>
    <w:rsid w:val="00E83580"/>
    <w:rsid w:val="00E83B4C"/>
    <w:rsid w:val="00E83E14"/>
    <w:rsid w:val="00E84480"/>
    <w:rsid w:val="00E8461C"/>
    <w:rsid w:val="00E84EF4"/>
    <w:rsid w:val="00E8515D"/>
    <w:rsid w:val="00E857B1"/>
    <w:rsid w:val="00E85A11"/>
    <w:rsid w:val="00E85DEA"/>
    <w:rsid w:val="00E85FCF"/>
    <w:rsid w:val="00E8611D"/>
    <w:rsid w:val="00E8615B"/>
    <w:rsid w:val="00E8647D"/>
    <w:rsid w:val="00E86822"/>
    <w:rsid w:val="00E86941"/>
    <w:rsid w:val="00E86EF3"/>
    <w:rsid w:val="00E87290"/>
    <w:rsid w:val="00E873C4"/>
    <w:rsid w:val="00E876AC"/>
    <w:rsid w:val="00E87839"/>
    <w:rsid w:val="00E87935"/>
    <w:rsid w:val="00E87A0C"/>
    <w:rsid w:val="00E87BA2"/>
    <w:rsid w:val="00E90288"/>
    <w:rsid w:val="00E90396"/>
    <w:rsid w:val="00E9079E"/>
    <w:rsid w:val="00E90833"/>
    <w:rsid w:val="00E9131C"/>
    <w:rsid w:val="00E91510"/>
    <w:rsid w:val="00E922EA"/>
    <w:rsid w:val="00E92831"/>
    <w:rsid w:val="00E929CB"/>
    <w:rsid w:val="00E92DDF"/>
    <w:rsid w:val="00E93337"/>
    <w:rsid w:val="00E934FA"/>
    <w:rsid w:val="00E93652"/>
    <w:rsid w:val="00E938C2"/>
    <w:rsid w:val="00E94AAA"/>
    <w:rsid w:val="00E94E40"/>
    <w:rsid w:val="00E94EAA"/>
    <w:rsid w:val="00E955D9"/>
    <w:rsid w:val="00E95D35"/>
    <w:rsid w:val="00E95F4B"/>
    <w:rsid w:val="00E96326"/>
    <w:rsid w:val="00E97295"/>
    <w:rsid w:val="00E97B31"/>
    <w:rsid w:val="00E97CDE"/>
    <w:rsid w:val="00EA0052"/>
    <w:rsid w:val="00EA01AD"/>
    <w:rsid w:val="00EA024E"/>
    <w:rsid w:val="00EA0396"/>
    <w:rsid w:val="00EA03E6"/>
    <w:rsid w:val="00EA0946"/>
    <w:rsid w:val="00EA0994"/>
    <w:rsid w:val="00EA0AF4"/>
    <w:rsid w:val="00EA0DF2"/>
    <w:rsid w:val="00EA0E63"/>
    <w:rsid w:val="00EA176B"/>
    <w:rsid w:val="00EA18DA"/>
    <w:rsid w:val="00EA1AE9"/>
    <w:rsid w:val="00EA2205"/>
    <w:rsid w:val="00EA24A9"/>
    <w:rsid w:val="00EA257D"/>
    <w:rsid w:val="00EA299C"/>
    <w:rsid w:val="00EA3099"/>
    <w:rsid w:val="00EA3D68"/>
    <w:rsid w:val="00EA4289"/>
    <w:rsid w:val="00EA46EB"/>
    <w:rsid w:val="00EA4B0E"/>
    <w:rsid w:val="00EA4B2D"/>
    <w:rsid w:val="00EA4EFC"/>
    <w:rsid w:val="00EA5EB4"/>
    <w:rsid w:val="00EA604D"/>
    <w:rsid w:val="00EA6974"/>
    <w:rsid w:val="00EA6983"/>
    <w:rsid w:val="00EA7FA3"/>
    <w:rsid w:val="00EB0D41"/>
    <w:rsid w:val="00EB0F83"/>
    <w:rsid w:val="00EB1AB8"/>
    <w:rsid w:val="00EB2920"/>
    <w:rsid w:val="00EB2C3D"/>
    <w:rsid w:val="00EB304D"/>
    <w:rsid w:val="00EB30C7"/>
    <w:rsid w:val="00EB3E13"/>
    <w:rsid w:val="00EB4860"/>
    <w:rsid w:val="00EB4D61"/>
    <w:rsid w:val="00EB54FD"/>
    <w:rsid w:val="00EB57E3"/>
    <w:rsid w:val="00EB6264"/>
    <w:rsid w:val="00EB647A"/>
    <w:rsid w:val="00EB6829"/>
    <w:rsid w:val="00EB6F33"/>
    <w:rsid w:val="00EB6FDB"/>
    <w:rsid w:val="00EB74DD"/>
    <w:rsid w:val="00EB75BE"/>
    <w:rsid w:val="00EB7A9D"/>
    <w:rsid w:val="00EB7BAD"/>
    <w:rsid w:val="00EC06A1"/>
    <w:rsid w:val="00EC0B96"/>
    <w:rsid w:val="00EC0E3B"/>
    <w:rsid w:val="00EC1C8F"/>
    <w:rsid w:val="00EC1C99"/>
    <w:rsid w:val="00EC1E0D"/>
    <w:rsid w:val="00EC1FDB"/>
    <w:rsid w:val="00EC215F"/>
    <w:rsid w:val="00EC2C3E"/>
    <w:rsid w:val="00EC2D34"/>
    <w:rsid w:val="00EC32A5"/>
    <w:rsid w:val="00EC38DA"/>
    <w:rsid w:val="00EC3998"/>
    <w:rsid w:val="00EC3BF0"/>
    <w:rsid w:val="00EC3D78"/>
    <w:rsid w:val="00EC4E3A"/>
    <w:rsid w:val="00EC536A"/>
    <w:rsid w:val="00EC54E6"/>
    <w:rsid w:val="00EC5F54"/>
    <w:rsid w:val="00EC634E"/>
    <w:rsid w:val="00EC6508"/>
    <w:rsid w:val="00EC651B"/>
    <w:rsid w:val="00EC6951"/>
    <w:rsid w:val="00EC6E4A"/>
    <w:rsid w:val="00EC6F8A"/>
    <w:rsid w:val="00EC7A58"/>
    <w:rsid w:val="00ED0776"/>
    <w:rsid w:val="00ED1509"/>
    <w:rsid w:val="00ED156D"/>
    <w:rsid w:val="00ED2B47"/>
    <w:rsid w:val="00ED3218"/>
    <w:rsid w:val="00ED3448"/>
    <w:rsid w:val="00ED3537"/>
    <w:rsid w:val="00ED36CF"/>
    <w:rsid w:val="00ED3987"/>
    <w:rsid w:val="00ED3B0A"/>
    <w:rsid w:val="00ED3C89"/>
    <w:rsid w:val="00ED4056"/>
    <w:rsid w:val="00ED42A3"/>
    <w:rsid w:val="00ED4432"/>
    <w:rsid w:val="00ED46D8"/>
    <w:rsid w:val="00ED471A"/>
    <w:rsid w:val="00ED4C72"/>
    <w:rsid w:val="00ED4C82"/>
    <w:rsid w:val="00ED4F79"/>
    <w:rsid w:val="00ED531D"/>
    <w:rsid w:val="00ED57BC"/>
    <w:rsid w:val="00ED61D8"/>
    <w:rsid w:val="00ED6490"/>
    <w:rsid w:val="00ED64E0"/>
    <w:rsid w:val="00ED6B52"/>
    <w:rsid w:val="00ED787B"/>
    <w:rsid w:val="00ED7EB6"/>
    <w:rsid w:val="00EE007B"/>
    <w:rsid w:val="00EE00A0"/>
    <w:rsid w:val="00EE0CD3"/>
    <w:rsid w:val="00EE0FA4"/>
    <w:rsid w:val="00EE1294"/>
    <w:rsid w:val="00EE17EE"/>
    <w:rsid w:val="00EE1F2C"/>
    <w:rsid w:val="00EE2155"/>
    <w:rsid w:val="00EE2171"/>
    <w:rsid w:val="00EE32A3"/>
    <w:rsid w:val="00EE3F8B"/>
    <w:rsid w:val="00EE4408"/>
    <w:rsid w:val="00EE4F13"/>
    <w:rsid w:val="00EE50E2"/>
    <w:rsid w:val="00EE53B5"/>
    <w:rsid w:val="00EE57E9"/>
    <w:rsid w:val="00EE6014"/>
    <w:rsid w:val="00EE644F"/>
    <w:rsid w:val="00EE6543"/>
    <w:rsid w:val="00EE674F"/>
    <w:rsid w:val="00EE68CF"/>
    <w:rsid w:val="00EE6E6A"/>
    <w:rsid w:val="00EE7126"/>
    <w:rsid w:val="00EE724E"/>
    <w:rsid w:val="00EE743A"/>
    <w:rsid w:val="00EE756D"/>
    <w:rsid w:val="00EE7701"/>
    <w:rsid w:val="00EF0029"/>
    <w:rsid w:val="00EF087F"/>
    <w:rsid w:val="00EF0A7B"/>
    <w:rsid w:val="00EF16AF"/>
    <w:rsid w:val="00EF1712"/>
    <w:rsid w:val="00EF1770"/>
    <w:rsid w:val="00EF1AC6"/>
    <w:rsid w:val="00EF1EAF"/>
    <w:rsid w:val="00EF20E1"/>
    <w:rsid w:val="00EF2D9C"/>
    <w:rsid w:val="00EF2E9E"/>
    <w:rsid w:val="00EF2EF1"/>
    <w:rsid w:val="00EF3105"/>
    <w:rsid w:val="00EF3367"/>
    <w:rsid w:val="00EF38E5"/>
    <w:rsid w:val="00EF4782"/>
    <w:rsid w:val="00EF4793"/>
    <w:rsid w:val="00EF48C2"/>
    <w:rsid w:val="00EF52C7"/>
    <w:rsid w:val="00EF5964"/>
    <w:rsid w:val="00EF5BD1"/>
    <w:rsid w:val="00EF5BFD"/>
    <w:rsid w:val="00EF5DC0"/>
    <w:rsid w:val="00EF5F1A"/>
    <w:rsid w:val="00EF5F3A"/>
    <w:rsid w:val="00EF738B"/>
    <w:rsid w:val="00EF7880"/>
    <w:rsid w:val="00F004C3"/>
    <w:rsid w:val="00F004D1"/>
    <w:rsid w:val="00F0079B"/>
    <w:rsid w:val="00F00FE6"/>
    <w:rsid w:val="00F01008"/>
    <w:rsid w:val="00F011FE"/>
    <w:rsid w:val="00F01293"/>
    <w:rsid w:val="00F028ED"/>
    <w:rsid w:val="00F02D73"/>
    <w:rsid w:val="00F03306"/>
    <w:rsid w:val="00F035AF"/>
    <w:rsid w:val="00F0363D"/>
    <w:rsid w:val="00F03C2B"/>
    <w:rsid w:val="00F03DBA"/>
    <w:rsid w:val="00F03F7E"/>
    <w:rsid w:val="00F04685"/>
    <w:rsid w:val="00F047AE"/>
    <w:rsid w:val="00F04FAC"/>
    <w:rsid w:val="00F051B8"/>
    <w:rsid w:val="00F05880"/>
    <w:rsid w:val="00F0608F"/>
    <w:rsid w:val="00F06529"/>
    <w:rsid w:val="00F068C3"/>
    <w:rsid w:val="00F07502"/>
    <w:rsid w:val="00F107EE"/>
    <w:rsid w:val="00F10B94"/>
    <w:rsid w:val="00F10D52"/>
    <w:rsid w:val="00F110BB"/>
    <w:rsid w:val="00F11873"/>
    <w:rsid w:val="00F118C1"/>
    <w:rsid w:val="00F11B7D"/>
    <w:rsid w:val="00F11F4C"/>
    <w:rsid w:val="00F126A1"/>
    <w:rsid w:val="00F126B9"/>
    <w:rsid w:val="00F13865"/>
    <w:rsid w:val="00F13BC9"/>
    <w:rsid w:val="00F13D2A"/>
    <w:rsid w:val="00F143CC"/>
    <w:rsid w:val="00F144C3"/>
    <w:rsid w:val="00F14693"/>
    <w:rsid w:val="00F14BD3"/>
    <w:rsid w:val="00F15724"/>
    <w:rsid w:val="00F15951"/>
    <w:rsid w:val="00F1646E"/>
    <w:rsid w:val="00F16D6E"/>
    <w:rsid w:val="00F173C9"/>
    <w:rsid w:val="00F1743F"/>
    <w:rsid w:val="00F17AC6"/>
    <w:rsid w:val="00F20071"/>
    <w:rsid w:val="00F20A51"/>
    <w:rsid w:val="00F21F9F"/>
    <w:rsid w:val="00F22A2F"/>
    <w:rsid w:val="00F22B25"/>
    <w:rsid w:val="00F239C0"/>
    <w:rsid w:val="00F23D1D"/>
    <w:rsid w:val="00F23DC5"/>
    <w:rsid w:val="00F23DD8"/>
    <w:rsid w:val="00F23E3E"/>
    <w:rsid w:val="00F25117"/>
    <w:rsid w:val="00F25205"/>
    <w:rsid w:val="00F26369"/>
    <w:rsid w:val="00F26527"/>
    <w:rsid w:val="00F2665C"/>
    <w:rsid w:val="00F26B25"/>
    <w:rsid w:val="00F2703C"/>
    <w:rsid w:val="00F27338"/>
    <w:rsid w:val="00F27C64"/>
    <w:rsid w:val="00F30384"/>
    <w:rsid w:val="00F30B72"/>
    <w:rsid w:val="00F30C77"/>
    <w:rsid w:val="00F30DA6"/>
    <w:rsid w:val="00F30DF3"/>
    <w:rsid w:val="00F315E6"/>
    <w:rsid w:val="00F31A3D"/>
    <w:rsid w:val="00F321A7"/>
    <w:rsid w:val="00F322F1"/>
    <w:rsid w:val="00F32612"/>
    <w:rsid w:val="00F32990"/>
    <w:rsid w:val="00F32ED0"/>
    <w:rsid w:val="00F330D7"/>
    <w:rsid w:val="00F3351C"/>
    <w:rsid w:val="00F3355D"/>
    <w:rsid w:val="00F33906"/>
    <w:rsid w:val="00F33E13"/>
    <w:rsid w:val="00F340CB"/>
    <w:rsid w:val="00F342B9"/>
    <w:rsid w:val="00F343D6"/>
    <w:rsid w:val="00F346A6"/>
    <w:rsid w:val="00F34C63"/>
    <w:rsid w:val="00F3713A"/>
    <w:rsid w:val="00F3734F"/>
    <w:rsid w:val="00F3768E"/>
    <w:rsid w:val="00F37714"/>
    <w:rsid w:val="00F37996"/>
    <w:rsid w:val="00F37A67"/>
    <w:rsid w:val="00F402DF"/>
    <w:rsid w:val="00F40A9A"/>
    <w:rsid w:val="00F40E11"/>
    <w:rsid w:val="00F410B4"/>
    <w:rsid w:val="00F416F3"/>
    <w:rsid w:val="00F417AD"/>
    <w:rsid w:val="00F41B2B"/>
    <w:rsid w:val="00F41E8E"/>
    <w:rsid w:val="00F41FDC"/>
    <w:rsid w:val="00F42EA5"/>
    <w:rsid w:val="00F43039"/>
    <w:rsid w:val="00F4309D"/>
    <w:rsid w:val="00F4385C"/>
    <w:rsid w:val="00F43B3D"/>
    <w:rsid w:val="00F43B8E"/>
    <w:rsid w:val="00F43D4A"/>
    <w:rsid w:val="00F43F4A"/>
    <w:rsid w:val="00F4486F"/>
    <w:rsid w:val="00F45C68"/>
    <w:rsid w:val="00F4629A"/>
    <w:rsid w:val="00F46C21"/>
    <w:rsid w:val="00F46C86"/>
    <w:rsid w:val="00F46CB4"/>
    <w:rsid w:val="00F47424"/>
    <w:rsid w:val="00F5083B"/>
    <w:rsid w:val="00F5149A"/>
    <w:rsid w:val="00F51569"/>
    <w:rsid w:val="00F51752"/>
    <w:rsid w:val="00F51CBB"/>
    <w:rsid w:val="00F52119"/>
    <w:rsid w:val="00F522E5"/>
    <w:rsid w:val="00F5290B"/>
    <w:rsid w:val="00F52A28"/>
    <w:rsid w:val="00F52A52"/>
    <w:rsid w:val="00F52D16"/>
    <w:rsid w:val="00F53576"/>
    <w:rsid w:val="00F53848"/>
    <w:rsid w:val="00F53D89"/>
    <w:rsid w:val="00F54DCA"/>
    <w:rsid w:val="00F557C4"/>
    <w:rsid w:val="00F5605F"/>
    <w:rsid w:val="00F563A2"/>
    <w:rsid w:val="00F564A8"/>
    <w:rsid w:val="00F56F94"/>
    <w:rsid w:val="00F5709A"/>
    <w:rsid w:val="00F571EF"/>
    <w:rsid w:val="00F57903"/>
    <w:rsid w:val="00F57F8B"/>
    <w:rsid w:val="00F605A0"/>
    <w:rsid w:val="00F60E68"/>
    <w:rsid w:val="00F6113E"/>
    <w:rsid w:val="00F61FCA"/>
    <w:rsid w:val="00F623E1"/>
    <w:rsid w:val="00F62780"/>
    <w:rsid w:val="00F634C6"/>
    <w:rsid w:val="00F63681"/>
    <w:rsid w:val="00F63B87"/>
    <w:rsid w:val="00F63F3E"/>
    <w:rsid w:val="00F641AC"/>
    <w:rsid w:val="00F64529"/>
    <w:rsid w:val="00F64863"/>
    <w:rsid w:val="00F64C7F"/>
    <w:rsid w:val="00F64E8B"/>
    <w:rsid w:val="00F64F2B"/>
    <w:rsid w:val="00F65077"/>
    <w:rsid w:val="00F65316"/>
    <w:rsid w:val="00F65B1E"/>
    <w:rsid w:val="00F65F16"/>
    <w:rsid w:val="00F66151"/>
    <w:rsid w:val="00F66186"/>
    <w:rsid w:val="00F66476"/>
    <w:rsid w:val="00F66574"/>
    <w:rsid w:val="00F66683"/>
    <w:rsid w:val="00F6682E"/>
    <w:rsid w:val="00F66C7B"/>
    <w:rsid w:val="00F66F6E"/>
    <w:rsid w:val="00F67368"/>
    <w:rsid w:val="00F673C0"/>
    <w:rsid w:val="00F67EB1"/>
    <w:rsid w:val="00F70528"/>
    <w:rsid w:val="00F70AEF"/>
    <w:rsid w:val="00F71104"/>
    <w:rsid w:val="00F714D3"/>
    <w:rsid w:val="00F71F02"/>
    <w:rsid w:val="00F73039"/>
    <w:rsid w:val="00F73385"/>
    <w:rsid w:val="00F73472"/>
    <w:rsid w:val="00F73547"/>
    <w:rsid w:val="00F73CC5"/>
    <w:rsid w:val="00F73D18"/>
    <w:rsid w:val="00F74234"/>
    <w:rsid w:val="00F7436E"/>
    <w:rsid w:val="00F74C78"/>
    <w:rsid w:val="00F74C9B"/>
    <w:rsid w:val="00F750FE"/>
    <w:rsid w:val="00F7546B"/>
    <w:rsid w:val="00F75760"/>
    <w:rsid w:val="00F76BEC"/>
    <w:rsid w:val="00F77765"/>
    <w:rsid w:val="00F77C05"/>
    <w:rsid w:val="00F77C2F"/>
    <w:rsid w:val="00F800CB"/>
    <w:rsid w:val="00F8072E"/>
    <w:rsid w:val="00F8089C"/>
    <w:rsid w:val="00F80AF2"/>
    <w:rsid w:val="00F80BB1"/>
    <w:rsid w:val="00F80F1E"/>
    <w:rsid w:val="00F8155D"/>
    <w:rsid w:val="00F8189B"/>
    <w:rsid w:val="00F81A05"/>
    <w:rsid w:val="00F81ED7"/>
    <w:rsid w:val="00F822D3"/>
    <w:rsid w:val="00F824E6"/>
    <w:rsid w:val="00F827CB"/>
    <w:rsid w:val="00F82924"/>
    <w:rsid w:val="00F82AB2"/>
    <w:rsid w:val="00F8342A"/>
    <w:rsid w:val="00F83DFE"/>
    <w:rsid w:val="00F8406B"/>
    <w:rsid w:val="00F8443D"/>
    <w:rsid w:val="00F848CF"/>
    <w:rsid w:val="00F84E6F"/>
    <w:rsid w:val="00F8503D"/>
    <w:rsid w:val="00F8547B"/>
    <w:rsid w:val="00F8557B"/>
    <w:rsid w:val="00F85C60"/>
    <w:rsid w:val="00F85FF2"/>
    <w:rsid w:val="00F861AC"/>
    <w:rsid w:val="00F86616"/>
    <w:rsid w:val="00F86D5F"/>
    <w:rsid w:val="00F874A5"/>
    <w:rsid w:val="00F878AE"/>
    <w:rsid w:val="00F9036A"/>
    <w:rsid w:val="00F906B2"/>
    <w:rsid w:val="00F91C48"/>
    <w:rsid w:val="00F91DDD"/>
    <w:rsid w:val="00F924D3"/>
    <w:rsid w:val="00F92706"/>
    <w:rsid w:val="00F927EE"/>
    <w:rsid w:val="00F93D30"/>
    <w:rsid w:val="00F93F4A"/>
    <w:rsid w:val="00F94B10"/>
    <w:rsid w:val="00F95271"/>
    <w:rsid w:val="00F9587F"/>
    <w:rsid w:val="00F969C2"/>
    <w:rsid w:val="00F96BBB"/>
    <w:rsid w:val="00F96DF8"/>
    <w:rsid w:val="00F96DFA"/>
    <w:rsid w:val="00F972B0"/>
    <w:rsid w:val="00F9738C"/>
    <w:rsid w:val="00F97596"/>
    <w:rsid w:val="00F9789F"/>
    <w:rsid w:val="00F978C5"/>
    <w:rsid w:val="00F97E5A"/>
    <w:rsid w:val="00F97F45"/>
    <w:rsid w:val="00FA067F"/>
    <w:rsid w:val="00FA06A8"/>
    <w:rsid w:val="00FA06C2"/>
    <w:rsid w:val="00FA0CD0"/>
    <w:rsid w:val="00FA0F2B"/>
    <w:rsid w:val="00FA1115"/>
    <w:rsid w:val="00FA1734"/>
    <w:rsid w:val="00FA19E0"/>
    <w:rsid w:val="00FA1B5F"/>
    <w:rsid w:val="00FA1BB1"/>
    <w:rsid w:val="00FA222F"/>
    <w:rsid w:val="00FA4491"/>
    <w:rsid w:val="00FA46E7"/>
    <w:rsid w:val="00FA47E7"/>
    <w:rsid w:val="00FA491E"/>
    <w:rsid w:val="00FA49DA"/>
    <w:rsid w:val="00FA50F5"/>
    <w:rsid w:val="00FA639A"/>
    <w:rsid w:val="00FA6436"/>
    <w:rsid w:val="00FA64CC"/>
    <w:rsid w:val="00FA6A43"/>
    <w:rsid w:val="00FA6CE7"/>
    <w:rsid w:val="00FA6D09"/>
    <w:rsid w:val="00FA6EC8"/>
    <w:rsid w:val="00FA6F27"/>
    <w:rsid w:val="00FA754D"/>
    <w:rsid w:val="00FA7E96"/>
    <w:rsid w:val="00FB048F"/>
    <w:rsid w:val="00FB0608"/>
    <w:rsid w:val="00FB0BA6"/>
    <w:rsid w:val="00FB1247"/>
    <w:rsid w:val="00FB13F0"/>
    <w:rsid w:val="00FB14A8"/>
    <w:rsid w:val="00FB14B5"/>
    <w:rsid w:val="00FB1609"/>
    <w:rsid w:val="00FB2116"/>
    <w:rsid w:val="00FB2805"/>
    <w:rsid w:val="00FB2DFA"/>
    <w:rsid w:val="00FB3BA2"/>
    <w:rsid w:val="00FB43BE"/>
    <w:rsid w:val="00FB48F2"/>
    <w:rsid w:val="00FB4A77"/>
    <w:rsid w:val="00FB4C88"/>
    <w:rsid w:val="00FB4CB0"/>
    <w:rsid w:val="00FB585B"/>
    <w:rsid w:val="00FB5EC4"/>
    <w:rsid w:val="00FB64A0"/>
    <w:rsid w:val="00FB64AC"/>
    <w:rsid w:val="00FB655A"/>
    <w:rsid w:val="00FB6C23"/>
    <w:rsid w:val="00FB72A6"/>
    <w:rsid w:val="00FC0173"/>
    <w:rsid w:val="00FC024B"/>
    <w:rsid w:val="00FC07BF"/>
    <w:rsid w:val="00FC08A5"/>
    <w:rsid w:val="00FC098C"/>
    <w:rsid w:val="00FC0E19"/>
    <w:rsid w:val="00FC1B8D"/>
    <w:rsid w:val="00FC249E"/>
    <w:rsid w:val="00FC2662"/>
    <w:rsid w:val="00FC3504"/>
    <w:rsid w:val="00FC4386"/>
    <w:rsid w:val="00FC4B27"/>
    <w:rsid w:val="00FC4D53"/>
    <w:rsid w:val="00FC4D95"/>
    <w:rsid w:val="00FC5288"/>
    <w:rsid w:val="00FC542F"/>
    <w:rsid w:val="00FC5DF3"/>
    <w:rsid w:val="00FC6E19"/>
    <w:rsid w:val="00FC772D"/>
    <w:rsid w:val="00FD075D"/>
    <w:rsid w:val="00FD0CB0"/>
    <w:rsid w:val="00FD1061"/>
    <w:rsid w:val="00FD1BB5"/>
    <w:rsid w:val="00FD1EEB"/>
    <w:rsid w:val="00FD201B"/>
    <w:rsid w:val="00FD2285"/>
    <w:rsid w:val="00FD25F7"/>
    <w:rsid w:val="00FD2EF4"/>
    <w:rsid w:val="00FD3076"/>
    <w:rsid w:val="00FD3620"/>
    <w:rsid w:val="00FD3BEB"/>
    <w:rsid w:val="00FD45C9"/>
    <w:rsid w:val="00FD4E72"/>
    <w:rsid w:val="00FD5C22"/>
    <w:rsid w:val="00FD6299"/>
    <w:rsid w:val="00FD6CA5"/>
    <w:rsid w:val="00FD6D17"/>
    <w:rsid w:val="00FD72DF"/>
    <w:rsid w:val="00FD73FC"/>
    <w:rsid w:val="00FD7621"/>
    <w:rsid w:val="00FD7937"/>
    <w:rsid w:val="00FD7C4B"/>
    <w:rsid w:val="00FD7FBB"/>
    <w:rsid w:val="00FE0245"/>
    <w:rsid w:val="00FE08D6"/>
    <w:rsid w:val="00FE0DF1"/>
    <w:rsid w:val="00FE0E52"/>
    <w:rsid w:val="00FE1039"/>
    <w:rsid w:val="00FE1046"/>
    <w:rsid w:val="00FE1345"/>
    <w:rsid w:val="00FE1CEB"/>
    <w:rsid w:val="00FE2457"/>
    <w:rsid w:val="00FE2462"/>
    <w:rsid w:val="00FE33C4"/>
    <w:rsid w:val="00FE37D7"/>
    <w:rsid w:val="00FE3A9B"/>
    <w:rsid w:val="00FE452D"/>
    <w:rsid w:val="00FE4A26"/>
    <w:rsid w:val="00FE4B23"/>
    <w:rsid w:val="00FE4DBD"/>
    <w:rsid w:val="00FE54C4"/>
    <w:rsid w:val="00FE5951"/>
    <w:rsid w:val="00FE5D99"/>
    <w:rsid w:val="00FE628A"/>
    <w:rsid w:val="00FE629F"/>
    <w:rsid w:val="00FE640F"/>
    <w:rsid w:val="00FE681D"/>
    <w:rsid w:val="00FE6A25"/>
    <w:rsid w:val="00FE6A2E"/>
    <w:rsid w:val="00FE6D7F"/>
    <w:rsid w:val="00FE7873"/>
    <w:rsid w:val="00FE78EC"/>
    <w:rsid w:val="00FE7CED"/>
    <w:rsid w:val="00FE7DE7"/>
    <w:rsid w:val="00FE7E97"/>
    <w:rsid w:val="00FE7FA3"/>
    <w:rsid w:val="00FF0644"/>
    <w:rsid w:val="00FF0D8B"/>
    <w:rsid w:val="00FF1200"/>
    <w:rsid w:val="00FF1F23"/>
    <w:rsid w:val="00FF2545"/>
    <w:rsid w:val="00FF2932"/>
    <w:rsid w:val="00FF2E0A"/>
    <w:rsid w:val="00FF33DC"/>
    <w:rsid w:val="00FF355E"/>
    <w:rsid w:val="00FF397A"/>
    <w:rsid w:val="00FF3F2E"/>
    <w:rsid w:val="00FF4412"/>
    <w:rsid w:val="00FF4506"/>
    <w:rsid w:val="00FF47D3"/>
    <w:rsid w:val="00FF4C72"/>
    <w:rsid w:val="00FF5BEB"/>
    <w:rsid w:val="00FF5BFC"/>
    <w:rsid w:val="00FF5E9B"/>
    <w:rsid w:val="00FF653C"/>
    <w:rsid w:val="00FF6599"/>
    <w:rsid w:val="00FF6DFF"/>
    <w:rsid w:val="00FF73D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6395"/>
    <o:shapelayout v:ext="edit">
      <o:idmap v:ext="edit" data="1"/>
    </o:shapelayout>
  </w:shapeDefaults>
  <w:decimalSymbol w:val=","/>
  <w:listSeparator w:val=";"/>
  <w14:docId w14:val="27C939DF"/>
  <w15:docId w15:val="{A257B075-8778-479C-B731-2C75FB3DD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mój"/>
    <w:qFormat/>
    <w:rsid w:val="0005410E"/>
    <w:pPr>
      <w:spacing w:after="200" w:line="276" w:lineRule="auto"/>
    </w:pPr>
    <w:rPr>
      <w:rFonts w:ascii="Times New Roman" w:eastAsia="Times New Roman" w:hAnsi="Times New Roman"/>
      <w:sz w:val="24"/>
      <w:szCs w:val="22"/>
    </w:rPr>
  </w:style>
  <w:style w:type="paragraph" w:styleId="Nagwek1">
    <w:name w:val="heading 1"/>
    <w:basedOn w:val="Normalny"/>
    <w:next w:val="Normalny"/>
    <w:link w:val="Nagwek1Znak"/>
    <w:qFormat/>
    <w:rsid w:val="004A2760"/>
    <w:pPr>
      <w:keepNext/>
      <w:keepLines/>
      <w:numPr>
        <w:numId w:val="20"/>
      </w:numPr>
      <w:spacing w:before="480" w:after="0"/>
      <w:outlineLvl w:val="0"/>
    </w:pPr>
    <w:rPr>
      <w:b/>
      <w:bCs/>
      <w:szCs w:val="28"/>
    </w:rPr>
  </w:style>
  <w:style w:type="paragraph" w:styleId="Nagwek2">
    <w:name w:val="heading 2"/>
    <w:basedOn w:val="Normalny"/>
    <w:link w:val="Nagwek2Znak"/>
    <w:uiPriority w:val="9"/>
    <w:qFormat/>
    <w:rsid w:val="0005410E"/>
    <w:pPr>
      <w:numPr>
        <w:ilvl w:val="1"/>
        <w:numId w:val="20"/>
      </w:numPr>
      <w:spacing w:before="100" w:beforeAutospacing="1" w:after="100" w:afterAutospacing="1" w:line="240" w:lineRule="auto"/>
      <w:outlineLvl w:val="1"/>
    </w:pPr>
    <w:rPr>
      <w:b/>
      <w:bCs/>
      <w:sz w:val="36"/>
      <w:szCs w:val="36"/>
    </w:rPr>
  </w:style>
  <w:style w:type="paragraph" w:styleId="Nagwek3">
    <w:name w:val="heading 3"/>
    <w:basedOn w:val="Normalny"/>
    <w:next w:val="Normalny"/>
    <w:link w:val="Nagwek3Znak"/>
    <w:uiPriority w:val="9"/>
    <w:unhideWhenUsed/>
    <w:qFormat/>
    <w:rsid w:val="005562B5"/>
    <w:pPr>
      <w:keepNext/>
      <w:keepLines/>
      <w:numPr>
        <w:ilvl w:val="2"/>
        <w:numId w:val="20"/>
      </w:numPr>
      <w:spacing w:before="200" w:after="0"/>
      <w:outlineLvl w:val="2"/>
    </w:pPr>
    <w:rPr>
      <w:rFonts w:asciiTheme="majorHAnsi" w:eastAsiaTheme="majorEastAsia" w:hAnsiTheme="majorHAnsi" w:cstheme="majorBidi"/>
      <w:b/>
      <w:bCs/>
      <w:color w:val="5B9BD5" w:themeColor="accent1"/>
    </w:rPr>
  </w:style>
  <w:style w:type="paragraph" w:styleId="Nagwek4">
    <w:name w:val="heading 4"/>
    <w:basedOn w:val="Normalny"/>
    <w:next w:val="Normalny"/>
    <w:link w:val="Nagwek4Znak"/>
    <w:uiPriority w:val="9"/>
    <w:unhideWhenUsed/>
    <w:qFormat/>
    <w:rsid w:val="005562B5"/>
    <w:pPr>
      <w:keepNext/>
      <w:keepLines/>
      <w:numPr>
        <w:ilvl w:val="3"/>
        <w:numId w:val="20"/>
      </w:numPr>
      <w:spacing w:before="200" w:after="0"/>
      <w:outlineLvl w:val="3"/>
    </w:pPr>
    <w:rPr>
      <w:rFonts w:asciiTheme="majorHAnsi" w:eastAsiaTheme="majorEastAsia" w:hAnsiTheme="majorHAnsi" w:cstheme="majorBidi"/>
      <w:b/>
      <w:bCs/>
      <w:i/>
      <w:iCs/>
      <w:color w:val="5B9BD5" w:themeColor="accent1"/>
    </w:rPr>
  </w:style>
  <w:style w:type="paragraph" w:styleId="Nagwek5">
    <w:name w:val="heading 5"/>
    <w:basedOn w:val="Normalny"/>
    <w:next w:val="Normalny"/>
    <w:link w:val="Nagwek5Znak"/>
    <w:qFormat/>
    <w:rsid w:val="0005410E"/>
    <w:pPr>
      <w:keepNext/>
      <w:numPr>
        <w:ilvl w:val="4"/>
        <w:numId w:val="20"/>
      </w:numPr>
      <w:spacing w:after="0" w:line="240" w:lineRule="auto"/>
      <w:outlineLvl w:val="4"/>
    </w:pPr>
    <w:rPr>
      <w:noProof/>
      <w:szCs w:val="20"/>
    </w:rPr>
  </w:style>
  <w:style w:type="paragraph" w:styleId="Nagwek6">
    <w:name w:val="heading 6"/>
    <w:basedOn w:val="Normalny"/>
    <w:next w:val="Normalny"/>
    <w:link w:val="Nagwek6Znak"/>
    <w:uiPriority w:val="9"/>
    <w:unhideWhenUsed/>
    <w:qFormat/>
    <w:rsid w:val="005562B5"/>
    <w:pPr>
      <w:keepNext/>
      <w:keepLines/>
      <w:numPr>
        <w:ilvl w:val="5"/>
        <w:numId w:val="20"/>
      </w:numPr>
      <w:spacing w:before="200" w:after="0"/>
      <w:outlineLvl w:val="5"/>
    </w:pPr>
    <w:rPr>
      <w:rFonts w:asciiTheme="majorHAnsi" w:eastAsiaTheme="majorEastAsia" w:hAnsiTheme="majorHAnsi" w:cstheme="majorBidi"/>
      <w:i/>
      <w:iCs/>
      <w:color w:val="1F4D78" w:themeColor="accent1" w:themeShade="7F"/>
    </w:rPr>
  </w:style>
  <w:style w:type="paragraph" w:styleId="Nagwek7">
    <w:name w:val="heading 7"/>
    <w:basedOn w:val="Normalny"/>
    <w:next w:val="Normalny"/>
    <w:link w:val="Nagwek7Znak"/>
    <w:qFormat/>
    <w:rsid w:val="0005410E"/>
    <w:pPr>
      <w:numPr>
        <w:ilvl w:val="6"/>
        <w:numId w:val="20"/>
      </w:numPr>
      <w:spacing w:before="240" w:after="60" w:line="240" w:lineRule="auto"/>
      <w:outlineLvl w:val="6"/>
    </w:pPr>
    <w:rPr>
      <w:szCs w:val="24"/>
    </w:rPr>
  </w:style>
  <w:style w:type="paragraph" w:styleId="Nagwek8">
    <w:name w:val="heading 8"/>
    <w:basedOn w:val="Normalny"/>
    <w:next w:val="Normalny"/>
    <w:link w:val="Nagwek8Znak"/>
    <w:uiPriority w:val="9"/>
    <w:unhideWhenUsed/>
    <w:qFormat/>
    <w:rsid w:val="005562B5"/>
    <w:pPr>
      <w:keepNext/>
      <w:keepLines/>
      <w:numPr>
        <w:ilvl w:val="7"/>
        <w:numId w:val="20"/>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unhideWhenUsed/>
    <w:qFormat/>
    <w:rsid w:val="005562B5"/>
    <w:pPr>
      <w:keepNext/>
      <w:keepLines/>
      <w:numPr>
        <w:ilvl w:val="8"/>
        <w:numId w:val="20"/>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4A2760"/>
    <w:rPr>
      <w:rFonts w:ascii="Times New Roman" w:eastAsia="Times New Roman" w:hAnsi="Times New Roman"/>
      <w:b/>
      <w:bCs/>
      <w:sz w:val="24"/>
      <w:szCs w:val="28"/>
    </w:rPr>
  </w:style>
  <w:style w:type="character" w:customStyle="1" w:styleId="Nagwek2Znak">
    <w:name w:val="Nagłówek 2 Znak"/>
    <w:basedOn w:val="Domylnaczcionkaakapitu"/>
    <w:link w:val="Nagwek2"/>
    <w:uiPriority w:val="9"/>
    <w:rsid w:val="0005410E"/>
    <w:rPr>
      <w:rFonts w:ascii="Times New Roman" w:eastAsia="Times New Roman" w:hAnsi="Times New Roman"/>
      <w:b/>
      <w:bCs/>
      <w:sz w:val="36"/>
      <w:szCs w:val="36"/>
    </w:rPr>
  </w:style>
  <w:style w:type="character" w:customStyle="1" w:styleId="Nagwek5Znak">
    <w:name w:val="Nagłówek 5 Znak"/>
    <w:basedOn w:val="Domylnaczcionkaakapitu"/>
    <w:link w:val="Nagwek5"/>
    <w:rsid w:val="0005410E"/>
    <w:rPr>
      <w:rFonts w:ascii="Times New Roman" w:eastAsia="Times New Roman" w:hAnsi="Times New Roman"/>
      <w:noProof/>
      <w:sz w:val="24"/>
    </w:rPr>
  </w:style>
  <w:style w:type="character" w:customStyle="1" w:styleId="Nagwek7Znak">
    <w:name w:val="Nagłówek 7 Znak"/>
    <w:basedOn w:val="Domylnaczcionkaakapitu"/>
    <w:link w:val="Nagwek7"/>
    <w:rsid w:val="0005410E"/>
    <w:rPr>
      <w:rFonts w:ascii="Times New Roman" w:eastAsia="Times New Roman" w:hAnsi="Times New Roman"/>
      <w:sz w:val="24"/>
      <w:szCs w:val="24"/>
    </w:rPr>
  </w:style>
  <w:style w:type="paragraph" w:styleId="Nagwek">
    <w:name w:val="header"/>
    <w:basedOn w:val="Normalny"/>
    <w:link w:val="NagwekZnak"/>
    <w:unhideWhenUsed/>
    <w:rsid w:val="0005410E"/>
    <w:pPr>
      <w:tabs>
        <w:tab w:val="center" w:pos="4536"/>
        <w:tab w:val="right" w:pos="9072"/>
      </w:tabs>
    </w:pPr>
  </w:style>
  <w:style w:type="character" w:customStyle="1" w:styleId="NagwekZnak">
    <w:name w:val="Nagłówek Znak"/>
    <w:basedOn w:val="Domylnaczcionkaakapitu"/>
    <w:link w:val="Nagwek"/>
    <w:rsid w:val="0005410E"/>
    <w:rPr>
      <w:rFonts w:ascii="Times New Roman" w:eastAsia="Times New Roman" w:hAnsi="Times New Roman" w:cs="Times New Roman"/>
      <w:sz w:val="24"/>
      <w:lang w:eastAsia="pl-PL"/>
    </w:rPr>
  </w:style>
  <w:style w:type="paragraph" w:styleId="Stopka">
    <w:name w:val="footer"/>
    <w:basedOn w:val="Normalny"/>
    <w:link w:val="StopkaZnak"/>
    <w:uiPriority w:val="99"/>
    <w:unhideWhenUsed/>
    <w:rsid w:val="0005410E"/>
    <w:pPr>
      <w:tabs>
        <w:tab w:val="center" w:pos="4536"/>
        <w:tab w:val="right" w:pos="9072"/>
      </w:tabs>
    </w:pPr>
  </w:style>
  <w:style w:type="character" w:customStyle="1" w:styleId="StopkaZnak">
    <w:name w:val="Stopka Znak"/>
    <w:basedOn w:val="Domylnaczcionkaakapitu"/>
    <w:link w:val="Stopka"/>
    <w:uiPriority w:val="99"/>
    <w:rsid w:val="0005410E"/>
    <w:rPr>
      <w:rFonts w:ascii="Times New Roman" w:eastAsia="Times New Roman" w:hAnsi="Times New Roman" w:cs="Times New Roman"/>
      <w:sz w:val="24"/>
      <w:lang w:eastAsia="pl-PL"/>
    </w:rPr>
  </w:style>
  <w:style w:type="paragraph" w:styleId="Tekstdymka">
    <w:name w:val="Balloon Text"/>
    <w:basedOn w:val="Normalny"/>
    <w:link w:val="TekstdymkaZnak"/>
    <w:semiHidden/>
    <w:unhideWhenUsed/>
    <w:rsid w:val="00054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05410E"/>
    <w:rPr>
      <w:rFonts w:ascii="Tahoma" w:eastAsia="Times New Roman" w:hAnsi="Tahoma" w:cs="Tahoma"/>
      <w:sz w:val="16"/>
      <w:szCs w:val="16"/>
      <w:lang w:eastAsia="pl-PL"/>
    </w:rPr>
  </w:style>
  <w:style w:type="table" w:styleId="Tabela-Siatka">
    <w:name w:val="Table Grid"/>
    <w:basedOn w:val="Standardowy"/>
    <w:rsid w:val="0005410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Fußno"/>
    <w:basedOn w:val="Normalny"/>
    <w:link w:val="TekstprzypisudolnegoZnak"/>
    <w:uiPriority w:val="99"/>
    <w:unhideWhenUsed/>
    <w:qFormat/>
    <w:rsid w:val="0005410E"/>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Fußno Znak"/>
    <w:basedOn w:val="Domylnaczcionkaakapitu"/>
    <w:link w:val="Tekstprzypisudolnego"/>
    <w:uiPriority w:val="99"/>
    <w:rsid w:val="0005410E"/>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symbol,Footnote reference number,note TESI,SUPERS,EN Footnote Reference,Odwołanie przypisu,Footnote number,Ref,de nota al pie,Odwo3anie przypisu,Times 10 Point,Exposant 3 Point,number,16 Poi"/>
    <w:basedOn w:val="Domylnaczcionkaakapitu"/>
    <w:uiPriority w:val="99"/>
    <w:unhideWhenUsed/>
    <w:rsid w:val="0005410E"/>
    <w:rPr>
      <w:vertAlign w:val="superscript"/>
    </w:rPr>
  </w:style>
  <w:style w:type="paragraph" w:styleId="Tekstkomentarza">
    <w:name w:val="annotation text"/>
    <w:basedOn w:val="Normalny"/>
    <w:link w:val="TekstkomentarzaZnak"/>
    <w:uiPriority w:val="99"/>
    <w:rsid w:val="0005410E"/>
    <w:pPr>
      <w:spacing w:after="0" w:line="240" w:lineRule="auto"/>
    </w:pPr>
    <w:rPr>
      <w:sz w:val="20"/>
      <w:szCs w:val="20"/>
    </w:rPr>
  </w:style>
  <w:style w:type="character" w:customStyle="1" w:styleId="TekstkomentarzaZnak">
    <w:name w:val="Tekst komentarza Znak"/>
    <w:basedOn w:val="Domylnaczcionkaakapitu"/>
    <w:link w:val="Tekstkomentarza"/>
    <w:uiPriority w:val="99"/>
    <w:rsid w:val="0005410E"/>
    <w:rPr>
      <w:rFonts w:ascii="Times New Roman" w:eastAsia="Times New Roman" w:hAnsi="Times New Roman" w:cs="Times New Roman"/>
      <w:sz w:val="20"/>
      <w:szCs w:val="20"/>
      <w:lang w:eastAsia="pl-PL"/>
    </w:rPr>
  </w:style>
  <w:style w:type="paragraph" w:styleId="NormalnyWeb">
    <w:name w:val="Normal (Web)"/>
    <w:basedOn w:val="Normalny"/>
    <w:uiPriority w:val="99"/>
    <w:unhideWhenUsed/>
    <w:rsid w:val="0005410E"/>
    <w:rPr>
      <w:szCs w:val="24"/>
    </w:rPr>
  </w:style>
  <w:style w:type="paragraph" w:customStyle="1" w:styleId="ZnakZnakZnak1">
    <w:name w:val="Znak Znak Znak1"/>
    <w:basedOn w:val="Normalny"/>
    <w:rsid w:val="0005410E"/>
    <w:pPr>
      <w:spacing w:after="0" w:line="240" w:lineRule="auto"/>
    </w:pPr>
    <w:rPr>
      <w:szCs w:val="24"/>
    </w:rPr>
  </w:style>
  <w:style w:type="paragraph" w:styleId="Tekstprzypisukocowego">
    <w:name w:val="endnote text"/>
    <w:basedOn w:val="Normalny"/>
    <w:link w:val="TekstprzypisukocowegoZnak"/>
    <w:rsid w:val="0005410E"/>
    <w:rPr>
      <w:sz w:val="20"/>
      <w:szCs w:val="20"/>
    </w:rPr>
  </w:style>
  <w:style w:type="character" w:customStyle="1" w:styleId="TekstprzypisukocowegoZnak">
    <w:name w:val="Tekst przypisu końcowego Znak"/>
    <w:basedOn w:val="Domylnaczcionkaakapitu"/>
    <w:link w:val="Tekstprzypisukocowego"/>
    <w:rsid w:val="0005410E"/>
    <w:rPr>
      <w:rFonts w:ascii="Times New Roman" w:eastAsia="Times New Roman" w:hAnsi="Times New Roman" w:cs="Times New Roman"/>
      <w:sz w:val="20"/>
      <w:szCs w:val="20"/>
      <w:lang w:eastAsia="pl-PL"/>
    </w:rPr>
  </w:style>
  <w:style w:type="character" w:styleId="Odwoanieprzypisukocowego">
    <w:name w:val="endnote reference"/>
    <w:basedOn w:val="Domylnaczcionkaakapitu"/>
    <w:rsid w:val="0005410E"/>
    <w:rPr>
      <w:vertAlign w:val="superscript"/>
    </w:rPr>
  </w:style>
  <w:style w:type="character" w:styleId="Odwoaniedokomentarza">
    <w:name w:val="annotation reference"/>
    <w:basedOn w:val="Domylnaczcionkaakapitu"/>
    <w:uiPriority w:val="99"/>
    <w:semiHidden/>
    <w:rsid w:val="0005410E"/>
    <w:rPr>
      <w:sz w:val="16"/>
      <w:szCs w:val="16"/>
    </w:rPr>
  </w:style>
  <w:style w:type="paragraph" w:styleId="Tematkomentarza">
    <w:name w:val="annotation subject"/>
    <w:basedOn w:val="Tekstkomentarza"/>
    <w:next w:val="Tekstkomentarza"/>
    <w:link w:val="TematkomentarzaZnak"/>
    <w:semiHidden/>
    <w:rsid w:val="0005410E"/>
    <w:pPr>
      <w:spacing w:after="200" w:line="276" w:lineRule="auto"/>
    </w:pPr>
    <w:rPr>
      <w:rFonts w:ascii="Calibri" w:hAnsi="Calibri"/>
      <w:b/>
      <w:bCs/>
    </w:rPr>
  </w:style>
  <w:style w:type="character" w:customStyle="1" w:styleId="TematkomentarzaZnak">
    <w:name w:val="Temat komentarza Znak"/>
    <w:basedOn w:val="TekstkomentarzaZnak"/>
    <w:link w:val="Tematkomentarza"/>
    <w:semiHidden/>
    <w:rsid w:val="0005410E"/>
    <w:rPr>
      <w:rFonts w:ascii="Calibri" w:eastAsia="Times New Roman" w:hAnsi="Calibri" w:cs="Times New Roman"/>
      <w:b/>
      <w:bCs/>
      <w:sz w:val="20"/>
      <w:szCs w:val="20"/>
      <w:lang w:eastAsia="pl-PL"/>
    </w:rPr>
  </w:style>
  <w:style w:type="paragraph" w:customStyle="1" w:styleId="zajawka">
    <w:name w:val="zajawka"/>
    <w:basedOn w:val="Normalny"/>
    <w:rsid w:val="0005410E"/>
    <w:pPr>
      <w:spacing w:before="100" w:beforeAutospacing="1" w:after="100" w:afterAutospacing="1" w:line="240" w:lineRule="auto"/>
    </w:pPr>
    <w:rPr>
      <w:szCs w:val="24"/>
    </w:rPr>
  </w:style>
  <w:style w:type="numbering" w:styleId="111111">
    <w:name w:val="Outline List 2"/>
    <w:basedOn w:val="Bezlisty"/>
    <w:rsid w:val="0005410E"/>
    <w:pPr>
      <w:numPr>
        <w:numId w:val="1"/>
      </w:numPr>
    </w:pPr>
  </w:style>
  <w:style w:type="paragraph" w:customStyle="1" w:styleId="tresc">
    <w:name w:val="tresc"/>
    <w:basedOn w:val="Normalny"/>
    <w:rsid w:val="0005410E"/>
    <w:pPr>
      <w:spacing w:before="100" w:beforeAutospacing="1" w:after="100" w:afterAutospacing="1" w:line="240" w:lineRule="auto"/>
    </w:pPr>
    <w:rPr>
      <w:szCs w:val="24"/>
    </w:rPr>
  </w:style>
  <w:style w:type="paragraph" w:styleId="Bezodstpw">
    <w:name w:val="No Spacing"/>
    <w:link w:val="BezodstpwZnak"/>
    <w:uiPriority w:val="1"/>
    <w:qFormat/>
    <w:rsid w:val="0005410E"/>
    <w:rPr>
      <w:sz w:val="22"/>
      <w:szCs w:val="22"/>
      <w:lang w:eastAsia="en-US"/>
    </w:rPr>
  </w:style>
  <w:style w:type="paragraph" w:styleId="Listapunktowana">
    <w:name w:val="List Bullet"/>
    <w:basedOn w:val="Normalny"/>
    <w:link w:val="ListapunktowanaZnak"/>
    <w:rsid w:val="0005410E"/>
    <w:pPr>
      <w:numPr>
        <w:ilvl w:val="1"/>
        <w:numId w:val="2"/>
      </w:numPr>
    </w:pPr>
  </w:style>
  <w:style w:type="character" w:styleId="Numerstrony">
    <w:name w:val="page number"/>
    <w:basedOn w:val="Domylnaczcionkaakapitu"/>
    <w:rsid w:val="0005410E"/>
  </w:style>
  <w:style w:type="paragraph" w:customStyle="1" w:styleId="Nagwek11">
    <w:name w:val="Nagłówek 11"/>
    <w:next w:val="Normalny"/>
    <w:rsid w:val="0005410E"/>
    <w:pPr>
      <w:widowControl w:val="0"/>
      <w:suppressAutoHyphens/>
      <w:autoSpaceDE w:val="0"/>
    </w:pPr>
    <w:rPr>
      <w:rFonts w:ascii="Times New Roman" w:eastAsia="Lucida Sans Unicode" w:hAnsi="Times New Roman"/>
      <w:sz w:val="24"/>
      <w:szCs w:val="24"/>
    </w:rPr>
  </w:style>
  <w:style w:type="character" w:customStyle="1" w:styleId="Znakiprzypiswdolnych">
    <w:name w:val="Znaki przypisów dolnych"/>
    <w:rsid w:val="0005410E"/>
    <w:rPr>
      <w:vertAlign w:val="superscript"/>
    </w:rPr>
  </w:style>
  <w:style w:type="character" w:styleId="Pogrubienie">
    <w:name w:val="Strong"/>
    <w:uiPriority w:val="22"/>
    <w:qFormat/>
    <w:rsid w:val="0005410E"/>
    <w:rPr>
      <w:b/>
      <w:bCs/>
    </w:rPr>
  </w:style>
  <w:style w:type="paragraph" w:styleId="Tekstpodstawowy2">
    <w:name w:val="Body Text 2"/>
    <w:basedOn w:val="Normalny"/>
    <w:link w:val="Tekstpodstawowy2Znak"/>
    <w:rsid w:val="0005410E"/>
    <w:pPr>
      <w:spacing w:after="0" w:line="240" w:lineRule="auto"/>
    </w:pPr>
    <w:rPr>
      <w:noProof/>
      <w:szCs w:val="20"/>
    </w:rPr>
  </w:style>
  <w:style w:type="character" w:customStyle="1" w:styleId="Tekstpodstawowy2Znak">
    <w:name w:val="Tekst podstawowy 2 Znak"/>
    <w:basedOn w:val="Domylnaczcionkaakapitu"/>
    <w:link w:val="Tekstpodstawowy2"/>
    <w:rsid w:val="0005410E"/>
    <w:rPr>
      <w:rFonts w:ascii="Times New Roman" w:eastAsia="Times New Roman" w:hAnsi="Times New Roman" w:cs="Times New Roman"/>
      <w:noProof/>
      <w:sz w:val="24"/>
      <w:szCs w:val="20"/>
      <w:lang w:eastAsia="pl-PL"/>
    </w:rPr>
  </w:style>
  <w:style w:type="paragraph" w:customStyle="1" w:styleId="Default">
    <w:name w:val="Default"/>
    <w:link w:val="DefaultZnak"/>
    <w:rsid w:val="0005410E"/>
    <w:pPr>
      <w:autoSpaceDE w:val="0"/>
      <w:autoSpaceDN w:val="0"/>
      <w:adjustRightInd w:val="0"/>
    </w:pPr>
    <w:rPr>
      <w:rFonts w:ascii="Times New Roman" w:eastAsia="Times New Roman" w:hAnsi="Times New Roman"/>
      <w:color w:val="000000"/>
      <w:sz w:val="24"/>
      <w:szCs w:val="24"/>
    </w:rPr>
  </w:style>
  <w:style w:type="paragraph" w:customStyle="1" w:styleId="tekstZPORR">
    <w:name w:val="tekst ZPORR"/>
    <w:basedOn w:val="Normalny"/>
    <w:rsid w:val="0005410E"/>
    <w:pPr>
      <w:suppressAutoHyphens/>
      <w:spacing w:after="120" w:line="240" w:lineRule="auto"/>
      <w:ind w:firstLine="567"/>
      <w:jc w:val="both"/>
    </w:pPr>
    <w:rPr>
      <w:szCs w:val="20"/>
      <w:lang w:eastAsia="ar-SA"/>
    </w:rPr>
  </w:style>
  <w:style w:type="paragraph" w:customStyle="1" w:styleId="ZnakZnakZnak18">
    <w:name w:val="Znak Znak Znak18"/>
    <w:basedOn w:val="Normalny"/>
    <w:rsid w:val="0005410E"/>
    <w:pPr>
      <w:spacing w:after="0" w:line="240" w:lineRule="auto"/>
    </w:pPr>
    <w:rPr>
      <w:szCs w:val="24"/>
    </w:rPr>
  </w:style>
  <w:style w:type="paragraph" w:styleId="Akapitzlist">
    <w:name w:val="List Paragraph"/>
    <w:basedOn w:val="Normalny"/>
    <w:link w:val="AkapitzlistZnak"/>
    <w:uiPriority w:val="34"/>
    <w:qFormat/>
    <w:rsid w:val="0005410E"/>
    <w:pPr>
      <w:ind w:left="720"/>
      <w:contextualSpacing/>
    </w:pPr>
  </w:style>
  <w:style w:type="paragraph" w:customStyle="1" w:styleId="Tekstpodstawowy21">
    <w:name w:val="Tekst podstawowy 21"/>
    <w:basedOn w:val="Normalny"/>
    <w:rsid w:val="0005410E"/>
    <w:pPr>
      <w:spacing w:after="0" w:line="240" w:lineRule="auto"/>
    </w:pPr>
    <w:rPr>
      <w:sz w:val="28"/>
      <w:szCs w:val="20"/>
    </w:rPr>
  </w:style>
  <w:style w:type="paragraph" w:customStyle="1" w:styleId="ZnakZnakZnak17">
    <w:name w:val="Znak Znak Znak17"/>
    <w:basedOn w:val="Normalny"/>
    <w:rsid w:val="0005410E"/>
    <w:pPr>
      <w:spacing w:after="0" w:line="240" w:lineRule="auto"/>
    </w:pPr>
    <w:rPr>
      <w:szCs w:val="24"/>
    </w:rPr>
  </w:style>
  <w:style w:type="paragraph" w:customStyle="1" w:styleId="ListNumberLevel2">
    <w:name w:val="List Number (Level 2)"/>
    <w:basedOn w:val="Normalny"/>
    <w:rsid w:val="0005410E"/>
    <w:pPr>
      <w:spacing w:after="240" w:line="240" w:lineRule="auto"/>
      <w:jc w:val="both"/>
    </w:pPr>
    <w:rPr>
      <w:szCs w:val="20"/>
      <w:lang w:val="en-GB" w:eastAsia="en-US"/>
    </w:rPr>
  </w:style>
  <w:style w:type="paragraph" w:styleId="Tekstpodstawowy">
    <w:name w:val="Body Text"/>
    <w:basedOn w:val="Normalny"/>
    <w:link w:val="TekstpodstawowyZnak"/>
    <w:rsid w:val="0005410E"/>
    <w:pPr>
      <w:spacing w:after="120" w:line="240" w:lineRule="auto"/>
    </w:pPr>
    <w:rPr>
      <w:sz w:val="20"/>
      <w:szCs w:val="20"/>
    </w:rPr>
  </w:style>
  <w:style w:type="character" w:customStyle="1" w:styleId="TekstpodstawowyZnak">
    <w:name w:val="Tekst podstawowy Znak"/>
    <w:basedOn w:val="Domylnaczcionkaakapitu"/>
    <w:link w:val="Tekstpodstawowy"/>
    <w:rsid w:val="0005410E"/>
    <w:rPr>
      <w:rFonts w:ascii="Times New Roman" w:eastAsia="Times New Roman" w:hAnsi="Times New Roman" w:cs="Times New Roman"/>
      <w:sz w:val="20"/>
      <w:szCs w:val="20"/>
      <w:lang w:eastAsia="pl-PL"/>
    </w:rPr>
  </w:style>
  <w:style w:type="paragraph" w:customStyle="1" w:styleId="ZnakZnakZnak16">
    <w:name w:val="Znak Znak Znak16"/>
    <w:basedOn w:val="Normalny"/>
    <w:rsid w:val="0005410E"/>
    <w:pPr>
      <w:spacing w:after="0" w:line="240" w:lineRule="auto"/>
    </w:pPr>
    <w:rPr>
      <w:szCs w:val="24"/>
    </w:rPr>
  </w:style>
  <w:style w:type="paragraph" w:styleId="Listapunktowana2">
    <w:name w:val="List Bullet 2"/>
    <w:basedOn w:val="Normalny"/>
    <w:autoRedefine/>
    <w:rsid w:val="0005410E"/>
    <w:pPr>
      <w:numPr>
        <w:ilvl w:val="1"/>
        <w:numId w:val="3"/>
      </w:numPr>
      <w:spacing w:before="240" w:after="120" w:line="240" w:lineRule="auto"/>
      <w:ind w:left="283" w:hanging="357"/>
    </w:pPr>
    <w:rPr>
      <w:b/>
      <w:szCs w:val="24"/>
      <w:lang w:eastAsia="ko-KR"/>
    </w:rPr>
  </w:style>
  <w:style w:type="paragraph" w:styleId="Podtytu">
    <w:name w:val="Subtitle"/>
    <w:basedOn w:val="Normalny"/>
    <w:link w:val="PodtytuZnak"/>
    <w:qFormat/>
    <w:rsid w:val="0005410E"/>
    <w:pPr>
      <w:spacing w:after="0" w:line="240" w:lineRule="auto"/>
      <w:jc w:val="center"/>
    </w:pPr>
    <w:rPr>
      <w:b/>
      <w:bCs/>
      <w:sz w:val="28"/>
      <w:szCs w:val="24"/>
    </w:rPr>
  </w:style>
  <w:style w:type="character" w:customStyle="1" w:styleId="PodtytuZnak">
    <w:name w:val="Podtytuł Znak"/>
    <w:basedOn w:val="Domylnaczcionkaakapitu"/>
    <w:link w:val="Podtytu"/>
    <w:rsid w:val="0005410E"/>
    <w:rPr>
      <w:rFonts w:ascii="Times New Roman" w:eastAsia="Times New Roman" w:hAnsi="Times New Roman" w:cs="Times New Roman"/>
      <w:b/>
      <w:bCs/>
      <w:sz w:val="28"/>
      <w:szCs w:val="24"/>
      <w:lang w:eastAsia="pl-PL"/>
    </w:rPr>
  </w:style>
  <w:style w:type="paragraph" w:styleId="Zwykytekst">
    <w:name w:val="Plain Text"/>
    <w:basedOn w:val="Normalny"/>
    <w:link w:val="ZwykytekstZnak"/>
    <w:uiPriority w:val="99"/>
    <w:rsid w:val="0005410E"/>
    <w:pPr>
      <w:spacing w:after="0" w:line="240" w:lineRule="auto"/>
    </w:pPr>
    <w:rPr>
      <w:rFonts w:ascii="Courier New" w:hAnsi="Courier New"/>
      <w:sz w:val="20"/>
      <w:szCs w:val="20"/>
    </w:rPr>
  </w:style>
  <w:style w:type="character" w:customStyle="1" w:styleId="ZwykytekstZnak">
    <w:name w:val="Zwykły tekst Znak"/>
    <w:basedOn w:val="Domylnaczcionkaakapitu"/>
    <w:link w:val="Zwykytekst"/>
    <w:uiPriority w:val="99"/>
    <w:rsid w:val="0005410E"/>
    <w:rPr>
      <w:rFonts w:ascii="Courier New" w:eastAsia="Times New Roman" w:hAnsi="Courier New" w:cs="Times New Roman"/>
      <w:sz w:val="20"/>
      <w:szCs w:val="20"/>
      <w:lang w:eastAsia="pl-PL"/>
    </w:rPr>
  </w:style>
  <w:style w:type="character" w:customStyle="1" w:styleId="ListapunktowanaZnak">
    <w:name w:val="Lista punktowana Znak"/>
    <w:basedOn w:val="Domylnaczcionkaakapitu"/>
    <w:link w:val="Listapunktowana"/>
    <w:rsid w:val="0005410E"/>
    <w:rPr>
      <w:rFonts w:ascii="Times New Roman" w:eastAsia="Times New Roman" w:hAnsi="Times New Roman"/>
      <w:sz w:val="24"/>
      <w:szCs w:val="22"/>
    </w:rPr>
  </w:style>
  <w:style w:type="paragraph" w:customStyle="1" w:styleId="ZnakZnakZnak15">
    <w:name w:val="Znak Znak Znak15"/>
    <w:basedOn w:val="Normalny"/>
    <w:rsid w:val="0005410E"/>
    <w:pPr>
      <w:spacing w:after="0" w:line="240" w:lineRule="auto"/>
    </w:pPr>
    <w:rPr>
      <w:szCs w:val="24"/>
    </w:rPr>
  </w:style>
  <w:style w:type="paragraph" w:customStyle="1" w:styleId="ZnakZnakZnak14">
    <w:name w:val="Znak Znak Znak14"/>
    <w:basedOn w:val="Normalny"/>
    <w:rsid w:val="0005410E"/>
    <w:pPr>
      <w:spacing w:after="0" w:line="240" w:lineRule="auto"/>
    </w:pPr>
    <w:rPr>
      <w:szCs w:val="24"/>
    </w:rPr>
  </w:style>
  <w:style w:type="paragraph" w:styleId="Nagwekspisutreci">
    <w:name w:val="TOC Heading"/>
    <w:basedOn w:val="Nagwek1"/>
    <w:next w:val="Normalny"/>
    <w:uiPriority w:val="39"/>
    <w:unhideWhenUsed/>
    <w:qFormat/>
    <w:rsid w:val="0005410E"/>
    <w:pPr>
      <w:outlineLvl w:val="9"/>
    </w:pPr>
    <w:rPr>
      <w:lang w:eastAsia="en-US"/>
    </w:rPr>
  </w:style>
  <w:style w:type="paragraph" w:styleId="Spistreci1">
    <w:name w:val="toc 1"/>
    <w:basedOn w:val="Normalny"/>
    <w:next w:val="Normalny"/>
    <w:autoRedefine/>
    <w:uiPriority w:val="39"/>
    <w:qFormat/>
    <w:rsid w:val="00DA56FE"/>
    <w:pPr>
      <w:tabs>
        <w:tab w:val="right" w:leader="underscore" w:pos="9062"/>
      </w:tabs>
      <w:spacing w:before="120" w:after="0"/>
      <w:jc w:val="both"/>
    </w:pPr>
    <w:rPr>
      <w:rFonts w:asciiTheme="minorHAnsi" w:hAnsiTheme="minorHAnsi"/>
      <w:b/>
      <w:bCs/>
      <w:i/>
      <w:iCs/>
      <w:szCs w:val="24"/>
    </w:rPr>
  </w:style>
  <w:style w:type="character" w:styleId="Hipercze">
    <w:name w:val="Hyperlink"/>
    <w:basedOn w:val="Domylnaczcionkaakapitu"/>
    <w:uiPriority w:val="99"/>
    <w:unhideWhenUsed/>
    <w:rsid w:val="0005410E"/>
    <w:rPr>
      <w:color w:val="0000FF"/>
      <w:u w:val="single"/>
    </w:rPr>
  </w:style>
  <w:style w:type="paragraph" w:styleId="Spistreci2">
    <w:name w:val="toc 2"/>
    <w:basedOn w:val="Normalny"/>
    <w:next w:val="Normalny"/>
    <w:autoRedefine/>
    <w:uiPriority w:val="39"/>
    <w:qFormat/>
    <w:rsid w:val="0005410E"/>
    <w:pPr>
      <w:spacing w:before="120" w:after="0"/>
      <w:ind w:left="240"/>
    </w:pPr>
    <w:rPr>
      <w:rFonts w:asciiTheme="minorHAnsi" w:hAnsiTheme="minorHAnsi"/>
      <w:b/>
      <w:bCs/>
      <w:sz w:val="22"/>
    </w:rPr>
  </w:style>
  <w:style w:type="paragraph" w:styleId="Spistreci3">
    <w:name w:val="toc 3"/>
    <w:basedOn w:val="Normalny"/>
    <w:next w:val="Normalny"/>
    <w:autoRedefine/>
    <w:uiPriority w:val="39"/>
    <w:qFormat/>
    <w:rsid w:val="0005410E"/>
    <w:pPr>
      <w:spacing w:after="0"/>
      <w:ind w:left="480"/>
    </w:pPr>
    <w:rPr>
      <w:rFonts w:asciiTheme="minorHAnsi" w:hAnsiTheme="minorHAnsi"/>
      <w:sz w:val="20"/>
      <w:szCs w:val="20"/>
    </w:rPr>
  </w:style>
  <w:style w:type="paragraph" w:styleId="Spistreci4">
    <w:name w:val="toc 4"/>
    <w:basedOn w:val="Normalny"/>
    <w:next w:val="Normalny"/>
    <w:autoRedefine/>
    <w:uiPriority w:val="39"/>
    <w:rsid w:val="0005410E"/>
    <w:pPr>
      <w:spacing w:after="0"/>
      <w:ind w:left="720"/>
    </w:pPr>
    <w:rPr>
      <w:rFonts w:asciiTheme="minorHAnsi" w:hAnsiTheme="minorHAnsi"/>
      <w:sz w:val="20"/>
      <w:szCs w:val="20"/>
    </w:rPr>
  </w:style>
  <w:style w:type="paragraph" w:styleId="Spistreci5">
    <w:name w:val="toc 5"/>
    <w:basedOn w:val="Normalny"/>
    <w:next w:val="Normalny"/>
    <w:autoRedefine/>
    <w:uiPriority w:val="39"/>
    <w:rsid w:val="0005410E"/>
    <w:pPr>
      <w:spacing w:after="0"/>
      <w:ind w:left="960"/>
    </w:pPr>
    <w:rPr>
      <w:rFonts w:asciiTheme="minorHAnsi" w:hAnsiTheme="minorHAnsi"/>
      <w:sz w:val="20"/>
      <w:szCs w:val="20"/>
    </w:rPr>
  </w:style>
  <w:style w:type="paragraph" w:styleId="Spistreci6">
    <w:name w:val="toc 6"/>
    <w:basedOn w:val="Normalny"/>
    <w:next w:val="Normalny"/>
    <w:autoRedefine/>
    <w:uiPriority w:val="39"/>
    <w:rsid w:val="0005410E"/>
    <w:pPr>
      <w:spacing w:after="0"/>
      <w:ind w:left="1200"/>
    </w:pPr>
    <w:rPr>
      <w:rFonts w:asciiTheme="minorHAnsi" w:hAnsiTheme="minorHAnsi"/>
      <w:sz w:val="20"/>
      <w:szCs w:val="20"/>
    </w:rPr>
  </w:style>
  <w:style w:type="paragraph" w:styleId="Spistreci7">
    <w:name w:val="toc 7"/>
    <w:basedOn w:val="Normalny"/>
    <w:next w:val="Normalny"/>
    <w:autoRedefine/>
    <w:uiPriority w:val="39"/>
    <w:rsid w:val="0005410E"/>
    <w:pPr>
      <w:spacing w:after="0"/>
      <w:ind w:left="1440"/>
    </w:pPr>
    <w:rPr>
      <w:rFonts w:asciiTheme="minorHAnsi" w:hAnsiTheme="minorHAnsi"/>
      <w:sz w:val="20"/>
      <w:szCs w:val="20"/>
    </w:rPr>
  </w:style>
  <w:style w:type="paragraph" w:styleId="Spistreci8">
    <w:name w:val="toc 8"/>
    <w:basedOn w:val="Normalny"/>
    <w:next w:val="Normalny"/>
    <w:autoRedefine/>
    <w:uiPriority w:val="39"/>
    <w:rsid w:val="0005410E"/>
    <w:pPr>
      <w:spacing w:after="0"/>
      <w:ind w:left="1680"/>
    </w:pPr>
    <w:rPr>
      <w:rFonts w:asciiTheme="minorHAnsi" w:hAnsiTheme="minorHAnsi"/>
      <w:sz w:val="20"/>
      <w:szCs w:val="20"/>
    </w:rPr>
  </w:style>
  <w:style w:type="paragraph" w:styleId="Spistreci9">
    <w:name w:val="toc 9"/>
    <w:basedOn w:val="Normalny"/>
    <w:next w:val="Normalny"/>
    <w:autoRedefine/>
    <w:uiPriority w:val="39"/>
    <w:rsid w:val="0005410E"/>
    <w:pPr>
      <w:spacing w:after="0"/>
      <w:ind w:left="1920"/>
    </w:pPr>
    <w:rPr>
      <w:rFonts w:asciiTheme="minorHAnsi" w:hAnsiTheme="minorHAnsi"/>
      <w:sz w:val="20"/>
      <w:szCs w:val="20"/>
    </w:rPr>
  </w:style>
  <w:style w:type="paragraph" w:customStyle="1" w:styleId="ZnakZnakZnak13">
    <w:name w:val="Znak Znak Znak13"/>
    <w:basedOn w:val="Normalny"/>
    <w:rsid w:val="0005410E"/>
    <w:pPr>
      <w:spacing w:after="0" w:line="240" w:lineRule="auto"/>
    </w:pPr>
    <w:rPr>
      <w:szCs w:val="24"/>
    </w:rPr>
  </w:style>
  <w:style w:type="paragraph" w:styleId="Legenda">
    <w:name w:val="caption"/>
    <w:aliases w:val="Podpis pod rysunkiem,Nagłówek Tabeli,Nag3ówek Tabeli,Tabela nr,Legenda Znak Znak Znak,Legenda Znak Znak Znak Znak,Legenda Znak Znak Znak Znak Znak Znak,Legenda Znak Znak Znak Znak Znak Znak Znak,Legenda Znak Znak Z"/>
    <w:basedOn w:val="Normalny"/>
    <w:next w:val="Normalny"/>
    <w:link w:val="LegendaZnak"/>
    <w:uiPriority w:val="35"/>
    <w:unhideWhenUsed/>
    <w:qFormat/>
    <w:rsid w:val="0005410E"/>
    <w:pPr>
      <w:spacing w:line="240" w:lineRule="auto"/>
    </w:pPr>
    <w:rPr>
      <w:b/>
      <w:bCs/>
      <w:color w:val="4F81BD"/>
      <w:sz w:val="18"/>
      <w:szCs w:val="18"/>
    </w:rPr>
  </w:style>
  <w:style w:type="paragraph" w:styleId="Spisilustracji">
    <w:name w:val="table of figures"/>
    <w:basedOn w:val="Normalny"/>
    <w:next w:val="Normalny"/>
    <w:uiPriority w:val="99"/>
    <w:rsid w:val="0005410E"/>
    <w:pPr>
      <w:spacing w:after="0"/>
    </w:pPr>
    <w:rPr>
      <w:rFonts w:asciiTheme="minorHAnsi" w:hAnsiTheme="minorHAnsi"/>
      <w:i/>
      <w:iCs/>
      <w:sz w:val="20"/>
      <w:szCs w:val="20"/>
    </w:rPr>
  </w:style>
  <w:style w:type="character" w:customStyle="1" w:styleId="tekst">
    <w:name w:val="tekst"/>
    <w:basedOn w:val="Domylnaczcionkaakapitu"/>
    <w:rsid w:val="0005410E"/>
  </w:style>
  <w:style w:type="table" w:styleId="Tabela-Elegancki">
    <w:name w:val="Table Elegant"/>
    <w:basedOn w:val="Standardowy"/>
    <w:rsid w:val="0005410E"/>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Efekty3W3">
    <w:name w:val="Table 3D effects 3"/>
    <w:basedOn w:val="Standardowy"/>
    <w:rsid w:val="0005410E"/>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2">
    <w:name w:val="Table 3D effects 2"/>
    <w:basedOn w:val="Standardowy"/>
    <w:rsid w:val="0005410E"/>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W1">
    <w:name w:val="Table 3D effects 1"/>
    <w:basedOn w:val="Standardowy"/>
    <w:rsid w:val="0005410E"/>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Delikatny2">
    <w:name w:val="Table Subtle 2"/>
    <w:basedOn w:val="Standardowy"/>
    <w:rsid w:val="0005410E"/>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1">
    <w:name w:val="Table Subtle 1"/>
    <w:basedOn w:val="Standardowy"/>
    <w:rsid w:val="0005410E"/>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4">
    <w:name w:val="Table Classic 4"/>
    <w:basedOn w:val="Standardowy"/>
    <w:rsid w:val="0005410E"/>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olorowasiatkaakcent3">
    <w:name w:val="Colorful Grid Accent 3"/>
    <w:basedOn w:val="Standardowy"/>
    <w:uiPriority w:val="73"/>
    <w:rsid w:val="0005410E"/>
    <w:rPr>
      <w:rFonts w:ascii="Times New Roman" w:eastAsia="Times New Roman" w:hAnsi="Times New Roman"/>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Kolorowecieniowanieakcent3">
    <w:name w:val="Colorful Shading Accent 3"/>
    <w:basedOn w:val="Standardowy"/>
    <w:uiPriority w:val="71"/>
    <w:rsid w:val="0005410E"/>
    <w:rPr>
      <w:rFonts w:ascii="Times New Roman" w:eastAsia="Times New Roman" w:hAnsi="Times New Roman"/>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redniasiatka3akcent3">
    <w:name w:val="Medium Grid 3 Accent 3"/>
    <w:basedOn w:val="Standardowy"/>
    <w:uiPriority w:val="69"/>
    <w:rsid w:val="0005410E"/>
    <w:rPr>
      <w:rFonts w:ascii="Times New Roman" w:eastAsia="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Jasnasiatkaakcent3">
    <w:name w:val="Light Grid Accent 3"/>
    <w:basedOn w:val="Standardowy"/>
    <w:uiPriority w:val="62"/>
    <w:rsid w:val="0005410E"/>
    <w:rPr>
      <w:rFonts w:ascii="Times New Roman" w:eastAsia="Times New Roman" w:hAnsi="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ZnakZnakZnak12">
    <w:name w:val="Znak Znak Znak12"/>
    <w:basedOn w:val="Normalny"/>
    <w:rsid w:val="0005410E"/>
    <w:pPr>
      <w:spacing w:after="0" w:line="240" w:lineRule="auto"/>
    </w:pPr>
    <w:rPr>
      <w:szCs w:val="24"/>
    </w:rPr>
  </w:style>
  <w:style w:type="paragraph" w:customStyle="1" w:styleId="NSRO">
    <w:name w:val="NSRO"/>
    <w:basedOn w:val="Normalny"/>
    <w:rsid w:val="0005410E"/>
    <w:pPr>
      <w:spacing w:before="240" w:after="240" w:line="240" w:lineRule="auto"/>
      <w:jc w:val="both"/>
    </w:pPr>
    <w:rPr>
      <w:szCs w:val="20"/>
    </w:rPr>
  </w:style>
  <w:style w:type="paragraph" w:customStyle="1" w:styleId="ZnakZnak">
    <w:name w:val="Znak Znak"/>
    <w:basedOn w:val="Normalny"/>
    <w:rsid w:val="0005410E"/>
    <w:pPr>
      <w:spacing w:after="0" w:line="360" w:lineRule="auto"/>
      <w:jc w:val="both"/>
    </w:pPr>
    <w:rPr>
      <w:rFonts w:ascii="Verdana" w:hAnsi="Verdana"/>
      <w:sz w:val="20"/>
      <w:szCs w:val="20"/>
    </w:rPr>
  </w:style>
  <w:style w:type="paragraph" w:customStyle="1" w:styleId="Styl12ptWyjustowanyPrzed6ptPo6pt">
    <w:name w:val="Styl 12 pt Wyjustowany Przed:  6 pt Po:  6 pt"/>
    <w:basedOn w:val="Normalny"/>
    <w:rsid w:val="0005410E"/>
    <w:pPr>
      <w:spacing w:before="120" w:after="60" w:line="240" w:lineRule="auto"/>
      <w:jc w:val="both"/>
    </w:pPr>
    <w:rPr>
      <w:szCs w:val="20"/>
    </w:rPr>
  </w:style>
  <w:style w:type="paragraph" w:customStyle="1" w:styleId="Pa10">
    <w:name w:val="Pa10"/>
    <w:basedOn w:val="Normalny"/>
    <w:next w:val="Normalny"/>
    <w:rsid w:val="0005410E"/>
    <w:pPr>
      <w:autoSpaceDE w:val="0"/>
      <w:autoSpaceDN w:val="0"/>
      <w:adjustRightInd w:val="0"/>
      <w:spacing w:after="220" w:line="211" w:lineRule="atLeast"/>
    </w:pPr>
    <w:rPr>
      <w:szCs w:val="24"/>
    </w:rPr>
  </w:style>
  <w:style w:type="paragraph" w:customStyle="1" w:styleId="tekstPOKL">
    <w:name w:val="tekst_POKL"/>
    <w:basedOn w:val="Normalny"/>
    <w:link w:val="tekstPOKLZnak"/>
    <w:rsid w:val="0005410E"/>
    <w:pPr>
      <w:spacing w:after="120" w:line="240" w:lineRule="auto"/>
      <w:ind w:firstLine="709"/>
      <w:jc w:val="both"/>
    </w:pPr>
    <w:rPr>
      <w:iCs/>
      <w:spacing w:val="2"/>
      <w:sz w:val="22"/>
    </w:rPr>
  </w:style>
  <w:style w:type="character" w:customStyle="1" w:styleId="tekstPOKLZnak">
    <w:name w:val="tekst_POKL Znak"/>
    <w:basedOn w:val="Domylnaczcionkaakapitu"/>
    <w:link w:val="tekstPOKL"/>
    <w:rsid w:val="0005410E"/>
    <w:rPr>
      <w:rFonts w:ascii="Times New Roman" w:eastAsia="Times New Roman" w:hAnsi="Times New Roman" w:cs="Times New Roman"/>
      <w:iCs/>
      <w:spacing w:val="2"/>
      <w:lang w:eastAsia="pl-PL"/>
    </w:rPr>
  </w:style>
  <w:style w:type="character" w:styleId="UyteHipercze">
    <w:name w:val="FollowedHyperlink"/>
    <w:basedOn w:val="Domylnaczcionkaakapitu"/>
    <w:uiPriority w:val="99"/>
    <w:unhideWhenUsed/>
    <w:rsid w:val="0005410E"/>
    <w:rPr>
      <w:color w:val="800080"/>
      <w:u w:val="single"/>
    </w:rPr>
  </w:style>
  <w:style w:type="paragraph" w:customStyle="1" w:styleId="font5">
    <w:name w:val="font5"/>
    <w:basedOn w:val="Normalny"/>
    <w:rsid w:val="0005410E"/>
    <w:pPr>
      <w:spacing w:before="100" w:beforeAutospacing="1" w:after="100" w:afterAutospacing="1" w:line="240" w:lineRule="auto"/>
    </w:pPr>
    <w:rPr>
      <w:color w:val="000000"/>
      <w:sz w:val="20"/>
      <w:szCs w:val="20"/>
    </w:rPr>
  </w:style>
  <w:style w:type="paragraph" w:customStyle="1" w:styleId="font6">
    <w:name w:val="font6"/>
    <w:basedOn w:val="Normalny"/>
    <w:rsid w:val="0005410E"/>
    <w:pPr>
      <w:spacing w:before="100" w:beforeAutospacing="1" w:after="100" w:afterAutospacing="1" w:line="240" w:lineRule="auto"/>
    </w:pPr>
    <w:rPr>
      <w:color w:val="000000"/>
      <w:sz w:val="20"/>
      <w:szCs w:val="20"/>
    </w:rPr>
  </w:style>
  <w:style w:type="paragraph" w:customStyle="1" w:styleId="xl65">
    <w:name w:val="xl65"/>
    <w:basedOn w:val="Normalny"/>
    <w:rsid w:val="0005410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b/>
      <w:bCs/>
      <w:color w:val="000000"/>
      <w:sz w:val="20"/>
      <w:szCs w:val="20"/>
    </w:rPr>
  </w:style>
  <w:style w:type="paragraph" w:customStyle="1" w:styleId="xl66">
    <w:name w:val="xl66"/>
    <w:basedOn w:val="Normalny"/>
    <w:rsid w:val="000541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color w:val="000000"/>
      <w:sz w:val="20"/>
      <w:szCs w:val="20"/>
    </w:rPr>
  </w:style>
  <w:style w:type="paragraph" w:customStyle="1" w:styleId="xl67">
    <w:name w:val="xl67"/>
    <w:basedOn w:val="Normalny"/>
    <w:rsid w:val="000541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0000"/>
      <w:sz w:val="20"/>
      <w:szCs w:val="20"/>
    </w:rPr>
  </w:style>
  <w:style w:type="paragraph" w:customStyle="1" w:styleId="xl68">
    <w:name w:val="xl68"/>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0"/>
      <w:szCs w:val="20"/>
    </w:rPr>
  </w:style>
  <w:style w:type="paragraph" w:customStyle="1" w:styleId="xl69">
    <w:name w:val="xl69"/>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70">
    <w:name w:val="xl70"/>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0"/>
      <w:szCs w:val="20"/>
    </w:rPr>
  </w:style>
  <w:style w:type="paragraph" w:customStyle="1" w:styleId="xl71">
    <w:name w:val="xl71"/>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0"/>
      <w:szCs w:val="20"/>
    </w:rPr>
  </w:style>
  <w:style w:type="paragraph" w:customStyle="1" w:styleId="xl72">
    <w:name w:val="xl72"/>
    <w:basedOn w:val="Normalny"/>
    <w:rsid w:val="0005410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sz w:val="20"/>
      <w:szCs w:val="20"/>
    </w:rPr>
  </w:style>
  <w:style w:type="paragraph" w:customStyle="1" w:styleId="xl73">
    <w:name w:val="xl73"/>
    <w:basedOn w:val="Normalny"/>
    <w:rsid w:val="0005410E"/>
    <w:pPr>
      <w:pBdr>
        <w:top w:val="single" w:sz="4" w:space="0" w:color="auto"/>
        <w:bottom w:val="single" w:sz="4" w:space="0" w:color="auto"/>
        <w:right w:val="single" w:sz="4" w:space="0" w:color="auto"/>
      </w:pBdr>
      <w:spacing w:before="100" w:beforeAutospacing="1" w:after="100" w:afterAutospacing="1" w:line="240" w:lineRule="auto"/>
    </w:pPr>
    <w:rPr>
      <w:sz w:val="20"/>
      <w:szCs w:val="20"/>
    </w:rPr>
  </w:style>
  <w:style w:type="paragraph" w:customStyle="1" w:styleId="xl74">
    <w:name w:val="xl74"/>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color w:val="000000"/>
      <w:sz w:val="20"/>
      <w:szCs w:val="20"/>
    </w:rPr>
  </w:style>
  <w:style w:type="paragraph" w:customStyle="1" w:styleId="xl75">
    <w:name w:val="xl75"/>
    <w:basedOn w:val="Normalny"/>
    <w:rsid w:val="0005410E"/>
    <w:pPr>
      <w:pBdr>
        <w:top w:val="single" w:sz="4" w:space="0" w:color="auto"/>
        <w:left w:val="single" w:sz="4" w:space="0" w:color="auto"/>
        <w:bottom w:val="single" w:sz="4" w:space="0" w:color="auto"/>
        <w:right w:val="single" w:sz="4" w:space="0" w:color="auto"/>
      </w:pBdr>
      <w:shd w:val="clear" w:color="C0C0C0" w:fill="D7E4BC"/>
      <w:spacing w:before="100" w:beforeAutospacing="1" w:after="100" w:afterAutospacing="1" w:line="240" w:lineRule="auto"/>
      <w:jc w:val="center"/>
      <w:textAlignment w:val="center"/>
    </w:pPr>
    <w:rPr>
      <w:rFonts w:ascii="Arial" w:hAnsi="Arial" w:cs="Arial"/>
      <w:b/>
      <w:bCs/>
      <w:sz w:val="20"/>
      <w:szCs w:val="20"/>
    </w:rPr>
  </w:style>
  <w:style w:type="paragraph" w:customStyle="1" w:styleId="xl76">
    <w:name w:val="xl76"/>
    <w:basedOn w:val="Normalny"/>
    <w:rsid w:val="0005410E"/>
    <w:pPr>
      <w:pBdr>
        <w:top w:val="single" w:sz="4" w:space="0" w:color="auto"/>
        <w:left w:val="single" w:sz="4" w:space="0" w:color="auto"/>
        <w:bottom w:val="single" w:sz="4" w:space="0" w:color="auto"/>
        <w:right w:val="single" w:sz="4" w:space="0" w:color="auto"/>
      </w:pBdr>
      <w:shd w:val="clear" w:color="C0C0C0" w:fill="92D050"/>
      <w:spacing w:before="100" w:beforeAutospacing="1" w:after="100" w:afterAutospacing="1" w:line="240" w:lineRule="auto"/>
      <w:jc w:val="center"/>
      <w:textAlignment w:val="center"/>
    </w:pPr>
    <w:rPr>
      <w:rFonts w:ascii="Arial" w:hAnsi="Arial" w:cs="Arial"/>
      <w:b/>
      <w:bCs/>
      <w:sz w:val="20"/>
      <w:szCs w:val="20"/>
    </w:rPr>
  </w:style>
  <w:style w:type="paragraph" w:customStyle="1" w:styleId="xl77">
    <w:name w:val="xl77"/>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000000"/>
      <w:sz w:val="20"/>
      <w:szCs w:val="20"/>
    </w:rPr>
  </w:style>
  <w:style w:type="paragraph" w:customStyle="1" w:styleId="xl78">
    <w:name w:val="xl78"/>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sz w:val="20"/>
      <w:szCs w:val="20"/>
    </w:rPr>
  </w:style>
  <w:style w:type="paragraph" w:customStyle="1" w:styleId="xl79">
    <w:name w:val="xl79"/>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000000"/>
      <w:sz w:val="20"/>
      <w:szCs w:val="20"/>
    </w:rPr>
  </w:style>
  <w:style w:type="paragraph" w:customStyle="1" w:styleId="xl80">
    <w:name w:val="xl80"/>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sz w:val="20"/>
      <w:szCs w:val="20"/>
    </w:rPr>
  </w:style>
  <w:style w:type="paragraph" w:customStyle="1" w:styleId="xl81">
    <w:name w:val="xl81"/>
    <w:basedOn w:val="Normalny"/>
    <w:rsid w:val="0005410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color w:val="000000"/>
      <w:sz w:val="20"/>
      <w:szCs w:val="20"/>
    </w:rPr>
  </w:style>
  <w:style w:type="paragraph" w:customStyle="1" w:styleId="font7">
    <w:name w:val="font7"/>
    <w:basedOn w:val="Normalny"/>
    <w:rsid w:val="0005410E"/>
    <w:pPr>
      <w:spacing w:before="100" w:beforeAutospacing="1" w:after="100" w:afterAutospacing="1" w:line="240" w:lineRule="auto"/>
    </w:pPr>
    <w:rPr>
      <w:sz w:val="20"/>
      <w:szCs w:val="20"/>
    </w:rPr>
  </w:style>
  <w:style w:type="paragraph" w:customStyle="1" w:styleId="font8">
    <w:name w:val="font8"/>
    <w:basedOn w:val="Normalny"/>
    <w:rsid w:val="0005410E"/>
    <w:pPr>
      <w:spacing w:before="100" w:beforeAutospacing="1" w:after="100" w:afterAutospacing="1" w:line="240" w:lineRule="auto"/>
    </w:pPr>
    <w:rPr>
      <w:sz w:val="18"/>
      <w:szCs w:val="18"/>
    </w:rPr>
  </w:style>
  <w:style w:type="paragraph" w:customStyle="1" w:styleId="xl63">
    <w:name w:val="xl63"/>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0"/>
      <w:szCs w:val="20"/>
    </w:rPr>
  </w:style>
  <w:style w:type="paragraph" w:customStyle="1" w:styleId="xl64">
    <w:name w:val="xl64"/>
    <w:basedOn w:val="Normalny"/>
    <w:rsid w:val="0005410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0"/>
      <w:szCs w:val="20"/>
    </w:rPr>
  </w:style>
  <w:style w:type="paragraph" w:customStyle="1" w:styleId="ZnakZnakZnak11">
    <w:name w:val="Znak Znak Znak11"/>
    <w:basedOn w:val="Normalny"/>
    <w:rsid w:val="0005410E"/>
    <w:pPr>
      <w:spacing w:after="0" w:line="240" w:lineRule="auto"/>
    </w:pPr>
    <w:rPr>
      <w:szCs w:val="24"/>
    </w:rPr>
  </w:style>
  <w:style w:type="character" w:styleId="Uwydatnienie">
    <w:name w:val="Emphasis"/>
    <w:basedOn w:val="Domylnaczcionkaakapitu"/>
    <w:uiPriority w:val="20"/>
    <w:qFormat/>
    <w:rsid w:val="0005410E"/>
    <w:rPr>
      <w:i/>
      <w:iCs/>
    </w:rPr>
  </w:style>
  <w:style w:type="paragraph" w:styleId="Tekstpodstawowywcity">
    <w:name w:val="Body Text Indent"/>
    <w:basedOn w:val="Normalny"/>
    <w:link w:val="TekstpodstawowywcityZnak"/>
    <w:rsid w:val="0005410E"/>
    <w:pPr>
      <w:spacing w:after="120"/>
      <w:ind w:left="283"/>
    </w:pPr>
  </w:style>
  <w:style w:type="character" w:customStyle="1" w:styleId="TekstpodstawowywcityZnak">
    <w:name w:val="Tekst podstawowy wcięty Znak"/>
    <w:basedOn w:val="Domylnaczcionkaakapitu"/>
    <w:link w:val="Tekstpodstawowywcity"/>
    <w:rsid w:val="0005410E"/>
    <w:rPr>
      <w:rFonts w:ascii="Times New Roman" w:eastAsia="Times New Roman" w:hAnsi="Times New Roman" w:cs="Times New Roman"/>
      <w:sz w:val="24"/>
      <w:lang w:eastAsia="pl-PL"/>
    </w:rPr>
  </w:style>
  <w:style w:type="paragraph" w:customStyle="1" w:styleId="ZnakZnakZnak111">
    <w:name w:val="Znak Znak Znak111"/>
    <w:basedOn w:val="Normalny"/>
    <w:rsid w:val="0005410E"/>
    <w:pPr>
      <w:spacing w:after="0" w:line="240" w:lineRule="auto"/>
    </w:pPr>
    <w:rPr>
      <w:szCs w:val="24"/>
    </w:rPr>
  </w:style>
  <w:style w:type="paragraph" w:customStyle="1" w:styleId="ZnakZnakZnak110">
    <w:name w:val="Znak Znak Znak110"/>
    <w:basedOn w:val="Normalny"/>
    <w:rsid w:val="0005410E"/>
    <w:pPr>
      <w:spacing w:after="0" w:line="240" w:lineRule="auto"/>
    </w:pPr>
    <w:rPr>
      <w:szCs w:val="24"/>
    </w:rPr>
  </w:style>
  <w:style w:type="paragraph" w:customStyle="1" w:styleId="ZnakZnakZnak19">
    <w:name w:val="Znak Znak Znak19"/>
    <w:basedOn w:val="Normalny"/>
    <w:rsid w:val="0005410E"/>
    <w:pPr>
      <w:spacing w:after="0" w:line="240" w:lineRule="auto"/>
    </w:pPr>
    <w:rPr>
      <w:szCs w:val="24"/>
    </w:rPr>
  </w:style>
  <w:style w:type="paragraph" w:customStyle="1" w:styleId="ZnakZnakZnak112">
    <w:name w:val="Znak Znak Znak112"/>
    <w:basedOn w:val="Normalny"/>
    <w:rsid w:val="0005410E"/>
    <w:pPr>
      <w:spacing w:after="0" w:line="240" w:lineRule="auto"/>
    </w:pPr>
    <w:rPr>
      <w:szCs w:val="24"/>
    </w:rPr>
  </w:style>
  <w:style w:type="character" w:customStyle="1" w:styleId="apple-style-span">
    <w:name w:val="apple-style-span"/>
    <w:basedOn w:val="Domylnaczcionkaakapitu"/>
    <w:rsid w:val="0005410E"/>
    <w:rPr>
      <w:rFonts w:cs="Times New Roman"/>
    </w:rPr>
  </w:style>
  <w:style w:type="character" w:customStyle="1" w:styleId="BezodstpwZnak">
    <w:name w:val="Bez odstępów Znak"/>
    <w:basedOn w:val="Domylnaczcionkaakapitu"/>
    <w:link w:val="Bezodstpw"/>
    <w:uiPriority w:val="1"/>
    <w:rsid w:val="0005410E"/>
    <w:rPr>
      <w:sz w:val="22"/>
      <w:szCs w:val="22"/>
      <w:lang w:val="pl-PL" w:eastAsia="en-US" w:bidi="ar-SA"/>
    </w:rPr>
  </w:style>
  <w:style w:type="paragraph" w:styleId="Tytu">
    <w:name w:val="Title"/>
    <w:basedOn w:val="Normalny"/>
    <w:next w:val="Podtytu"/>
    <w:link w:val="TytuZnak"/>
    <w:uiPriority w:val="99"/>
    <w:qFormat/>
    <w:rsid w:val="0005410E"/>
    <w:pPr>
      <w:spacing w:before="240" w:after="60" w:line="240" w:lineRule="auto"/>
      <w:jc w:val="center"/>
      <w:outlineLvl w:val="0"/>
    </w:pPr>
    <w:rPr>
      <w:rFonts w:ascii="Arial" w:hAnsi="Arial" w:cs="Arial"/>
      <w:b/>
      <w:bCs/>
      <w:kern w:val="28"/>
      <w:sz w:val="32"/>
      <w:szCs w:val="32"/>
      <w:lang w:val="en-GB" w:eastAsia="en-GB"/>
    </w:rPr>
  </w:style>
  <w:style w:type="character" w:customStyle="1" w:styleId="TytuZnak">
    <w:name w:val="Tytuł Znak"/>
    <w:basedOn w:val="Domylnaczcionkaakapitu"/>
    <w:link w:val="Tytu"/>
    <w:uiPriority w:val="99"/>
    <w:rsid w:val="0005410E"/>
    <w:rPr>
      <w:rFonts w:ascii="Arial" w:eastAsia="Times New Roman" w:hAnsi="Arial" w:cs="Arial"/>
      <w:b/>
      <w:bCs/>
      <w:kern w:val="28"/>
      <w:sz w:val="32"/>
      <w:szCs w:val="32"/>
      <w:lang w:val="en-GB" w:eastAsia="en-GB"/>
    </w:rPr>
  </w:style>
  <w:style w:type="paragraph" w:customStyle="1" w:styleId="Tytu2LTGliederung2">
    <w:name w:val="Tytu?2~LT~Gliederung 2"/>
    <w:basedOn w:val="Normalny"/>
    <w:rsid w:val="00F848CF"/>
    <w:pPr>
      <w:widowControl w:val="0"/>
      <w:tabs>
        <w:tab w:val="left" w:pos="270"/>
        <w:tab w:val="left" w:pos="900"/>
        <w:tab w:val="left" w:pos="1710"/>
        <w:tab w:val="left" w:pos="2340"/>
        <w:tab w:val="left" w:pos="3150"/>
        <w:tab w:val="left" w:pos="3780"/>
        <w:tab w:val="left" w:pos="4590"/>
        <w:tab w:val="left" w:pos="5220"/>
        <w:tab w:val="left" w:pos="6030"/>
        <w:tab w:val="left" w:pos="6660"/>
        <w:tab w:val="left" w:pos="7470"/>
        <w:tab w:val="left" w:pos="8100"/>
        <w:tab w:val="left" w:pos="8910"/>
        <w:tab w:val="left" w:pos="9540"/>
        <w:tab w:val="left" w:pos="10350"/>
        <w:tab w:val="left" w:pos="10980"/>
        <w:tab w:val="left" w:pos="11790"/>
        <w:tab w:val="left" w:pos="12420"/>
        <w:tab w:val="left" w:pos="13230"/>
        <w:tab w:val="left" w:pos="13860"/>
        <w:tab w:val="left" w:pos="14670"/>
        <w:tab w:val="left" w:pos="15300"/>
      </w:tabs>
      <w:suppressAutoHyphens/>
      <w:autoSpaceDE w:val="0"/>
      <w:spacing w:before="100" w:after="0" w:line="240" w:lineRule="auto"/>
    </w:pPr>
    <w:rPr>
      <w:rFonts w:ascii="Tahoma" w:eastAsia="Tahoma" w:hAnsi="Tahoma"/>
      <w:color w:val="000099"/>
      <w:kern w:val="1"/>
      <w:sz w:val="40"/>
      <w:szCs w:val="40"/>
      <w:lang w:eastAsia="ar-SA"/>
    </w:rPr>
  </w:style>
  <w:style w:type="paragraph" w:styleId="Poprawka">
    <w:name w:val="Revision"/>
    <w:hidden/>
    <w:uiPriority w:val="99"/>
    <w:semiHidden/>
    <w:rsid w:val="00FD6CA5"/>
    <w:rPr>
      <w:rFonts w:ascii="Times New Roman" w:eastAsia="Times New Roman" w:hAnsi="Times New Roman"/>
      <w:sz w:val="24"/>
      <w:szCs w:val="22"/>
    </w:rPr>
  </w:style>
  <w:style w:type="table" w:customStyle="1" w:styleId="Jasnasiatka1">
    <w:name w:val="Jasna siatka1"/>
    <w:basedOn w:val="Standardowy"/>
    <w:uiPriority w:val="62"/>
    <w:rsid w:val="00BF5159"/>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rednialista11">
    <w:name w:val="Średnia lista 11"/>
    <w:basedOn w:val="Standardowy"/>
    <w:uiPriority w:val="65"/>
    <w:rsid w:val="00BF5159"/>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redniecieniowanie11">
    <w:name w:val="Średnie cieniowanie 11"/>
    <w:basedOn w:val="Standardowy"/>
    <w:uiPriority w:val="63"/>
    <w:rsid w:val="00F73D18"/>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Jasnasiatkaakcent4">
    <w:name w:val="Light Grid Accent 4"/>
    <w:basedOn w:val="Standardowy"/>
    <w:uiPriority w:val="62"/>
    <w:rsid w:val="00596F67"/>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paragraph" w:customStyle="1" w:styleId="bodytext">
    <w:name w:val="bodytext"/>
    <w:basedOn w:val="Normalny"/>
    <w:rsid w:val="007F5022"/>
    <w:pPr>
      <w:spacing w:before="100" w:beforeAutospacing="1" w:after="100" w:afterAutospacing="1" w:line="240" w:lineRule="auto"/>
    </w:pPr>
    <w:rPr>
      <w:szCs w:val="24"/>
    </w:rPr>
  </w:style>
  <w:style w:type="paragraph" w:customStyle="1" w:styleId="PRZYPISIKI">
    <w:name w:val="PRZYPISIKI"/>
    <w:basedOn w:val="Tekstprzypisudolnego"/>
    <w:link w:val="PRZYPISIKIZnak"/>
    <w:autoRedefine/>
    <w:rsid w:val="001C165F"/>
    <w:pPr>
      <w:spacing w:after="0" w:line="240" w:lineRule="auto"/>
      <w:jc w:val="both"/>
    </w:pPr>
    <w:rPr>
      <w:sz w:val="18"/>
      <w:szCs w:val="18"/>
    </w:rPr>
  </w:style>
  <w:style w:type="character" w:customStyle="1" w:styleId="PRZYPISIKIZnak">
    <w:name w:val="PRZYPISIKI Znak"/>
    <w:basedOn w:val="Domylnaczcionkaakapitu"/>
    <w:link w:val="PRZYPISIKI"/>
    <w:rsid w:val="001C165F"/>
    <w:rPr>
      <w:rFonts w:ascii="Times New Roman" w:eastAsia="Times New Roman" w:hAnsi="Times New Roman"/>
      <w:sz w:val="18"/>
      <w:szCs w:val="18"/>
    </w:rPr>
  </w:style>
  <w:style w:type="paragraph" w:customStyle="1" w:styleId="TEKST0">
    <w:name w:val="TEKST"/>
    <w:basedOn w:val="Normalny"/>
    <w:next w:val="Normalny"/>
    <w:link w:val="TEKSTZnak"/>
    <w:rsid w:val="001C165F"/>
    <w:pPr>
      <w:spacing w:after="120" w:line="280" w:lineRule="exact"/>
      <w:jc w:val="both"/>
    </w:pPr>
    <w:rPr>
      <w:sz w:val="22"/>
    </w:rPr>
  </w:style>
  <w:style w:type="character" w:customStyle="1" w:styleId="TEKSTZnak">
    <w:name w:val="TEKST Znak"/>
    <w:basedOn w:val="Domylnaczcionkaakapitu"/>
    <w:link w:val="TEKST0"/>
    <w:rsid w:val="001C165F"/>
    <w:rPr>
      <w:rFonts w:ascii="Times New Roman" w:eastAsia="Times New Roman" w:hAnsi="Times New Roman"/>
      <w:sz w:val="22"/>
      <w:szCs w:val="22"/>
    </w:rPr>
  </w:style>
  <w:style w:type="character" w:customStyle="1" w:styleId="WW8Num3z3">
    <w:name w:val="WW8Num3z3"/>
    <w:rsid w:val="001C165F"/>
    <w:rPr>
      <w:rFonts w:ascii="Symbol" w:hAnsi="Symbol"/>
    </w:rPr>
  </w:style>
  <w:style w:type="table" w:styleId="Jasnecieniowanieakcent5">
    <w:name w:val="Light Shading Accent 5"/>
    <w:basedOn w:val="Standardowy"/>
    <w:uiPriority w:val="60"/>
    <w:rsid w:val="001C165F"/>
    <w:rPr>
      <w:rFonts w:ascii="Times New Roman" w:eastAsia="Times New Roman" w:hAnsi="Times New Roman"/>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Jasnasiatkaakcent5">
    <w:name w:val="Light Grid Accent 5"/>
    <w:basedOn w:val="Standardowy"/>
    <w:uiPriority w:val="62"/>
    <w:rsid w:val="001C165F"/>
    <w:rPr>
      <w:rFonts w:asciiTheme="minorHAnsi" w:eastAsia="Times New Roman" w:hAnsiTheme="minorHAnsi"/>
      <w:sz w:val="22"/>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val="0"/>
        <w:bCs/>
        <w:sz w:val="20"/>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Mapadokumentu">
    <w:name w:val="Document Map"/>
    <w:basedOn w:val="Normalny"/>
    <w:link w:val="MapadokumentuZnak"/>
    <w:rsid w:val="001C165F"/>
    <w:pPr>
      <w:spacing w:after="0" w:line="240" w:lineRule="auto"/>
    </w:pPr>
    <w:rPr>
      <w:rFonts w:ascii="Tahoma" w:hAnsi="Tahoma" w:cs="Tahoma"/>
      <w:sz w:val="16"/>
      <w:szCs w:val="16"/>
    </w:rPr>
  </w:style>
  <w:style w:type="character" w:customStyle="1" w:styleId="MapadokumentuZnak">
    <w:name w:val="Mapa dokumentu Znak"/>
    <w:basedOn w:val="Domylnaczcionkaakapitu"/>
    <w:link w:val="Mapadokumentu"/>
    <w:rsid w:val="001C165F"/>
    <w:rPr>
      <w:rFonts w:ascii="Tahoma" w:eastAsia="Times New Roman" w:hAnsi="Tahoma" w:cs="Tahoma"/>
      <w:sz w:val="16"/>
      <w:szCs w:val="16"/>
    </w:rPr>
  </w:style>
  <w:style w:type="table" w:styleId="rednialista1akcent5">
    <w:name w:val="Medium List 1 Accent 5"/>
    <w:basedOn w:val="Standardowy"/>
    <w:uiPriority w:val="65"/>
    <w:rsid w:val="001C165F"/>
    <w:rPr>
      <w:rFonts w:ascii="Times New Roman" w:eastAsia="Times New Roman" w:hAnsi="Times New Roman"/>
      <w:color w:val="000000" w:themeColor="text1"/>
    </w:rPr>
    <w:tblPr>
      <w:tblStyleRowBandSize w:val="1"/>
      <w:tblStyleColBandSize w:val="1"/>
      <w:tblBorders>
        <w:top w:val="single" w:sz="8" w:space="0" w:color="4472C4" w:themeColor="accent5"/>
        <w:bottom w:val="single" w:sz="8" w:space="0" w:color="4472C4" w:themeColor="accent5"/>
      </w:tblBorders>
    </w:tblPr>
    <w:tblStylePr w:type="firstRow">
      <w:rPr>
        <w:rFonts w:asciiTheme="majorHAnsi" w:eastAsiaTheme="majorEastAsia" w:hAnsiTheme="majorHAnsi" w:cstheme="majorBidi"/>
      </w:rPr>
      <w:tblPr/>
      <w:tcPr>
        <w:tcBorders>
          <w:top w:val="nil"/>
          <w:bottom w:val="single" w:sz="8" w:space="0" w:color="4472C4" w:themeColor="accent5"/>
        </w:tcBorders>
      </w:tcPr>
    </w:tblStylePr>
    <w:tblStylePr w:type="lastRow">
      <w:rPr>
        <w:b/>
        <w:bCs/>
        <w:color w:val="44546A" w:themeColor="text2"/>
      </w:rPr>
      <w:tblPr/>
      <w:tcPr>
        <w:tcBorders>
          <w:top w:val="single" w:sz="8" w:space="0" w:color="4472C4" w:themeColor="accent5"/>
          <w:bottom w:val="single" w:sz="8" w:space="0" w:color="4472C4" w:themeColor="accent5"/>
        </w:tcBorders>
      </w:tcPr>
    </w:tblStylePr>
    <w:tblStylePr w:type="firstCol">
      <w:rPr>
        <w:b/>
        <w:bCs/>
      </w:rPr>
    </w:tblStylePr>
    <w:tblStylePr w:type="lastCol">
      <w:rPr>
        <w:b/>
        <w:bCs/>
      </w:rPr>
      <w:tblPr/>
      <w:tcPr>
        <w:tcBorders>
          <w:top w:val="single" w:sz="8" w:space="0" w:color="4472C4" w:themeColor="accent5"/>
          <w:bottom w:val="single" w:sz="8" w:space="0" w:color="4472C4" w:themeColor="accent5"/>
        </w:tcBorders>
      </w:tcPr>
    </w:tblStylePr>
    <w:tblStylePr w:type="band1Vert">
      <w:tblPr/>
      <w:tcPr>
        <w:shd w:val="clear" w:color="auto" w:fill="D0DBF0" w:themeFill="accent5" w:themeFillTint="3F"/>
      </w:tcPr>
    </w:tblStylePr>
    <w:tblStylePr w:type="band1Horz">
      <w:tblPr/>
      <w:tcPr>
        <w:shd w:val="clear" w:color="auto" w:fill="D0DBF0" w:themeFill="accent5" w:themeFillTint="3F"/>
      </w:tcPr>
    </w:tblStylePr>
  </w:style>
  <w:style w:type="table" w:styleId="redniecieniowanie2akcent2">
    <w:name w:val="Medium Shading 2 Accent 2"/>
    <w:basedOn w:val="Standardowy"/>
    <w:uiPriority w:val="64"/>
    <w:rsid w:val="003F4D1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5">
    <w:name w:val="Medium Shading 2 Accent 5"/>
    <w:basedOn w:val="Standardowy"/>
    <w:uiPriority w:val="64"/>
    <w:rsid w:val="003F4D1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lista1akcent2">
    <w:name w:val="Medium List 1 Accent 2"/>
    <w:basedOn w:val="Standardowy"/>
    <w:uiPriority w:val="65"/>
    <w:rsid w:val="003F4D1A"/>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redniecieniowanie2akcent3">
    <w:name w:val="Medium Shading 2 Accent 3"/>
    <w:basedOn w:val="Standardowy"/>
    <w:uiPriority w:val="64"/>
    <w:rsid w:val="003901D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1akcent3">
    <w:name w:val="Medium Shading 1 Accent 3"/>
    <w:basedOn w:val="Standardowy"/>
    <w:uiPriority w:val="63"/>
    <w:rsid w:val="003901D3"/>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customStyle="1" w:styleId="redniecieniowanie2akcent11">
    <w:name w:val="Średnie cieniowanie 2 — akcent 11"/>
    <w:basedOn w:val="Standardowy"/>
    <w:uiPriority w:val="64"/>
    <w:rsid w:val="003901D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Jasnalistaakcent4">
    <w:name w:val="Light List Accent 4"/>
    <w:basedOn w:val="Standardowy"/>
    <w:uiPriority w:val="61"/>
    <w:rsid w:val="003901D3"/>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customStyle="1" w:styleId="Jasnalistaakcent11">
    <w:name w:val="Jasna lista — akcent 11"/>
    <w:basedOn w:val="Standardowy"/>
    <w:uiPriority w:val="61"/>
    <w:rsid w:val="003901D3"/>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Jasnecieniowanieakcent3">
    <w:name w:val="Light Shading Accent 3"/>
    <w:basedOn w:val="Standardowy"/>
    <w:uiPriority w:val="60"/>
    <w:rsid w:val="00B2140D"/>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Jasnecieniowanieakcent6">
    <w:name w:val="Light Shading Accent 6"/>
    <w:basedOn w:val="Standardowy"/>
    <w:uiPriority w:val="60"/>
    <w:rsid w:val="00B2140D"/>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Kolorowecieniowanieakcent5">
    <w:name w:val="Colorful Shading Accent 5"/>
    <w:basedOn w:val="Standardowy"/>
    <w:uiPriority w:val="71"/>
    <w:rsid w:val="00E934FA"/>
    <w:rPr>
      <w:color w:val="000000" w:themeColor="text1"/>
    </w:rPr>
    <w:tblPr>
      <w:tblStyleRowBandSize w:val="1"/>
      <w:tblStyleColBandSize w:val="1"/>
      <w:tblBorders>
        <w:top w:val="single" w:sz="24" w:space="0" w:color="70AD47" w:themeColor="accent6"/>
        <w:left w:val="single" w:sz="4" w:space="0" w:color="4472C4" w:themeColor="accent5"/>
        <w:bottom w:val="single" w:sz="4" w:space="0" w:color="4472C4" w:themeColor="accent5"/>
        <w:right w:val="single" w:sz="4" w:space="0" w:color="4472C4" w:themeColor="accent5"/>
        <w:insideH w:val="single" w:sz="4" w:space="0" w:color="FFFFFF" w:themeColor="background1"/>
        <w:insideV w:val="single" w:sz="4" w:space="0" w:color="FFFFFF" w:themeColor="background1"/>
      </w:tblBorders>
    </w:tblPr>
    <w:tcPr>
      <w:shd w:val="clear" w:color="auto" w:fill="ECF1F9"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rPr>
        <w:color w:val="FFFFFF" w:themeColor="background1"/>
      </w:rPr>
      <w:tblPr/>
      <w:tcPr>
        <w:tcBorders>
          <w:top w:val="nil"/>
          <w:left w:val="nil"/>
          <w:bottom w:val="nil"/>
          <w:right w:val="nil"/>
          <w:insideH w:val="single" w:sz="4" w:space="0" w:color="264378" w:themeColor="accent5" w:themeShade="99"/>
          <w:insideV w:val="nil"/>
        </w:tcBorders>
        <w:shd w:val="clear" w:color="auto" w:fill="26437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5" w:themeFillShade="99"/>
      </w:tcPr>
    </w:tblStylePr>
    <w:tblStylePr w:type="band1Vert">
      <w:tblPr/>
      <w:tcPr>
        <w:shd w:val="clear" w:color="auto" w:fill="B4C6E7" w:themeFill="accent5" w:themeFillTint="66"/>
      </w:tcPr>
    </w:tblStylePr>
    <w:tblStylePr w:type="band1Horz">
      <w:tblPr/>
      <w:tcPr>
        <w:shd w:val="clear" w:color="auto" w:fill="A1B8E1" w:themeFill="accent5" w:themeFillTint="7F"/>
      </w:tcPr>
    </w:tblStylePr>
    <w:tblStylePr w:type="neCell">
      <w:rPr>
        <w:color w:val="000000" w:themeColor="text1"/>
      </w:rPr>
    </w:tblStylePr>
    <w:tblStylePr w:type="nwCell">
      <w:rPr>
        <w:color w:val="000000" w:themeColor="text1"/>
      </w:rPr>
    </w:tblStylePr>
  </w:style>
  <w:style w:type="table" w:styleId="redniasiatka3akcent5">
    <w:name w:val="Medium Grid 3 Accent 5"/>
    <w:basedOn w:val="Standardowy"/>
    <w:uiPriority w:val="69"/>
    <w:rsid w:val="00E934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styleId="redniasiatka2akcent4">
    <w:name w:val="Medium Grid 2 Accent 4"/>
    <w:basedOn w:val="Standardowy"/>
    <w:uiPriority w:val="68"/>
    <w:rsid w:val="00E934FA"/>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redniasiatka1akcent4">
    <w:name w:val="Medium Grid 1 Accent 4"/>
    <w:basedOn w:val="Standardowy"/>
    <w:uiPriority w:val="67"/>
    <w:rsid w:val="004D1E89"/>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redniasiatka1akcent5">
    <w:name w:val="Medium Grid 1 Accent 5"/>
    <w:basedOn w:val="Standardowy"/>
    <w:uiPriority w:val="67"/>
    <w:rsid w:val="004D1E89"/>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insideV w:val="single" w:sz="8" w:space="0" w:color="7295D2" w:themeColor="accent5" w:themeTint="BF"/>
      </w:tblBorders>
    </w:tblPr>
    <w:tcPr>
      <w:shd w:val="clear" w:color="auto" w:fill="D0DBF0" w:themeFill="accent5" w:themeFillTint="3F"/>
    </w:tcPr>
    <w:tblStylePr w:type="firstRow">
      <w:rPr>
        <w:b/>
        <w:bCs/>
      </w:rPr>
    </w:tblStylePr>
    <w:tblStylePr w:type="lastRow">
      <w:rPr>
        <w:b/>
        <w:bCs/>
      </w:rPr>
      <w:tblPr/>
      <w:tcPr>
        <w:tcBorders>
          <w:top w:val="single" w:sz="18" w:space="0" w:color="7295D2" w:themeColor="accent5" w:themeTint="BF"/>
        </w:tcBorders>
      </w:tcPr>
    </w:tblStylePr>
    <w:tblStylePr w:type="firstCol">
      <w:rPr>
        <w:b/>
        <w:bCs/>
      </w:rPr>
    </w:tblStylePr>
    <w:tblStylePr w:type="lastCol">
      <w:rPr>
        <w:b/>
        <w:bCs/>
      </w:r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Kolorowasiatkaakcent5">
    <w:name w:val="Colorful Grid Accent 5"/>
    <w:basedOn w:val="Standardowy"/>
    <w:uiPriority w:val="73"/>
    <w:rsid w:val="0082166A"/>
    <w:rPr>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styleId="rednialista2akcent3">
    <w:name w:val="Medium List 2 Accent 3"/>
    <w:basedOn w:val="Standardowy"/>
    <w:uiPriority w:val="66"/>
    <w:rsid w:val="0082166A"/>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Jasnalistaakcent6">
    <w:name w:val="Light List Accent 6"/>
    <w:basedOn w:val="Standardowy"/>
    <w:uiPriority w:val="61"/>
    <w:rsid w:val="0082166A"/>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Kolorowalistaakcent1">
    <w:name w:val="Colorful List Accent 1"/>
    <w:basedOn w:val="Standardowy"/>
    <w:uiPriority w:val="72"/>
    <w:rsid w:val="0082166A"/>
    <w:rPr>
      <w:color w:val="000000" w:themeColor="text1"/>
    </w:rPr>
    <w:tblPr>
      <w:tblStyleRowBandSize w:val="1"/>
      <w:tblStyleColBandSize w:val="1"/>
    </w:tblPr>
    <w:tcPr>
      <w:shd w:val="clear" w:color="auto" w:fill="EEF5FB"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table" w:styleId="redniasiatka2akcent3">
    <w:name w:val="Medium Grid 2 Accent 3"/>
    <w:basedOn w:val="Standardowy"/>
    <w:uiPriority w:val="68"/>
    <w:rsid w:val="0082166A"/>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customStyle="1" w:styleId="redniasiatka31">
    <w:name w:val="Średnia siatka 31"/>
    <w:basedOn w:val="Standardowy"/>
    <w:uiPriority w:val="69"/>
    <w:rsid w:val="008216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Jasnasiatkaakcent6">
    <w:name w:val="Light Grid Accent 6"/>
    <w:basedOn w:val="Standardowy"/>
    <w:uiPriority w:val="62"/>
    <w:rsid w:val="0082166A"/>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customStyle="1" w:styleId="Jasnasiatkaakcent11">
    <w:name w:val="Jasna siatka — akcent 11"/>
    <w:basedOn w:val="Standardowy"/>
    <w:uiPriority w:val="62"/>
    <w:rsid w:val="00685199"/>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redniecieniowanie1akcent6">
    <w:name w:val="Medium Shading 1 Accent 6"/>
    <w:basedOn w:val="Standardowy"/>
    <w:uiPriority w:val="63"/>
    <w:rsid w:val="00E22D59"/>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redniasiatka3akcent6">
    <w:name w:val="Medium Grid 3 Accent 6"/>
    <w:basedOn w:val="Standardowy"/>
    <w:uiPriority w:val="69"/>
    <w:rsid w:val="00E22D5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Jasnalistaakcent12">
    <w:name w:val="Jasna lista — akcent 12"/>
    <w:basedOn w:val="Standardowy"/>
    <w:uiPriority w:val="61"/>
    <w:rsid w:val="00AF4AAC"/>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Jasnasiatkaakcent12">
    <w:name w:val="Jasna siatka — akcent 12"/>
    <w:basedOn w:val="Standardowy"/>
    <w:uiPriority w:val="62"/>
    <w:rsid w:val="00C718AE"/>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Jasnasiatkaakcent2">
    <w:name w:val="Light Grid Accent 2"/>
    <w:basedOn w:val="Standardowy"/>
    <w:uiPriority w:val="62"/>
    <w:rsid w:val="00C718A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Kolorowalistaakcent2">
    <w:name w:val="Colorful List Accent 2"/>
    <w:basedOn w:val="Standardowy"/>
    <w:uiPriority w:val="72"/>
    <w:rsid w:val="00C718A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paragraph" w:styleId="Lista">
    <w:name w:val="List"/>
    <w:basedOn w:val="Normalny"/>
    <w:rsid w:val="00BD16A0"/>
    <w:pPr>
      <w:numPr>
        <w:numId w:val="7"/>
      </w:numPr>
      <w:spacing w:before="120" w:after="0" w:line="260" w:lineRule="exact"/>
      <w:jc w:val="both"/>
    </w:pPr>
    <w:rPr>
      <w:sz w:val="22"/>
      <w:szCs w:val="24"/>
    </w:rPr>
  </w:style>
  <w:style w:type="table" w:customStyle="1" w:styleId="Jasnalistaakcent13">
    <w:name w:val="Jasna lista — akcent 13"/>
    <w:basedOn w:val="Standardowy"/>
    <w:uiPriority w:val="61"/>
    <w:rsid w:val="00DE0861"/>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Jasnasiatkaakcent13">
    <w:name w:val="Jasna siatka — akcent 13"/>
    <w:basedOn w:val="Standardowy"/>
    <w:uiPriority w:val="62"/>
    <w:rsid w:val="00DE0861"/>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paragraph" w:customStyle="1" w:styleId="ATytutabeli">
    <w:name w:val="A Tytuł tabeli"/>
    <w:basedOn w:val="Normalny"/>
    <w:rsid w:val="004C7923"/>
    <w:pPr>
      <w:numPr>
        <w:numId w:val="9"/>
      </w:numPr>
      <w:spacing w:after="0" w:line="240" w:lineRule="auto"/>
    </w:pPr>
    <w:rPr>
      <w:szCs w:val="24"/>
    </w:rPr>
  </w:style>
  <w:style w:type="numbering" w:customStyle="1" w:styleId="Styl1">
    <w:name w:val="Styl1"/>
    <w:uiPriority w:val="99"/>
    <w:rsid w:val="0040531D"/>
    <w:pPr>
      <w:numPr>
        <w:numId w:val="10"/>
      </w:numPr>
    </w:pPr>
  </w:style>
  <w:style w:type="numbering" w:customStyle="1" w:styleId="Styl2">
    <w:name w:val="Styl2"/>
    <w:uiPriority w:val="99"/>
    <w:rsid w:val="0040531D"/>
    <w:pPr>
      <w:numPr>
        <w:numId w:val="11"/>
      </w:numPr>
    </w:pPr>
  </w:style>
  <w:style w:type="numbering" w:customStyle="1" w:styleId="Styl3">
    <w:name w:val="Styl3"/>
    <w:uiPriority w:val="99"/>
    <w:rsid w:val="0040531D"/>
    <w:pPr>
      <w:numPr>
        <w:numId w:val="12"/>
      </w:numPr>
    </w:pPr>
  </w:style>
  <w:style w:type="numbering" w:customStyle="1" w:styleId="Styl4">
    <w:name w:val="Styl4"/>
    <w:uiPriority w:val="99"/>
    <w:rsid w:val="00275C5E"/>
    <w:pPr>
      <w:numPr>
        <w:numId w:val="13"/>
      </w:numPr>
    </w:pPr>
  </w:style>
  <w:style w:type="numbering" w:customStyle="1" w:styleId="Styl5">
    <w:name w:val="Styl5"/>
    <w:uiPriority w:val="99"/>
    <w:rsid w:val="00275C5E"/>
    <w:pPr>
      <w:numPr>
        <w:numId w:val="14"/>
      </w:numPr>
    </w:pPr>
  </w:style>
  <w:style w:type="numbering" w:customStyle="1" w:styleId="Styl6">
    <w:name w:val="Styl6"/>
    <w:uiPriority w:val="99"/>
    <w:rsid w:val="00593736"/>
    <w:pPr>
      <w:numPr>
        <w:numId w:val="15"/>
      </w:numPr>
    </w:pPr>
  </w:style>
  <w:style w:type="numbering" w:customStyle="1" w:styleId="Styl7">
    <w:name w:val="Styl7"/>
    <w:uiPriority w:val="99"/>
    <w:rsid w:val="00593736"/>
    <w:pPr>
      <w:numPr>
        <w:numId w:val="16"/>
      </w:numPr>
    </w:pPr>
  </w:style>
  <w:style w:type="numbering" w:customStyle="1" w:styleId="Styl8">
    <w:name w:val="Styl8"/>
    <w:uiPriority w:val="99"/>
    <w:rsid w:val="00A4184E"/>
    <w:pPr>
      <w:numPr>
        <w:numId w:val="18"/>
      </w:numPr>
    </w:pPr>
  </w:style>
  <w:style w:type="character" w:customStyle="1" w:styleId="Nagwek3Znak">
    <w:name w:val="Nagłówek 3 Znak"/>
    <w:basedOn w:val="Domylnaczcionkaakapitu"/>
    <w:link w:val="Nagwek3"/>
    <w:uiPriority w:val="9"/>
    <w:rsid w:val="005562B5"/>
    <w:rPr>
      <w:rFonts w:asciiTheme="majorHAnsi" w:eastAsiaTheme="majorEastAsia" w:hAnsiTheme="majorHAnsi" w:cstheme="majorBidi"/>
      <w:b/>
      <w:bCs/>
      <w:color w:val="5B9BD5" w:themeColor="accent1"/>
      <w:sz w:val="24"/>
      <w:szCs w:val="22"/>
    </w:rPr>
  </w:style>
  <w:style w:type="character" w:customStyle="1" w:styleId="Nagwek4Znak">
    <w:name w:val="Nagłówek 4 Znak"/>
    <w:basedOn w:val="Domylnaczcionkaakapitu"/>
    <w:link w:val="Nagwek4"/>
    <w:uiPriority w:val="9"/>
    <w:rsid w:val="005562B5"/>
    <w:rPr>
      <w:rFonts w:asciiTheme="majorHAnsi" w:eastAsiaTheme="majorEastAsia" w:hAnsiTheme="majorHAnsi" w:cstheme="majorBidi"/>
      <w:b/>
      <w:bCs/>
      <w:i/>
      <w:iCs/>
      <w:color w:val="5B9BD5" w:themeColor="accent1"/>
      <w:sz w:val="24"/>
      <w:szCs w:val="22"/>
    </w:rPr>
  </w:style>
  <w:style w:type="character" w:customStyle="1" w:styleId="Nagwek6Znak">
    <w:name w:val="Nagłówek 6 Znak"/>
    <w:basedOn w:val="Domylnaczcionkaakapitu"/>
    <w:link w:val="Nagwek6"/>
    <w:uiPriority w:val="9"/>
    <w:rsid w:val="005562B5"/>
    <w:rPr>
      <w:rFonts w:asciiTheme="majorHAnsi" w:eastAsiaTheme="majorEastAsia" w:hAnsiTheme="majorHAnsi" w:cstheme="majorBidi"/>
      <w:i/>
      <w:iCs/>
      <w:color w:val="1F4D78" w:themeColor="accent1" w:themeShade="7F"/>
      <w:sz w:val="24"/>
      <w:szCs w:val="22"/>
    </w:rPr>
  </w:style>
  <w:style w:type="character" w:customStyle="1" w:styleId="Nagwek8Znak">
    <w:name w:val="Nagłówek 8 Znak"/>
    <w:basedOn w:val="Domylnaczcionkaakapitu"/>
    <w:link w:val="Nagwek8"/>
    <w:uiPriority w:val="9"/>
    <w:rsid w:val="005562B5"/>
    <w:rPr>
      <w:rFonts w:asciiTheme="majorHAnsi" w:eastAsiaTheme="majorEastAsia" w:hAnsiTheme="majorHAnsi" w:cstheme="majorBidi"/>
      <w:color w:val="404040" w:themeColor="text1" w:themeTint="BF"/>
    </w:rPr>
  </w:style>
  <w:style w:type="character" w:customStyle="1" w:styleId="Nagwek9Znak">
    <w:name w:val="Nagłówek 9 Znak"/>
    <w:basedOn w:val="Domylnaczcionkaakapitu"/>
    <w:link w:val="Nagwek9"/>
    <w:uiPriority w:val="9"/>
    <w:rsid w:val="005562B5"/>
    <w:rPr>
      <w:rFonts w:asciiTheme="majorHAnsi" w:eastAsiaTheme="majorEastAsia" w:hAnsiTheme="majorHAnsi" w:cstheme="majorBidi"/>
      <w:i/>
      <w:iCs/>
      <w:color w:val="404040" w:themeColor="text1" w:themeTint="BF"/>
    </w:rPr>
  </w:style>
  <w:style w:type="paragraph" w:customStyle="1" w:styleId="Styl9">
    <w:name w:val="Styl9"/>
    <w:basedOn w:val="Nagwek1"/>
    <w:link w:val="Styl9Znak"/>
    <w:qFormat/>
    <w:rsid w:val="0086470F"/>
    <w:pPr>
      <w:numPr>
        <w:ilvl w:val="1"/>
        <w:numId w:val="19"/>
      </w:numPr>
      <w:tabs>
        <w:tab w:val="left" w:pos="426"/>
      </w:tabs>
      <w:spacing w:before="240" w:after="120"/>
      <w:jc w:val="both"/>
    </w:pPr>
    <w:rPr>
      <w:sz w:val="22"/>
      <w:szCs w:val="22"/>
    </w:rPr>
  </w:style>
  <w:style w:type="numbering" w:customStyle="1" w:styleId="Styl10">
    <w:name w:val="Styl10"/>
    <w:uiPriority w:val="99"/>
    <w:rsid w:val="0039534D"/>
    <w:pPr>
      <w:numPr>
        <w:numId w:val="21"/>
      </w:numPr>
    </w:pPr>
  </w:style>
  <w:style w:type="character" w:customStyle="1" w:styleId="Styl9Znak">
    <w:name w:val="Styl9 Znak"/>
    <w:basedOn w:val="Nagwek1Znak"/>
    <w:link w:val="Styl9"/>
    <w:rsid w:val="0086470F"/>
    <w:rPr>
      <w:rFonts w:ascii="Times New Roman" w:eastAsia="Times New Roman" w:hAnsi="Times New Roman"/>
      <w:b/>
      <w:bCs/>
      <w:sz w:val="22"/>
      <w:szCs w:val="22"/>
    </w:rPr>
  </w:style>
  <w:style w:type="numbering" w:customStyle="1" w:styleId="Styl11">
    <w:name w:val="Styl11"/>
    <w:uiPriority w:val="99"/>
    <w:rsid w:val="005B0882"/>
    <w:pPr>
      <w:numPr>
        <w:numId w:val="23"/>
      </w:numPr>
    </w:pPr>
  </w:style>
  <w:style w:type="numbering" w:customStyle="1" w:styleId="Styl12">
    <w:name w:val="Styl12"/>
    <w:uiPriority w:val="99"/>
    <w:rsid w:val="00EA0E63"/>
    <w:pPr>
      <w:numPr>
        <w:numId w:val="24"/>
      </w:numPr>
    </w:pPr>
  </w:style>
  <w:style w:type="numbering" w:customStyle="1" w:styleId="Styl13">
    <w:name w:val="Styl13"/>
    <w:uiPriority w:val="99"/>
    <w:rsid w:val="00AF2932"/>
    <w:pPr>
      <w:numPr>
        <w:numId w:val="25"/>
      </w:numPr>
    </w:pPr>
  </w:style>
  <w:style w:type="numbering" w:customStyle="1" w:styleId="Styl14">
    <w:name w:val="Styl14"/>
    <w:uiPriority w:val="99"/>
    <w:rsid w:val="0074681F"/>
    <w:pPr>
      <w:numPr>
        <w:numId w:val="27"/>
      </w:numPr>
    </w:pPr>
  </w:style>
  <w:style w:type="table" w:styleId="Jasnecieniowanieakcent2">
    <w:name w:val="Light Shading Accent 2"/>
    <w:basedOn w:val="Standardowy"/>
    <w:uiPriority w:val="60"/>
    <w:rsid w:val="00302693"/>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customStyle="1" w:styleId="redniecieniowanie2akcent12">
    <w:name w:val="Średnie cieniowanie 2 — akcent 12"/>
    <w:basedOn w:val="Standardowy"/>
    <w:uiPriority w:val="64"/>
    <w:rsid w:val="0030269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edniecieniowanie21">
    <w:name w:val="Średnie cieniowanie 21"/>
    <w:basedOn w:val="Standardowy"/>
    <w:uiPriority w:val="64"/>
    <w:rsid w:val="0030269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Kolorowecieniowanieakcent1">
    <w:name w:val="Colorful Shading Accent 1"/>
    <w:basedOn w:val="Standardowy"/>
    <w:uiPriority w:val="71"/>
    <w:rsid w:val="00302693"/>
    <w:rPr>
      <w:color w:val="000000" w:themeColor="text1"/>
    </w:rPr>
    <w:tblPr>
      <w:tblStyleRowBandSize w:val="1"/>
      <w:tblStyleColBandSize w:val="1"/>
      <w:tblBorders>
        <w:top w:val="single" w:sz="24" w:space="0" w:color="ED7D31" w:themeColor="accent2"/>
        <w:left w:val="single" w:sz="4" w:space="0" w:color="5B9BD5" w:themeColor="accent1"/>
        <w:bottom w:val="single" w:sz="4" w:space="0" w:color="5B9BD5" w:themeColor="accent1"/>
        <w:right w:val="single" w:sz="4" w:space="0" w:color="5B9BD5" w:themeColor="accent1"/>
        <w:insideH w:val="single" w:sz="4" w:space="0" w:color="FFFFFF" w:themeColor="background1"/>
        <w:insideV w:val="single" w:sz="4" w:space="0" w:color="FFFFFF" w:themeColor="background1"/>
      </w:tblBorders>
    </w:tblPr>
    <w:tcPr>
      <w:shd w:val="clear" w:color="auto" w:fill="EEF5FB"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1" w:themeFillShade="99"/>
      </w:tcPr>
    </w:tblStylePr>
    <w:tblStylePr w:type="firstCol">
      <w:rPr>
        <w:color w:val="FFFFFF" w:themeColor="background1"/>
      </w:rPr>
      <w:tblPr/>
      <w:tcPr>
        <w:tcBorders>
          <w:top w:val="nil"/>
          <w:left w:val="nil"/>
          <w:bottom w:val="nil"/>
          <w:right w:val="nil"/>
          <w:insideH w:val="single" w:sz="4" w:space="0" w:color="255D91" w:themeColor="accent1" w:themeShade="99"/>
          <w:insideV w:val="nil"/>
        </w:tcBorders>
        <w:shd w:val="clear" w:color="auto" w:fill="255D9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1" w:themeFillShade="99"/>
      </w:tcPr>
    </w:tblStylePr>
    <w:tblStylePr w:type="band1Vert">
      <w:tblPr/>
      <w:tcPr>
        <w:shd w:val="clear" w:color="auto" w:fill="BDD6EE" w:themeFill="accent1" w:themeFillTint="66"/>
      </w:tcPr>
    </w:tblStylePr>
    <w:tblStylePr w:type="band1Horz">
      <w:tblPr/>
      <w:tcPr>
        <w:shd w:val="clear" w:color="auto" w:fill="ADCCEA" w:themeFill="accent1" w:themeFillTint="7F"/>
      </w:tcPr>
    </w:tblStylePr>
    <w:tblStylePr w:type="neCell">
      <w:rPr>
        <w:color w:val="000000" w:themeColor="text1"/>
      </w:rPr>
    </w:tblStylePr>
    <w:tblStylePr w:type="nwCell">
      <w:rPr>
        <w:color w:val="000000" w:themeColor="text1"/>
      </w:rPr>
    </w:tblStylePr>
  </w:style>
  <w:style w:type="table" w:styleId="Kolorowalistaakcent3">
    <w:name w:val="Colorful List Accent 3"/>
    <w:basedOn w:val="Standardowy"/>
    <w:uiPriority w:val="72"/>
    <w:rsid w:val="00302693"/>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Kolorowalistaakcent4">
    <w:name w:val="Colorful List Accent 4"/>
    <w:basedOn w:val="Standardowy"/>
    <w:uiPriority w:val="72"/>
    <w:rsid w:val="00302693"/>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Kolorowalistaakcent5">
    <w:name w:val="Colorful List Accent 5"/>
    <w:basedOn w:val="Standardowy"/>
    <w:uiPriority w:val="72"/>
    <w:rsid w:val="00302693"/>
    <w:rPr>
      <w:color w:val="000000" w:themeColor="text1"/>
    </w:rPr>
    <w:tblPr>
      <w:tblStyleRowBandSize w:val="1"/>
      <w:tblStyleColBandSize w:val="1"/>
    </w:tblPr>
    <w:tcPr>
      <w:shd w:val="clear" w:color="auto" w:fill="ECF1F9"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5" w:themeFillTint="3F"/>
      </w:tcPr>
    </w:tblStylePr>
    <w:tblStylePr w:type="band1Horz">
      <w:tblPr/>
      <w:tcPr>
        <w:shd w:val="clear" w:color="auto" w:fill="D9E2F3" w:themeFill="accent5" w:themeFillTint="33"/>
      </w:tcPr>
    </w:tblStylePr>
  </w:style>
  <w:style w:type="table" w:styleId="Kolorowalistaakcent6">
    <w:name w:val="Colorful List Accent 6"/>
    <w:basedOn w:val="Standardowy"/>
    <w:uiPriority w:val="72"/>
    <w:rsid w:val="00302693"/>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259A0" w:themeFill="accent5" w:themeFillShade="CC"/>
      </w:tcPr>
    </w:tblStylePr>
    <w:tblStylePr w:type="lastRow">
      <w:rPr>
        <w:b/>
        <w:bCs/>
        <w:color w:val="3259A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Kolorowecieniowanieakcent2">
    <w:name w:val="Colorful Shading Accent 2"/>
    <w:basedOn w:val="Standardowy"/>
    <w:uiPriority w:val="71"/>
    <w:rsid w:val="00302693"/>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Kolorowecieniowanieakcent6">
    <w:name w:val="Colorful Shading Accent 6"/>
    <w:basedOn w:val="Standardowy"/>
    <w:uiPriority w:val="71"/>
    <w:rsid w:val="00302693"/>
    <w:rPr>
      <w:color w:val="000000" w:themeColor="text1"/>
    </w:rPr>
    <w:tblPr>
      <w:tblStyleRowBandSize w:val="1"/>
      <w:tblStyleColBandSize w:val="1"/>
      <w:tblBorders>
        <w:top w:val="single" w:sz="24" w:space="0" w:color="4472C4"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redniasiatka3akcent4">
    <w:name w:val="Medium Grid 3 Accent 4"/>
    <w:basedOn w:val="Standardowy"/>
    <w:uiPriority w:val="69"/>
    <w:rsid w:val="00B6485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redniecieniowanie2akcent6">
    <w:name w:val="Medium Shading 2 Accent 6"/>
    <w:basedOn w:val="Standardowy"/>
    <w:uiPriority w:val="64"/>
    <w:rsid w:val="00B6485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4">
    <w:name w:val="Medium Shading 2 Accent 4"/>
    <w:basedOn w:val="Standardowy"/>
    <w:uiPriority w:val="64"/>
    <w:rsid w:val="00B6485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edniecieniowanie2akcent13">
    <w:name w:val="Średnie cieniowanie 2 — akcent 13"/>
    <w:basedOn w:val="Standardowy"/>
    <w:uiPriority w:val="64"/>
    <w:rsid w:val="00B6485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edniecieniowanie22">
    <w:name w:val="Średnie cieniowanie 22"/>
    <w:basedOn w:val="Standardowy"/>
    <w:uiPriority w:val="64"/>
    <w:rsid w:val="00B6485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Jasnalistaakcent14">
    <w:name w:val="Jasna lista — akcent 14"/>
    <w:basedOn w:val="Standardowy"/>
    <w:uiPriority w:val="61"/>
    <w:rsid w:val="00580D93"/>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redniasiatka3akcent1">
    <w:name w:val="Medium Grid 3 Accent 1"/>
    <w:basedOn w:val="Standardowy"/>
    <w:uiPriority w:val="69"/>
    <w:rsid w:val="00580D9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redniasiatka3akcent2">
    <w:name w:val="Medium Grid 3 Accent 2"/>
    <w:basedOn w:val="Standardowy"/>
    <w:uiPriority w:val="69"/>
    <w:rsid w:val="00580D93"/>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redniasiatka2akcent2">
    <w:name w:val="Medium Grid 2 Accent 2"/>
    <w:basedOn w:val="Standardowy"/>
    <w:uiPriority w:val="68"/>
    <w:rsid w:val="00580D93"/>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redniasiatka2akcent1">
    <w:name w:val="Medium Grid 2 Accent 1"/>
    <w:basedOn w:val="Standardowy"/>
    <w:uiPriority w:val="68"/>
    <w:rsid w:val="00580D93"/>
    <w:rPr>
      <w:rFonts w:asciiTheme="majorHAnsi" w:eastAsiaTheme="majorEastAsia" w:hAnsiTheme="majorHAnsi" w:cstheme="majorBidi"/>
      <w:color w:val="000000" w:themeColor="text1"/>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table" w:styleId="redniasiatka1akcent3">
    <w:name w:val="Medium Grid 1 Accent 3"/>
    <w:basedOn w:val="Standardowy"/>
    <w:uiPriority w:val="67"/>
    <w:rsid w:val="00672BEA"/>
    <w:rPr>
      <w:rFonts w:asciiTheme="minorHAnsi" w:eastAsiaTheme="minorHAnsi"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paragraph" w:customStyle="1" w:styleId="default0">
    <w:name w:val="default"/>
    <w:basedOn w:val="Normalny"/>
    <w:rsid w:val="005D2D53"/>
    <w:pPr>
      <w:spacing w:before="100" w:beforeAutospacing="1" w:after="100" w:afterAutospacing="1" w:line="240" w:lineRule="auto"/>
    </w:pPr>
    <w:rPr>
      <w:rFonts w:eastAsiaTheme="minorHAnsi"/>
      <w:szCs w:val="24"/>
    </w:rPr>
  </w:style>
  <w:style w:type="table" w:styleId="redniasiatka1akcent1">
    <w:name w:val="Medium Grid 1 Accent 1"/>
    <w:basedOn w:val="Standardowy"/>
    <w:uiPriority w:val="67"/>
    <w:rsid w:val="008C7B96"/>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Ciemnalista2akcent1">
    <w:name w:val="Dark List Accent 1"/>
    <w:basedOn w:val="Standardowy"/>
    <w:uiPriority w:val="70"/>
    <w:rsid w:val="008C7B96"/>
    <w:rPr>
      <w:color w:val="FFFFFF" w:themeColor="background1"/>
    </w:rPr>
    <w:tblPr>
      <w:tblStyleRowBandSize w:val="1"/>
      <w:tblStyleColBandSize w:val="1"/>
    </w:tblPr>
    <w:tcPr>
      <w:shd w:val="clear" w:color="auto" w:fill="5B9BD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1" w:themeFillShade="BF"/>
      </w:tcPr>
    </w:tblStylePr>
    <w:tblStylePr w:type="band1Vert">
      <w:tblPr/>
      <w:tcPr>
        <w:tcBorders>
          <w:top w:val="nil"/>
          <w:left w:val="nil"/>
          <w:bottom w:val="nil"/>
          <w:right w:val="nil"/>
          <w:insideH w:val="nil"/>
          <w:insideV w:val="nil"/>
        </w:tcBorders>
        <w:shd w:val="clear" w:color="auto" w:fill="2E74B5" w:themeFill="accent1" w:themeFillShade="BF"/>
      </w:tcPr>
    </w:tblStylePr>
    <w:tblStylePr w:type="band1Horz">
      <w:tblPr/>
      <w:tcPr>
        <w:tcBorders>
          <w:top w:val="nil"/>
          <w:left w:val="nil"/>
          <w:bottom w:val="nil"/>
          <w:right w:val="nil"/>
          <w:insideH w:val="nil"/>
          <w:insideV w:val="nil"/>
        </w:tcBorders>
        <w:shd w:val="clear" w:color="auto" w:fill="2E74B5" w:themeFill="accent1" w:themeFillShade="BF"/>
      </w:tcPr>
    </w:tblStylePr>
  </w:style>
  <w:style w:type="table" w:customStyle="1" w:styleId="redniecieniowanie1akcent11">
    <w:name w:val="Średnie cieniowanie 1 — akcent 11"/>
    <w:basedOn w:val="Standardowy"/>
    <w:uiPriority w:val="63"/>
    <w:rsid w:val="006F2CDD"/>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redniecieniowanie1akcent5">
    <w:name w:val="Medium Shading 1 Accent 5"/>
    <w:basedOn w:val="Standardowy"/>
    <w:uiPriority w:val="63"/>
    <w:rsid w:val="0082277A"/>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customStyle="1" w:styleId="StylNagwek3ArialKursywa">
    <w:name w:val="Styl Nagłówek 3 + Arial Kursywa"/>
    <w:basedOn w:val="Nagwek3"/>
    <w:link w:val="StylNagwek3ArialKursywaZnak"/>
    <w:rsid w:val="004254DC"/>
    <w:pPr>
      <w:keepLines w:val="0"/>
      <w:numPr>
        <w:ilvl w:val="0"/>
        <w:numId w:val="0"/>
      </w:numPr>
      <w:spacing w:before="240" w:after="120" w:line="240" w:lineRule="auto"/>
    </w:pPr>
    <w:rPr>
      <w:rFonts w:ascii="Arial" w:eastAsia="Times New Roman" w:hAnsi="Arial" w:cs="Arial"/>
      <w:b w:val="0"/>
      <w:bCs w:val="0"/>
      <w:iCs/>
      <w:smallCaps/>
      <w:color w:val="006666"/>
      <w:szCs w:val="26"/>
    </w:rPr>
  </w:style>
  <w:style w:type="character" w:customStyle="1" w:styleId="StylNagwek3ArialKursywaZnak">
    <w:name w:val="Styl Nagłówek 3 + Arial Kursywa Znak"/>
    <w:basedOn w:val="Nagwek3Znak"/>
    <w:link w:val="StylNagwek3ArialKursywa"/>
    <w:rsid w:val="004254DC"/>
    <w:rPr>
      <w:rFonts w:ascii="Arial" w:eastAsia="Times New Roman" w:hAnsi="Arial" w:cs="Arial"/>
      <w:b/>
      <w:bCs/>
      <w:iCs/>
      <w:smallCaps/>
      <w:color w:val="006666"/>
      <w:sz w:val="24"/>
      <w:szCs w:val="26"/>
    </w:rPr>
  </w:style>
  <w:style w:type="table" w:customStyle="1" w:styleId="redniecieniowanie1akcent12">
    <w:name w:val="Średnie cieniowanie 1 — akcent 12"/>
    <w:basedOn w:val="Standardowy"/>
    <w:uiPriority w:val="63"/>
    <w:rsid w:val="00D73ABA"/>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Jasnalistaakcent2">
    <w:name w:val="Light List Accent 2"/>
    <w:basedOn w:val="Standardowy"/>
    <w:uiPriority w:val="61"/>
    <w:rsid w:val="006136F4"/>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redniecieniowanie1akcent4">
    <w:name w:val="Medium Shading 1 Accent 4"/>
    <w:basedOn w:val="Standardowy"/>
    <w:uiPriority w:val="63"/>
    <w:rsid w:val="006136F4"/>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customStyle="1" w:styleId="Jasnalista1">
    <w:name w:val="Jasna lista1"/>
    <w:basedOn w:val="Standardowy"/>
    <w:uiPriority w:val="61"/>
    <w:rsid w:val="00BF5CA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Jasnalistaakcent5">
    <w:name w:val="Light List Accent 5"/>
    <w:basedOn w:val="Standardowy"/>
    <w:uiPriority w:val="61"/>
    <w:rsid w:val="00BF5CA8"/>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Jasnalistaakcent3">
    <w:name w:val="Light List Accent 3"/>
    <w:basedOn w:val="Standardowy"/>
    <w:uiPriority w:val="61"/>
    <w:rsid w:val="00343B1C"/>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Jasnalistaakcent15">
    <w:name w:val="Jasna lista — akcent 15"/>
    <w:basedOn w:val="Standardowy"/>
    <w:uiPriority w:val="61"/>
    <w:rsid w:val="002308BE"/>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redniecieniowanie1akcent13">
    <w:name w:val="Średnie cieniowanie 1 — akcent 13"/>
    <w:basedOn w:val="Standardowy"/>
    <w:uiPriority w:val="63"/>
    <w:rsid w:val="002308BE"/>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character" w:customStyle="1" w:styleId="h1">
    <w:name w:val="h1"/>
    <w:basedOn w:val="Domylnaczcionkaakapitu"/>
    <w:rsid w:val="000E12A9"/>
  </w:style>
  <w:style w:type="character" w:customStyle="1" w:styleId="a">
    <w:name w:val="a"/>
    <w:basedOn w:val="Domylnaczcionkaakapitu"/>
    <w:rsid w:val="00763E7F"/>
  </w:style>
  <w:style w:type="character" w:customStyle="1" w:styleId="l6">
    <w:name w:val="l6"/>
    <w:basedOn w:val="Domylnaczcionkaakapitu"/>
    <w:rsid w:val="00763E7F"/>
  </w:style>
  <w:style w:type="character" w:customStyle="1" w:styleId="l7">
    <w:name w:val="l7"/>
    <w:basedOn w:val="Domylnaczcionkaakapitu"/>
    <w:rsid w:val="00763E7F"/>
  </w:style>
  <w:style w:type="character" w:customStyle="1" w:styleId="l8">
    <w:name w:val="l8"/>
    <w:basedOn w:val="Domylnaczcionkaakapitu"/>
    <w:rsid w:val="00763E7F"/>
  </w:style>
  <w:style w:type="character" w:customStyle="1" w:styleId="l">
    <w:name w:val="l"/>
    <w:basedOn w:val="Domylnaczcionkaakapitu"/>
    <w:rsid w:val="00763E7F"/>
  </w:style>
  <w:style w:type="character" w:customStyle="1" w:styleId="l9">
    <w:name w:val="l9"/>
    <w:basedOn w:val="Domylnaczcionkaakapitu"/>
    <w:rsid w:val="00763E7F"/>
  </w:style>
  <w:style w:type="table" w:customStyle="1" w:styleId="redniecieniowanie1akcent14">
    <w:name w:val="Średnie cieniowanie 1 — akcent 14"/>
    <w:basedOn w:val="Standardowy"/>
    <w:uiPriority w:val="63"/>
    <w:rsid w:val="0095274E"/>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redniasiatka2akcent5">
    <w:name w:val="Medium Grid 2 Accent 5"/>
    <w:basedOn w:val="Standardowy"/>
    <w:uiPriority w:val="68"/>
    <w:rsid w:val="006A5F15"/>
    <w:rPr>
      <w:rFonts w:asciiTheme="majorHAnsi" w:eastAsiaTheme="majorEastAsia" w:hAnsiTheme="majorHAnsi" w:cstheme="majorBidi"/>
      <w:color w:val="000000" w:themeColor="text1"/>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cPr>
      <w:shd w:val="clear" w:color="auto" w:fill="D0DBF0" w:themeFill="accent5" w:themeFillTint="3F"/>
    </w:tcPr>
    <w:tblStylePr w:type="firstRow">
      <w:rPr>
        <w:b/>
        <w:bCs/>
        <w:color w:val="000000" w:themeColor="text1"/>
      </w:rPr>
      <w:tblPr/>
      <w:tcPr>
        <w:shd w:val="clear" w:color="auto" w:fill="ECF1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5" w:themeFillTint="33"/>
      </w:tcPr>
    </w:tblStylePr>
    <w:tblStylePr w:type="band1Vert">
      <w:tblPr/>
      <w:tcPr>
        <w:shd w:val="clear" w:color="auto" w:fill="A1B8E1" w:themeFill="accent5" w:themeFillTint="7F"/>
      </w:tcPr>
    </w:tblStylePr>
    <w:tblStylePr w:type="band1Horz">
      <w:tblPr/>
      <w:tcPr>
        <w:tcBorders>
          <w:insideH w:val="single" w:sz="6" w:space="0" w:color="4472C4" w:themeColor="accent5"/>
          <w:insideV w:val="single" w:sz="6" w:space="0" w:color="4472C4" w:themeColor="accent5"/>
        </w:tcBorders>
        <w:shd w:val="clear" w:color="auto" w:fill="A1B8E1" w:themeFill="accent5" w:themeFillTint="7F"/>
      </w:tcPr>
    </w:tblStylePr>
    <w:tblStylePr w:type="nwCell">
      <w:tblPr/>
      <w:tcPr>
        <w:shd w:val="clear" w:color="auto" w:fill="FFFFFF" w:themeFill="background1"/>
      </w:tcPr>
    </w:tblStylePr>
  </w:style>
  <w:style w:type="paragraph" w:customStyle="1" w:styleId="Tre">
    <w:name w:val="Treść"/>
    <w:next w:val="Normalny"/>
    <w:qFormat/>
    <w:rsid w:val="003813C8"/>
    <w:pPr>
      <w:spacing w:before="60" w:after="120"/>
      <w:jc w:val="both"/>
    </w:pPr>
    <w:rPr>
      <w:rFonts w:cs="Tahoma"/>
      <w:color w:val="000000"/>
      <w:sz w:val="22"/>
      <w:lang w:eastAsia="en-US"/>
    </w:rPr>
  </w:style>
  <w:style w:type="paragraph" w:customStyle="1" w:styleId="StylNagwek2NiePogrubienie">
    <w:name w:val="Styl Nagłówek 2 + Nie Pogrubienie"/>
    <w:basedOn w:val="Nagwek2"/>
    <w:link w:val="StylNagwek2NiePogrubienieZnak"/>
    <w:rsid w:val="003813C8"/>
    <w:pPr>
      <w:keepNext/>
      <w:numPr>
        <w:ilvl w:val="0"/>
        <w:numId w:val="0"/>
      </w:numPr>
      <w:spacing w:before="240" w:beforeAutospacing="0" w:after="120" w:afterAutospacing="0"/>
    </w:pPr>
    <w:rPr>
      <w:rFonts w:ascii="Century Gothic" w:hAnsi="Century Gothic" w:cs="Arial"/>
      <w:b w:val="0"/>
      <w:bCs w:val="0"/>
      <w:caps/>
      <w:color w:val="006666"/>
      <w:sz w:val="24"/>
      <w:szCs w:val="28"/>
    </w:rPr>
  </w:style>
  <w:style w:type="character" w:customStyle="1" w:styleId="StylNagwek2NiePogrubienieZnak">
    <w:name w:val="Styl Nagłówek 2 + Nie Pogrubienie Znak"/>
    <w:basedOn w:val="Nagwek2Znak"/>
    <w:link w:val="StylNagwek2NiePogrubienie"/>
    <w:rsid w:val="003813C8"/>
    <w:rPr>
      <w:rFonts w:ascii="Century Gothic" w:eastAsia="Times New Roman" w:hAnsi="Century Gothic" w:cs="Arial"/>
      <w:b/>
      <w:bCs/>
      <w:caps/>
      <w:color w:val="006666"/>
      <w:sz w:val="24"/>
      <w:szCs w:val="28"/>
    </w:rPr>
  </w:style>
  <w:style w:type="table" w:customStyle="1" w:styleId="redniecieniowanie1akcent15">
    <w:name w:val="Średnie cieniowanie 1 — akcent 15"/>
    <w:basedOn w:val="Standardowy"/>
    <w:uiPriority w:val="63"/>
    <w:rsid w:val="0098334F"/>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customStyle="1" w:styleId="Jasnalistaakcent16">
    <w:name w:val="Jasna lista — akcent 16"/>
    <w:basedOn w:val="Standardowy"/>
    <w:uiPriority w:val="61"/>
    <w:rsid w:val="00F7546B"/>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content1">
    <w:name w:val="content1"/>
    <w:basedOn w:val="Normalny"/>
    <w:rsid w:val="00CB2852"/>
    <w:pPr>
      <w:spacing w:after="0" w:line="240" w:lineRule="auto"/>
      <w:ind w:right="230"/>
    </w:pPr>
    <w:rPr>
      <w:rFonts w:ascii="Calibri" w:eastAsiaTheme="minorEastAsia" w:hAnsi="Calibri" w:cstheme="minorBidi"/>
      <w:szCs w:val="24"/>
    </w:rPr>
  </w:style>
  <w:style w:type="table" w:customStyle="1" w:styleId="Kolorowecieniowanie1">
    <w:name w:val="Kolorowe cieniowanie1"/>
    <w:basedOn w:val="Standardowy"/>
    <w:uiPriority w:val="71"/>
    <w:rsid w:val="00AB0490"/>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redniecieniowanie1akcent16">
    <w:name w:val="Średnie cieniowanie 1 — akcent 16"/>
    <w:basedOn w:val="Standardowy"/>
    <w:uiPriority w:val="63"/>
    <w:rsid w:val="00C10510"/>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character" w:customStyle="1" w:styleId="AkapitzlistZnak">
    <w:name w:val="Akapit z listą Znak"/>
    <w:basedOn w:val="Domylnaczcionkaakapitu"/>
    <w:link w:val="Akapitzlist"/>
    <w:uiPriority w:val="34"/>
    <w:rsid w:val="00DA1C4F"/>
    <w:rPr>
      <w:rFonts w:ascii="Times New Roman" w:eastAsia="Times New Roman" w:hAnsi="Times New Roman"/>
      <w:sz w:val="24"/>
      <w:szCs w:val="22"/>
    </w:rPr>
  </w:style>
  <w:style w:type="character" w:customStyle="1" w:styleId="hps">
    <w:name w:val="hps"/>
    <w:basedOn w:val="Domylnaczcionkaakapitu"/>
    <w:rsid w:val="00C95247"/>
  </w:style>
  <w:style w:type="paragraph" w:customStyle="1" w:styleId="WW-Tekstpodstawowy3">
    <w:name w:val="WW-Tekst podstawowy 3"/>
    <w:basedOn w:val="Normalny"/>
    <w:rsid w:val="00C95247"/>
    <w:pPr>
      <w:suppressAutoHyphens/>
      <w:spacing w:after="0" w:line="360" w:lineRule="auto"/>
      <w:jc w:val="both"/>
    </w:pPr>
    <w:rPr>
      <w:szCs w:val="20"/>
    </w:rPr>
  </w:style>
  <w:style w:type="table" w:customStyle="1" w:styleId="Jasnalistaakcent17">
    <w:name w:val="Jasna lista — akcent 17"/>
    <w:basedOn w:val="Standardowy"/>
    <w:uiPriority w:val="61"/>
    <w:rsid w:val="005B3D2D"/>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redniecieniowanie1akcent17">
    <w:name w:val="Średnie cieniowanie 1 — akcent 17"/>
    <w:basedOn w:val="Standardowy"/>
    <w:uiPriority w:val="63"/>
    <w:rsid w:val="005C6DE0"/>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character" w:customStyle="1" w:styleId="Styl1Znak">
    <w:name w:val="Styl1 Znak"/>
    <w:rsid w:val="00B45C7B"/>
    <w:rPr>
      <w:rFonts w:ascii="Times New Roman" w:eastAsia="Times New Roman" w:hAnsi="Times New Roman"/>
      <w:b/>
      <w:sz w:val="24"/>
      <w:szCs w:val="24"/>
    </w:rPr>
  </w:style>
  <w:style w:type="table" w:customStyle="1" w:styleId="Jasnalistaakcent21">
    <w:name w:val="Jasna lista — akcent 21"/>
    <w:basedOn w:val="Standardowy"/>
    <w:next w:val="Jasnalistaakcent2"/>
    <w:uiPriority w:val="61"/>
    <w:rsid w:val="009145A7"/>
    <w:tblPr>
      <w:tblStyleRowBandSize w:val="1"/>
      <w:tblStyleColBandSize w:val="1"/>
      <w:tblBorders>
        <w:top w:val="single" w:sz="8" w:space="0" w:color="EA157A"/>
        <w:left w:val="single" w:sz="8" w:space="0" w:color="EA157A"/>
        <w:bottom w:val="single" w:sz="8" w:space="0" w:color="EA157A"/>
        <w:right w:val="single" w:sz="8" w:space="0" w:color="EA157A"/>
      </w:tblBorders>
    </w:tblPr>
    <w:tblStylePr w:type="firstRow">
      <w:pPr>
        <w:spacing w:before="0" w:after="0" w:line="240" w:lineRule="auto"/>
      </w:pPr>
      <w:rPr>
        <w:b/>
        <w:bCs/>
        <w:color w:val="FFFFFF"/>
      </w:rPr>
      <w:tblPr/>
      <w:tcPr>
        <w:shd w:val="clear" w:color="auto" w:fill="EA157A"/>
      </w:tcPr>
    </w:tblStylePr>
    <w:tblStylePr w:type="lastRow">
      <w:pPr>
        <w:spacing w:before="0" w:after="0" w:line="240" w:lineRule="auto"/>
      </w:pPr>
      <w:rPr>
        <w:b/>
        <w:bCs/>
      </w:rPr>
      <w:tblPr/>
      <w:tcPr>
        <w:tcBorders>
          <w:top w:val="double" w:sz="6" w:space="0" w:color="EA157A"/>
          <w:left w:val="single" w:sz="8" w:space="0" w:color="EA157A"/>
          <w:bottom w:val="single" w:sz="8" w:space="0" w:color="EA157A"/>
          <w:right w:val="single" w:sz="8" w:space="0" w:color="EA157A"/>
        </w:tcBorders>
      </w:tcPr>
    </w:tblStylePr>
    <w:tblStylePr w:type="firstCol">
      <w:rPr>
        <w:b/>
        <w:bCs/>
      </w:rPr>
    </w:tblStylePr>
    <w:tblStylePr w:type="lastCol">
      <w:rPr>
        <w:b/>
        <w:bCs/>
      </w:rPr>
    </w:tblStylePr>
    <w:tblStylePr w:type="band1Vert">
      <w:tblPr/>
      <w:tcPr>
        <w:tcBorders>
          <w:top w:val="single" w:sz="8" w:space="0" w:color="EA157A"/>
          <w:left w:val="single" w:sz="8" w:space="0" w:color="EA157A"/>
          <w:bottom w:val="single" w:sz="8" w:space="0" w:color="EA157A"/>
          <w:right w:val="single" w:sz="8" w:space="0" w:color="EA157A"/>
        </w:tcBorders>
      </w:tcPr>
    </w:tblStylePr>
    <w:tblStylePr w:type="band1Horz">
      <w:tblPr/>
      <w:tcPr>
        <w:tcBorders>
          <w:top w:val="single" w:sz="8" w:space="0" w:color="EA157A"/>
          <w:left w:val="single" w:sz="8" w:space="0" w:color="EA157A"/>
          <w:bottom w:val="single" w:sz="8" w:space="0" w:color="EA157A"/>
          <w:right w:val="single" w:sz="8" w:space="0" w:color="EA157A"/>
        </w:tcBorders>
      </w:tcPr>
    </w:tblStylePr>
  </w:style>
  <w:style w:type="table" w:customStyle="1" w:styleId="Jasnalistaakcent51">
    <w:name w:val="Jasna lista — akcent 51"/>
    <w:basedOn w:val="Standardowy"/>
    <w:next w:val="Jasnalistaakcent5"/>
    <w:uiPriority w:val="61"/>
    <w:rsid w:val="009145A7"/>
    <w:tblPr>
      <w:tblStyleRowBandSize w:val="1"/>
      <w:tblStyleColBandSize w:val="1"/>
      <w:tblBorders>
        <w:top w:val="single" w:sz="8" w:space="0" w:color="738AC8"/>
        <w:left w:val="single" w:sz="8" w:space="0" w:color="738AC8"/>
        <w:bottom w:val="single" w:sz="8" w:space="0" w:color="738AC8"/>
        <w:right w:val="single" w:sz="8" w:space="0" w:color="738AC8"/>
      </w:tblBorders>
    </w:tblPr>
    <w:tblStylePr w:type="firstRow">
      <w:pPr>
        <w:spacing w:before="0" w:after="0" w:line="240" w:lineRule="auto"/>
      </w:pPr>
      <w:rPr>
        <w:b/>
        <w:bCs/>
        <w:color w:val="FFFFFF"/>
      </w:rPr>
      <w:tblPr/>
      <w:tcPr>
        <w:shd w:val="clear" w:color="auto" w:fill="738AC8"/>
      </w:tcPr>
    </w:tblStylePr>
    <w:tblStylePr w:type="lastRow">
      <w:pPr>
        <w:spacing w:before="0" w:after="0" w:line="240" w:lineRule="auto"/>
      </w:pPr>
      <w:rPr>
        <w:b/>
        <w:bCs/>
      </w:rPr>
      <w:tblPr/>
      <w:tcPr>
        <w:tcBorders>
          <w:top w:val="double" w:sz="6" w:space="0" w:color="738AC8"/>
          <w:left w:val="single" w:sz="8" w:space="0" w:color="738AC8"/>
          <w:bottom w:val="single" w:sz="8" w:space="0" w:color="738AC8"/>
          <w:right w:val="single" w:sz="8" w:space="0" w:color="738AC8"/>
        </w:tcBorders>
      </w:tcPr>
    </w:tblStylePr>
    <w:tblStylePr w:type="firstCol">
      <w:rPr>
        <w:b/>
        <w:bCs/>
      </w:rPr>
    </w:tblStylePr>
    <w:tblStylePr w:type="lastCol">
      <w:rPr>
        <w:b/>
        <w:bCs/>
      </w:rPr>
    </w:tblStylePr>
    <w:tblStylePr w:type="band1Vert">
      <w:tblPr/>
      <w:tcPr>
        <w:tcBorders>
          <w:top w:val="single" w:sz="8" w:space="0" w:color="738AC8"/>
          <w:left w:val="single" w:sz="8" w:space="0" w:color="738AC8"/>
          <w:bottom w:val="single" w:sz="8" w:space="0" w:color="738AC8"/>
          <w:right w:val="single" w:sz="8" w:space="0" w:color="738AC8"/>
        </w:tcBorders>
      </w:tcPr>
    </w:tblStylePr>
    <w:tblStylePr w:type="band1Horz">
      <w:tblPr/>
      <w:tcPr>
        <w:tcBorders>
          <w:top w:val="single" w:sz="8" w:space="0" w:color="738AC8"/>
          <w:left w:val="single" w:sz="8" w:space="0" w:color="738AC8"/>
          <w:bottom w:val="single" w:sz="8" w:space="0" w:color="738AC8"/>
          <w:right w:val="single" w:sz="8" w:space="0" w:color="738AC8"/>
        </w:tcBorders>
      </w:tcPr>
    </w:tblStylePr>
  </w:style>
  <w:style w:type="paragraph" w:customStyle="1" w:styleId="PRZYPIS">
    <w:name w:val="PRZYPIS"/>
    <w:basedOn w:val="Normalny"/>
    <w:next w:val="Normalny"/>
    <w:qFormat/>
    <w:rsid w:val="008F7EBF"/>
    <w:pPr>
      <w:autoSpaceDE w:val="0"/>
      <w:autoSpaceDN w:val="0"/>
      <w:adjustRightInd w:val="0"/>
      <w:spacing w:after="0" w:line="240" w:lineRule="auto"/>
      <w:jc w:val="both"/>
    </w:pPr>
    <w:rPr>
      <w:rFonts w:eastAsia="Calibri" w:cs="Tahoma"/>
      <w:color w:val="000000"/>
      <w:sz w:val="18"/>
      <w:szCs w:val="20"/>
      <w:lang w:eastAsia="en-US"/>
    </w:rPr>
  </w:style>
  <w:style w:type="table" w:styleId="Ciemnalistaakcent3">
    <w:name w:val="Dark List Accent 3"/>
    <w:basedOn w:val="Standardowy"/>
    <w:uiPriority w:val="70"/>
    <w:rsid w:val="007561D6"/>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customStyle="1" w:styleId="redniecieniowanie1akcent18">
    <w:name w:val="Średnie cieniowanie 1 — akcent 18"/>
    <w:basedOn w:val="Standardowy"/>
    <w:uiPriority w:val="63"/>
    <w:rsid w:val="00AF3393"/>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customStyle="1" w:styleId="Jasnalistaakcent18">
    <w:name w:val="Jasna lista — akcent 18"/>
    <w:basedOn w:val="Standardowy"/>
    <w:uiPriority w:val="61"/>
    <w:rsid w:val="007976C4"/>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Jasnasiatkaakcent14">
    <w:name w:val="Jasna siatka — akcent 14"/>
    <w:basedOn w:val="Standardowy"/>
    <w:uiPriority w:val="62"/>
    <w:rsid w:val="00537130"/>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asiatki5ciemnaakcent61">
    <w:name w:val="Tabela siatki 5 — ciemna — akcent 61"/>
    <w:basedOn w:val="Standardowy"/>
    <w:uiPriority w:val="50"/>
    <w:rsid w:val="000451D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elalisty3akcent61">
    <w:name w:val="Tabela listy 3 — akcent 61"/>
    <w:basedOn w:val="Standardowy"/>
    <w:uiPriority w:val="48"/>
    <w:rsid w:val="000451DF"/>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Tabelasiatki4akcent61">
    <w:name w:val="Tabela siatki 4 — akcent 61"/>
    <w:basedOn w:val="Standardowy"/>
    <w:uiPriority w:val="49"/>
    <w:rsid w:val="000451D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Jasnasiatkaakcent31">
    <w:name w:val="Jasna siatka — akcent 31"/>
    <w:basedOn w:val="Standardowy"/>
    <w:next w:val="Jasnasiatkaakcent3"/>
    <w:uiPriority w:val="62"/>
    <w:rsid w:val="006A17F3"/>
    <w:rPr>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Tabelasiatki4akcent11">
    <w:name w:val="Tabela siatki 4 — akcent 11"/>
    <w:basedOn w:val="Standardowy"/>
    <w:uiPriority w:val="49"/>
    <w:rsid w:val="003524B0"/>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listy3akcent11">
    <w:name w:val="Tabela listy 3 — akcent 11"/>
    <w:basedOn w:val="Standardowy"/>
    <w:uiPriority w:val="48"/>
    <w:rsid w:val="00571335"/>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elasiatki5ciemnaakcent11">
    <w:name w:val="Tabela siatki 5 — ciemna — akcent 11"/>
    <w:basedOn w:val="Standardowy"/>
    <w:uiPriority w:val="50"/>
    <w:rsid w:val="006D2B4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a1">
    <w:name w:val="Tabela - Siatka1"/>
    <w:basedOn w:val="Standardowy"/>
    <w:next w:val="Tabela-Siatka"/>
    <w:uiPriority w:val="59"/>
    <w:rsid w:val="0027485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listaakcent19">
    <w:name w:val="Jasna lista — akcent 19"/>
    <w:basedOn w:val="Standardowy"/>
    <w:next w:val="Jasnalistaakcent1"/>
    <w:uiPriority w:val="61"/>
    <w:rsid w:val="00580CE6"/>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Jasnalistaakcent1">
    <w:name w:val="Light List Accent 1"/>
    <w:basedOn w:val="Standardowy"/>
    <w:uiPriority w:val="61"/>
    <w:unhideWhenUsed/>
    <w:rsid w:val="00580CE6"/>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Tabela-Siatka2">
    <w:name w:val="Tabela - Siatka2"/>
    <w:basedOn w:val="Standardowy"/>
    <w:next w:val="Tabela-Siatka"/>
    <w:uiPriority w:val="59"/>
    <w:rsid w:val="007C2EE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Znak">
    <w:name w:val="Default Znak"/>
    <w:basedOn w:val="Domylnaczcionkaakapitu"/>
    <w:link w:val="Default"/>
    <w:locked/>
    <w:rsid w:val="002902C4"/>
    <w:rPr>
      <w:rFonts w:ascii="Times New Roman" w:eastAsia="Times New Roman" w:hAnsi="Times New Roman"/>
      <w:color w:val="000000"/>
      <w:sz w:val="24"/>
      <w:szCs w:val="24"/>
    </w:rPr>
  </w:style>
  <w:style w:type="table" w:styleId="Tabelasiatki5ciemnaakcent1">
    <w:name w:val="Grid Table 5 Dark Accent 1"/>
    <w:basedOn w:val="Standardowy"/>
    <w:uiPriority w:val="50"/>
    <w:rsid w:val="00D4092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Tabelasiatki1jasnaakcent1">
    <w:name w:val="Grid Table 1 Light Accent 1"/>
    <w:basedOn w:val="Standardowy"/>
    <w:uiPriority w:val="46"/>
    <w:rsid w:val="003312AE"/>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Jasnalistaakcent151">
    <w:name w:val="Jasna lista — akcent 151"/>
    <w:basedOn w:val="Standardowy"/>
    <w:uiPriority w:val="61"/>
    <w:rsid w:val="00A64270"/>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Tabelalisty3akcent5">
    <w:name w:val="List Table 3 Accent 5"/>
    <w:basedOn w:val="Standardowy"/>
    <w:uiPriority w:val="48"/>
    <w:rsid w:val="0086566F"/>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Tabelalisty3akcent4">
    <w:name w:val="List Table 3 Accent 4"/>
    <w:basedOn w:val="Standardowy"/>
    <w:uiPriority w:val="48"/>
    <w:rsid w:val="0086566F"/>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Tabelalisty3akcent1">
    <w:name w:val="List Table 3 Accent 1"/>
    <w:basedOn w:val="Standardowy"/>
    <w:uiPriority w:val="48"/>
    <w:rsid w:val="009645F7"/>
    <w:rPr>
      <w:rFonts w:asciiTheme="minorHAnsi" w:eastAsiaTheme="minorHAnsi" w:hAnsiTheme="minorHAnsi" w:cstheme="minorBidi"/>
      <w:sz w:val="22"/>
      <w:szCs w:val="22"/>
      <w:lang w:eastAsia="en-US"/>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LegendaZnak">
    <w:name w:val="Legenda Znak"/>
    <w:aliases w:val="Podpis pod rysunkiem Znak,Nagłówek Tabeli Znak,Nag3ówek Tabeli Znak,Tabela nr Znak,Legenda Znak Znak Znak Znak1,Legenda Znak Znak Znak Znak Znak,Legenda Znak Znak Znak Znak Znak Znak Znak1,Legenda Znak Znak Znak Znak Znak Znak Znak Znak"/>
    <w:basedOn w:val="Domylnaczcionkaakapitu"/>
    <w:link w:val="Legenda"/>
    <w:uiPriority w:val="35"/>
    <w:rsid w:val="00E1248C"/>
    <w:rPr>
      <w:rFonts w:ascii="Times New Roman" w:eastAsia="Times New Roman" w:hAnsi="Times New Roman"/>
      <w:b/>
      <w:bCs/>
      <w:color w:val="4F81BD"/>
      <w:sz w:val="18"/>
      <w:szCs w:val="18"/>
    </w:rPr>
  </w:style>
  <w:style w:type="paragraph" w:styleId="Wykazrde">
    <w:name w:val="table of authorities"/>
    <w:basedOn w:val="Normalny"/>
    <w:next w:val="Normalny"/>
    <w:uiPriority w:val="99"/>
    <w:unhideWhenUsed/>
    <w:rsid w:val="00E1248C"/>
    <w:pPr>
      <w:spacing w:before="120" w:after="120"/>
      <w:ind w:left="198" w:hanging="198"/>
      <w:jc w:val="both"/>
    </w:pPr>
    <w:rPr>
      <w:rFonts w:ascii="Calibri" w:eastAsiaTheme="minorHAnsi" w:hAnsi="Calibri"/>
      <w:i/>
      <w:sz w:val="22"/>
      <w:szCs w:val="20"/>
      <w:lang w:eastAsia="en-US"/>
    </w:rPr>
  </w:style>
  <w:style w:type="table" w:styleId="Tabelalisty3akcent3">
    <w:name w:val="List Table 3 Accent 3"/>
    <w:basedOn w:val="Standardowy"/>
    <w:uiPriority w:val="48"/>
    <w:rsid w:val="00C76B2B"/>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Tabelalisty3akcent6">
    <w:name w:val="List Table 3 Accent 6"/>
    <w:basedOn w:val="Standardowy"/>
    <w:uiPriority w:val="48"/>
    <w:rsid w:val="00EE50E2"/>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Tabelalisty3akcent62">
    <w:name w:val="Tabela listy 3 — akcent 62"/>
    <w:basedOn w:val="Standardowy"/>
    <w:next w:val="Tabelalisty3akcent6"/>
    <w:uiPriority w:val="48"/>
    <w:rsid w:val="000C056A"/>
    <w:rPr>
      <w:rFonts w:asciiTheme="minorHAnsi" w:eastAsiaTheme="minorHAnsi" w:hAnsiTheme="minorHAnsi" w:cstheme="minorBidi"/>
      <w:sz w:val="22"/>
      <w:szCs w:val="22"/>
      <w:lang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0745">
      <w:bodyDiv w:val="1"/>
      <w:marLeft w:val="0"/>
      <w:marRight w:val="0"/>
      <w:marTop w:val="0"/>
      <w:marBottom w:val="0"/>
      <w:divBdr>
        <w:top w:val="none" w:sz="0" w:space="0" w:color="auto"/>
        <w:left w:val="none" w:sz="0" w:space="0" w:color="auto"/>
        <w:bottom w:val="none" w:sz="0" w:space="0" w:color="auto"/>
        <w:right w:val="none" w:sz="0" w:space="0" w:color="auto"/>
      </w:divBdr>
    </w:div>
    <w:div w:id="3555240">
      <w:bodyDiv w:val="1"/>
      <w:marLeft w:val="0"/>
      <w:marRight w:val="0"/>
      <w:marTop w:val="0"/>
      <w:marBottom w:val="0"/>
      <w:divBdr>
        <w:top w:val="none" w:sz="0" w:space="0" w:color="auto"/>
        <w:left w:val="none" w:sz="0" w:space="0" w:color="auto"/>
        <w:bottom w:val="none" w:sz="0" w:space="0" w:color="auto"/>
        <w:right w:val="none" w:sz="0" w:space="0" w:color="auto"/>
      </w:divBdr>
    </w:div>
    <w:div w:id="3630032">
      <w:bodyDiv w:val="1"/>
      <w:marLeft w:val="0"/>
      <w:marRight w:val="0"/>
      <w:marTop w:val="0"/>
      <w:marBottom w:val="0"/>
      <w:divBdr>
        <w:top w:val="none" w:sz="0" w:space="0" w:color="auto"/>
        <w:left w:val="none" w:sz="0" w:space="0" w:color="auto"/>
        <w:bottom w:val="none" w:sz="0" w:space="0" w:color="auto"/>
        <w:right w:val="none" w:sz="0" w:space="0" w:color="auto"/>
      </w:divBdr>
    </w:div>
    <w:div w:id="5332739">
      <w:bodyDiv w:val="1"/>
      <w:marLeft w:val="0"/>
      <w:marRight w:val="0"/>
      <w:marTop w:val="0"/>
      <w:marBottom w:val="0"/>
      <w:divBdr>
        <w:top w:val="none" w:sz="0" w:space="0" w:color="auto"/>
        <w:left w:val="none" w:sz="0" w:space="0" w:color="auto"/>
        <w:bottom w:val="none" w:sz="0" w:space="0" w:color="auto"/>
        <w:right w:val="none" w:sz="0" w:space="0" w:color="auto"/>
      </w:divBdr>
      <w:divsChild>
        <w:div w:id="2121022281">
          <w:marLeft w:val="0"/>
          <w:marRight w:val="0"/>
          <w:marTop w:val="0"/>
          <w:marBottom w:val="0"/>
          <w:divBdr>
            <w:top w:val="none" w:sz="0" w:space="0" w:color="auto"/>
            <w:left w:val="none" w:sz="0" w:space="0" w:color="auto"/>
            <w:bottom w:val="none" w:sz="0" w:space="0" w:color="auto"/>
            <w:right w:val="none" w:sz="0" w:space="0" w:color="auto"/>
          </w:divBdr>
          <w:divsChild>
            <w:div w:id="1512407015">
              <w:marLeft w:val="0"/>
              <w:marRight w:val="0"/>
              <w:marTop w:val="0"/>
              <w:marBottom w:val="0"/>
              <w:divBdr>
                <w:top w:val="none" w:sz="0" w:space="0" w:color="auto"/>
                <w:left w:val="none" w:sz="0" w:space="0" w:color="auto"/>
                <w:bottom w:val="none" w:sz="0" w:space="0" w:color="auto"/>
                <w:right w:val="none" w:sz="0" w:space="0" w:color="auto"/>
              </w:divBdr>
              <w:divsChild>
                <w:div w:id="1487355714">
                  <w:marLeft w:val="0"/>
                  <w:marRight w:val="0"/>
                  <w:marTop w:val="0"/>
                  <w:marBottom w:val="0"/>
                  <w:divBdr>
                    <w:top w:val="none" w:sz="0" w:space="0" w:color="auto"/>
                    <w:left w:val="none" w:sz="0" w:space="0" w:color="auto"/>
                    <w:bottom w:val="none" w:sz="0" w:space="0" w:color="auto"/>
                    <w:right w:val="none" w:sz="0" w:space="0" w:color="auto"/>
                  </w:divBdr>
                  <w:divsChild>
                    <w:div w:id="1828127603">
                      <w:marLeft w:val="0"/>
                      <w:marRight w:val="0"/>
                      <w:marTop w:val="0"/>
                      <w:marBottom w:val="0"/>
                      <w:divBdr>
                        <w:top w:val="none" w:sz="0" w:space="0" w:color="auto"/>
                        <w:left w:val="none" w:sz="0" w:space="0" w:color="auto"/>
                        <w:bottom w:val="none" w:sz="0" w:space="0" w:color="auto"/>
                        <w:right w:val="none" w:sz="0" w:space="0" w:color="auto"/>
                      </w:divBdr>
                      <w:divsChild>
                        <w:div w:id="617682234">
                          <w:marLeft w:val="0"/>
                          <w:marRight w:val="0"/>
                          <w:marTop w:val="0"/>
                          <w:marBottom w:val="0"/>
                          <w:divBdr>
                            <w:top w:val="none" w:sz="0" w:space="0" w:color="auto"/>
                            <w:left w:val="none" w:sz="0" w:space="0" w:color="auto"/>
                            <w:bottom w:val="none" w:sz="0" w:space="0" w:color="auto"/>
                            <w:right w:val="none" w:sz="0" w:space="0" w:color="auto"/>
                          </w:divBdr>
                          <w:divsChild>
                            <w:div w:id="1385564041">
                              <w:marLeft w:val="0"/>
                              <w:marRight w:val="0"/>
                              <w:marTop w:val="0"/>
                              <w:marBottom w:val="0"/>
                              <w:divBdr>
                                <w:top w:val="none" w:sz="0" w:space="0" w:color="auto"/>
                                <w:left w:val="none" w:sz="0" w:space="0" w:color="auto"/>
                                <w:bottom w:val="none" w:sz="0" w:space="0" w:color="auto"/>
                                <w:right w:val="none" w:sz="0" w:space="0" w:color="auto"/>
                              </w:divBdr>
                              <w:divsChild>
                                <w:div w:id="262567669">
                                  <w:marLeft w:val="0"/>
                                  <w:marRight w:val="0"/>
                                  <w:marTop w:val="0"/>
                                  <w:marBottom w:val="0"/>
                                  <w:divBdr>
                                    <w:top w:val="none" w:sz="0" w:space="0" w:color="auto"/>
                                    <w:left w:val="none" w:sz="0" w:space="0" w:color="auto"/>
                                    <w:bottom w:val="none" w:sz="0" w:space="0" w:color="auto"/>
                                    <w:right w:val="none" w:sz="0" w:space="0" w:color="auto"/>
                                  </w:divBdr>
                                  <w:divsChild>
                                    <w:div w:id="390353259">
                                      <w:marLeft w:val="0"/>
                                      <w:marRight w:val="0"/>
                                      <w:marTop w:val="0"/>
                                      <w:marBottom w:val="0"/>
                                      <w:divBdr>
                                        <w:top w:val="none" w:sz="0" w:space="0" w:color="auto"/>
                                        <w:left w:val="none" w:sz="0" w:space="0" w:color="auto"/>
                                        <w:bottom w:val="none" w:sz="0" w:space="0" w:color="auto"/>
                                        <w:right w:val="none" w:sz="0" w:space="0" w:color="auto"/>
                                      </w:divBdr>
                                      <w:divsChild>
                                        <w:div w:id="180153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169347">
      <w:bodyDiv w:val="1"/>
      <w:marLeft w:val="0"/>
      <w:marRight w:val="0"/>
      <w:marTop w:val="0"/>
      <w:marBottom w:val="0"/>
      <w:divBdr>
        <w:top w:val="none" w:sz="0" w:space="0" w:color="auto"/>
        <w:left w:val="none" w:sz="0" w:space="0" w:color="auto"/>
        <w:bottom w:val="none" w:sz="0" w:space="0" w:color="auto"/>
        <w:right w:val="none" w:sz="0" w:space="0" w:color="auto"/>
      </w:divBdr>
    </w:div>
    <w:div w:id="22218814">
      <w:bodyDiv w:val="1"/>
      <w:marLeft w:val="0"/>
      <w:marRight w:val="0"/>
      <w:marTop w:val="0"/>
      <w:marBottom w:val="0"/>
      <w:divBdr>
        <w:top w:val="none" w:sz="0" w:space="0" w:color="auto"/>
        <w:left w:val="none" w:sz="0" w:space="0" w:color="auto"/>
        <w:bottom w:val="none" w:sz="0" w:space="0" w:color="auto"/>
        <w:right w:val="none" w:sz="0" w:space="0" w:color="auto"/>
      </w:divBdr>
      <w:divsChild>
        <w:div w:id="1559778420">
          <w:marLeft w:val="0"/>
          <w:marRight w:val="0"/>
          <w:marTop w:val="0"/>
          <w:marBottom w:val="0"/>
          <w:divBdr>
            <w:top w:val="none" w:sz="0" w:space="0" w:color="auto"/>
            <w:left w:val="none" w:sz="0" w:space="0" w:color="auto"/>
            <w:bottom w:val="none" w:sz="0" w:space="0" w:color="auto"/>
            <w:right w:val="none" w:sz="0" w:space="0" w:color="auto"/>
          </w:divBdr>
          <w:divsChild>
            <w:div w:id="1559517547">
              <w:marLeft w:val="0"/>
              <w:marRight w:val="0"/>
              <w:marTop w:val="0"/>
              <w:marBottom w:val="0"/>
              <w:divBdr>
                <w:top w:val="none" w:sz="0" w:space="0" w:color="auto"/>
                <w:left w:val="none" w:sz="0" w:space="0" w:color="auto"/>
                <w:bottom w:val="none" w:sz="0" w:space="0" w:color="auto"/>
                <w:right w:val="none" w:sz="0" w:space="0" w:color="auto"/>
              </w:divBdr>
              <w:divsChild>
                <w:div w:id="1060178130">
                  <w:marLeft w:val="0"/>
                  <w:marRight w:val="0"/>
                  <w:marTop w:val="0"/>
                  <w:marBottom w:val="0"/>
                  <w:divBdr>
                    <w:top w:val="none" w:sz="0" w:space="0" w:color="auto"/>
                    <w:left w:val="none" w:sz="0" w:space="0" w:color="auto"/>
                    <w:bottom w:val="none" w:sz="0" w:space="0" w:color="auto"/>
                    <w:right w:val="none" w:sz="0" w:space="0" w:color="auto"/>
                  </w:divBdr>
                  <w:divsChild>
                    <w:div w:id="41558207">
                      <w:marLeft w:val="0"/>
                      <w:marRight w:val="0"/>
                      <w:marTop w:val="0"/>
                      <w:marBottom w:val="0"/>
                      <w:divBdr>
                        <w:top w:val="none" w:sz="0" w:space="0" w:color="auto"/>
                        <w:left w:val="none" w:sz="0" w:space="0" w:color="auto"/>
                        <w:bottom w:val="none" w:sz="0" w:space="0" w:color="auto"/>
                        <w:right w:val="none" w:sz="0" w:space="0" w:color="auto"/>
                      </w:divBdr>
                    </w:div>
                    <w:div w:id="603344828">
                      <w:marLeft w:val="0"/>
                      <w:marRight w:val="0"/>
                      <w:marTop w:val="0"/>
                      <w:marBottom w:val="0"/>
                      <w:divBdr>
                        <w:top w:val="none" w:sz="0" w:space="0" w:color="auto"/>
                        <w:left w:val="none" w:sz="0" w:space="0" w:color="auto"/>
                        <w:bottom w:val="none" w:sz="0" w:space="0" w:color="auto"/>
                        <w:right w:val="none" w:sz="0" w:space="0" w:color="auto"/>
                      </w:divBdr>
                    </w:div>
                  </w:divsChild>
                </w:div>
                <w:div w:id="1233270058">
                  <w:marLeft w:val="0"/>
                  <w:marRight w:val="0"/>
                  <w:marTop w:val="0"/>
                  <w:marBottom w:val="0"/>
                  <w:divBdr>
                    <w:top w:val="none" w:sz="0" w:space="0" w:color="auto"/>
                    <w:left w:val="none" w:sz="0" w:space="0" w:color="auto"/>
                    <w:bottom w:val="none" w:sz="0" w:space="0" w:color="auto"/>
                    <w:right w:val="none" w:sz="0" w:space="0" w:color="auto"/>
                  </w:divBdr>
                </w:div>
                <w:div w:id="1338465853">
                  <w:marLeft w:val="0"/>
                  <w:marRight w:val="0"/>
                  <w:marTop w:val="0"/>
                  <w:marBottom w:val="0"/>
                  <w:divBdr>
                    <w:top w:val="none" w:sz="0" w:space="0" w:color="auto"/>
                    <w:left w:val="none" w:sz="0" w:space="0" w:color="auto"/>
                    <w:bottom w:val="none" w:sz="0" w:space="0" w:color="auto"/>
                    <w:right w:val="none" w:sz="0" w:space="0" w:color="auto"/>
                  </w:divBdr>
                  <w:divsChild>
                    <w:div w:id="864632775">
                      <w:marLeft w:val="0"/>
                      <w:marRight w:val="0"/>
                      <w:marTop w:val="0"/>
                      <w:marBottom w:val="0"/>
                      <w:divBdr>
                        <w:top w:val="none" w:sz="0" w:space="0" w:color="auto"/>
                        <w:left w:val="none" w:sz="0" w:space="0" w:color="auto"/>
                        <w:bottom w:val="none" w:sz="0" w:space="0" w:color="auto"/>
                        <w:right w:val="none" w:sz="0" w:space="0" w:color="auto"/>
                      </w:divBdr>
                      <w:divsChild>
                        <w:div w:id="1347944616">
                          <w:marLeft w:val="0"/>
                          <w:marRight w:val="0"/>
                          <w:marTop w:val="0"/>
                          <w:marBottom w:val="0"/>
                          <w:divBdr>
                            <w:top w:val="none" w:sz="0" w:space="0" w:color="auto"/>
                            <w:left w:val="none" w:sz="0" w:space="0" w:color="auto"/>
                            <w:bottom w:val="none" w:sz="0" w:space="0" w:color="auto"/>
                            <w:right w:val="none" w:sz="0" w:space="0" w:color="auto"/>
                          </w:divBdr>
                        </w:div>
                      </w:divsChild>
                    </w:div>
                    <w:div w:id="1813062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633001">
              <w:marLeft w:val="0"/>
              <w:marRight w:val="0"/>
              <w:marTop w:val="0"/>
              <w:marBottom w:val="0"/>
              <w:divBdr>
                <w:top w:val="none" w:sz="0" w:space="0" w:color="auto"/>
                <w:left w:val="none" w:sz="0" w:space="0" w:color="auto"/>
                <w:bottom w:val="none" w:sz="0" w:space="0" w:color="auto"/>
                <w:right w:val="none" w:sz="0" w:space="0" w:color="auto"/>
              </w:divBdr>
              <w:divsChild>
                <w:div w:id="692223270">
                  <w:marLeft w:val="0"/>
                  <w:marRight w:val="0"/>
                  <w:marTop w:val="0"/>
                  <w:marBottom w:val="0"/>
                  <w:divBdr>
                    <w:top w:val="none" w:sz="0" w:space="0" w:color="auto"/>
                    <w:left w:val="none" w:sz="0" w:space="0" w:color="auto"/>
                    <w:bottom w:val="none" w:sz="0" w:space="0" w:color="auto"/>
                    <w:right w:val="none" w:sz="0" w:space="0" w:color="auto"/>
                  </w:divBdr>
                  <w:divsChild>
                    <w:div w:id="1533305153">
                      <w:marLeft w:val="0"/>
                      <w:marRight w:val="0"/>
                      <w:marTop w:val="0"/>
                      <w:marBottom w:val="0"/>
                      <w:divBdr>
                        <w:top w:val="none" w:sz="0" w:space="0" w:color="auto"/>
                        <w:left w:val="none" w:sz="0" w:space="0" w:color="auto"/>
                        <w:bottom w:val="none" w:sz="0" w:space="0" w:color="auto"/>
                        <w:right w:val="none" w:sz="0" w:space="0" w:color="auto"/>
                      </w:divBdr>
                    </w:div>
                    <w:div w:id="1564488603">
                      <w:marLeft w:val="0"/>
                      <w:marRight w:val="0"/>
                      <w:marTop w:val="0"/>
                      <w:marBottom w:val="0"/>
                      <w:divBdr>
                        <w:top w:val="none" w:sz="0" w:space="0" w:color="auto"/>
                        <w:left w:val="none" w:sz="0" w:space="0" w:color="auto"/>
                        <w:bottom w:val="none" w:sz="0" w:space="0" w:color="auto"/>
                        <w:right w:val="none" w:sz="0" w:space="0" w:color="auto"/>
                      </w:divBdr>
                      <w:divsChild>
                        <w:div w:id="305862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039246">
                  <w:marLeft w:val="0"/>
                  <w:marRight w:val="0"/>
                  <w:marTop w:val="0"/>
                  <w:marBottom w:val="0"/>
                  <w:divBdr>
                    <w:top w:val="none" w:sz="0" w:space="0" w:color="auto"/>
                    <w:left w:val="none" w:sz="0" w:space="0" w:color="auto"/>
                    <w:bottom w:val="none" w:sz="0" w:space="0" w:color="auto"/>
                    <w:right w:val="none" w:sz="0" w:space="0" w:color="auto"/>
                  </w:divBdr>
                  <w:divsChild>
                    <w:div w:id="667832200">
                      <w:marLeft w:val="0"/>
                      <w:marRight w:val="0"/>
                      <w:marTop w:val="0"/>
                      <w:marBottom w:val="0"/>
                      <w:divBdr>
                        <w:top w:val="none" w:sz="0" w:space="0" w:color="auto"/>
                        <w:left w:val="none" w:sz="0" w:space="0" w:color="auto"/>
                        <w:bottom w:val="none" w:sz="0" w:space="0" w:color="auto"/>
                        <w:right w:val="none" w:sz="0" w:space="0" w:color="auto"/>
                      </w:divBdr>
                      <w:divsChild>
                        <w:div w:id="99368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123419">
              <w:marLeft w:val="0"/>
              <w:marRight w:val="0"/>
              <w:marTop w:val="0"/>
              <w:marBottom w:val="0"/>
              <w:divBdr>
                <w:top w:val="none" w:sz="0" w:space="0" w:color="auto"/>
                <w:left w:val="none" w:sz="0" w:space="0" w:color="auto"/>
                <w:bottom w:val="none" w:sz="0" w:space="0" w:color="auto"/>
                <w:right w:val="none" w:sz="0" w:space="0" w:color="auto"/>
              </w:divBdr>
              <w:divsChild>
                <w:div w:id="1033773887">
                  <w:marLeft w:val="0"/>
                  <w:marRight w:val="0"/>
                  <w:marTop w:val="0"/>
                  <w:marBottom w:val="0"/>
                  <w:divBdr>
                    <w:top w:val="none" w:sz="0" w:space="0" w:color="auto"/>
                    <w:left w:val="none" w:sz="0" w:space="0" w:color="auto"/>
                    <w:bottom w:val="none" w:sz="0" w:space="0" w:color="auto"/>
                    <w:right w:val="none" w:sz="0" w:space="0" w:color="auto"/>
                  </w:divBdr>
                  <w:divsChild>
                    <w:div w:id="1451244586">
                      <w:marLeft w:val="0"/>
                      <w:marRight w:val="0"/>
                      <w:marTop w:val="0"/>
                      <w:marBottom w:val="0"/>
                      <w:divBdr>
                        <w:top w:val="none" w:sz="0" w:space="0" w:color="auto"/>
                        <w:left w:val="none" w:sz="0" w:space="0" w:color="auto"/>
                        <w:bottom w:val="none" w:sz="0" w:space="0" w:color="auto"/>
                        <w:right w:val="none" w:sz="0" w:space="0" w:color="auto"/>
                      </w:divBdr>
                    </w:div>
                  </w:divsChild>
                </w:div>
                <w:div w:id="1048190697">
                  <w:marLeft w:val="0"/>
                  <w:marRight w:val="0"/>
                  <w:marTop w:val="0"/>
                  <w:marBottom w:val="0"/>
                  <w:divBdr>
                    <w:top w:val="none" w:sz="0" w:space="0" w:color="auto"/>
                    <w:left w:val="none" w:sz="0" w:space="0" w:color="auto"/>
                    <w:bottom w:val="none" w:sz="0" w:space="0" w:color="auto"/>
                    <w:right w:val="none" w:sz="0" w:space="0" w:color="auto"/>
                  </w:divBdr>
                  <w:divsChild>
                    <w:div w:id="13919968">
                      <w:marLeft w:val="0"/>
                      <w:marRight w:val="0"/>
                      <w:marTop w:val="0"/>
                      <w:marBottom w:val="0"/>
                      <w:divBdr>
                        <w:top w:val="none" w:sz="0" w:space="0" w:color="auto"/>
                        <w:left w:val="none" w:sz="0" w:space="0" w:color="auto"/>
                        <w:bottom w:val="none" w:sz="0" w:space="0" w:color="auto"/>
                        <w:right w:val="none" w:sz="0" w:space="0" w:color="auto"/>
                      </w:divBdr>
                      <w:divsChild>
                        <w:div w:id="237637763">
                          <w:marLeft w:val="0"/>
                          <w:marRight w:val="0"/>
                          <w:marTop w:val="0"/>
                          <w:marBottom w:val="0"/>
                          <w:divBdr>
                            <w:top w:val="none" w:sz="0" w:space="0" w:color="auto"/>
                            <w:left w:val="none" w:sz="0" w:space="0" w:color="auto"/>
                            <w:bottom w:val="none" w:sz="0" w:space="0" w:color="auto"/>
                            <w:right w:val="none" w:sz="0" w:space="0" w:color="auto"/>
                          </w:divBdr>
                        </w:div>
                        <w:div w:id="560874310">
                          <w:marLeft w:val="0"/>
                          <w:marRight w:val="0"/>
                          <w:marTop w:val="0"/>
                          <w:marBottom w:val="0"/>
                          <w:divBdr>
                            <w:top w:val="none" w:sz="0" w:space="0" w:color="auto"/>
                            <w:left w:val="none" w:sz="0" w:space="0" w:color="auto"/>
                            <w:bottom w:val="none" w:sz="0" w:space="0" w:color="auto"/>
                            <w:right w:val="none" w:sz="0" w:space="0" w:color="auto"/>
                          </w:divBdr>
                        </w:div>
                        <w:div w:id="1964076087">
                          <w:marLeft w:val="0"/>
                          <w:marRight w:val="0"/>
                          <w:marTop w:val="0"/>
                          <w:marBottom w:val="0"/>
                          <w:divBdr>
                            <w:top w:val="none" w:sz="0" w:space="0" w:color="auto"/>
                            <w:left w:val="none" w:sz="0" w:space="0" w:color="auto"/>
                            <w:bottom w:val="none" w:sz="0" w:space="0" w:color="auto"/>
                            <w:right w:val="none" w:sz="0" w:space="0" w:color="auto"/>
                          </w:divBdr>
                        </w:div>
                        <w:div w:id="1984650300">
                          <w:marLeft w:val="0"/>
                          <w:marRight w:val="0"/>
                          <w:marTop w:val="0"/>
                          <w:marBottom w:val="0"/>
                          <w:divBdr>
                            <w:top w:val="none" w:sz="0" w:space="0" w:color="auto"/>
                            <w:left w:val="none" w:sz="0" w:space="0" w:color="auto"/>
                            <w:bottom w:val="none" w:sz="0" w:space="0" w:color="auto"/>
                            <w:right w:val="none" w:sz="0" w:space="0" w:color="auto"/>
                          </w:divBdr>
                        </w:div>
                        <w:div w:id="2108305461">
                          <w:marLeft w:val="0"/>
                          <w:marRight w:val="0"/>
                          <w:marTop w:val="0"/>
                          <w:marBottom w:val="0"/>
                          <w:divBdr>
                            <w:top w:val="none" w:sz="0" w:space="0" w:color="auto"/>
                            <w:left w:val="none" w:sz="0" w:space="0" w:color="auto"/>
                            <w:bottom w:val="none" w:sz="0" w:space="0" w:color="auto"/>
                            <w:right w:val="none" w:sz="0" w:space="0" w:color="auto"/>
                          </w:divBdr>
                        </w:div>
                      </w:divsChild>
                    </w:div>
                    <w:div w:id="443960787">
                      <w:marLeft w:val="0"/>
                      <w:marRight w:val="0"/>
                      <w:marTop w:val="0"/>
                      <w:marBottom w:val="0"/>
                      <w:divBdr>
                        <w:top w:val="none" w:sz="0" w:space="0" w:color="auto"/>
                        <w:left w:val="none" w:sz="0" w:space="0" w:color="auto"/>
                        <w:bottom w:val="none" w:sz="0" w:space="0" w:color="auto"/>
                        <w:right w:val="none" w:sz="0" w:space="0" w:color="auto"/>
                      </w:divBdr>
                      <w:divsChild>
                        <w:div w:id="1311014488">
                          <w:marLeft w:val="0"/>
                          <w:marRight w:val="0"/>
                          <w:marTop w:val="0"/>
                          <w:marBottom w:val="0"/>
                          <w:divBdr>
                            <w:top w:val="none" w:sz="0" w:space="0" w:color="auto"/>
                            <w:left w:val="none" w:sz="0" w:space="0" w:color="auto"/>
                            <w:bottom w:val="none" w:sz="0" w:space="0" w:color="auto"/>
                            <w:right w:val="none" w:sz="0" w:space="0" w:color="auto"/>
                          </w:divBdr>
                          <w:divsChild>
                            <w:div w:id="33358246">
                              <w:marLeft w:val="0"/>
                              <w:marRight w:val="0"/>
                              <w:marTop w:val="0"/>
                              <w:marBottom w:val="0"/>
                              <w:divBdr>
                                <w:top w:val="none" w:sz="0" w:space="0" w:color="auto"/>
                                <w:left w:val="none" w:sz="0" w:space="0" w:color="auto"/>
                                <w:bottom w:val="none" w:sz="0" w:space="0" w:color="auto"/>
                                <w:right w:val="none" w:sz="0" w:space="0" w:color="auto"/>
                              </w:divBdr>
                              <w:divsChild>
                                <w:div w:id="16741427">
                                  <w:marLeft w:val="0"/>
                                  <w:marRight w:val="0"/>
                                  <w:marTop w:val="0"/>
                                  <w:marBottom w:val="0"/>
                                  <w:divBdr>
                                    <w:top w:val="none" w:sz="0" w:space="0" w:color="auto"/>
                                    <w:left w:val="none" w:sz="0" w:space="0" w:color="auto"/>
                                    <w:bottom w:val="none" w:sz="0" w:space="0" w:color="auto"/>
                                    <w:right w:val="none" w:sz="0" w:space="0" w:color="auto"/>
                                  </w:divBdr>
                                </w:div>
                                <w:div w:id="155001528">
                                  <w:marLeft w:val="0"/>
                                  <w:marRight w:val="0"/>
                                  <w:marTop w:val="0"/>
                                  <w:marBottom w:val="0"/>
                                  <w:divBdr>
                                    <w:top w:val="none" w:sz="0" w:space="0" w:color="auto"/>
                                    <w:left w:val="none" w:sz="0" w:space="0" w:color="auto"/>
                                    <w:bottom w:val="none" w:sz="0" w:space="0" w:color="auto"/>
                                    <w:right w:val="none" w:sz="0" w:space="0" w:color="auto"/>
                                  </w:divBdr>
                                </w:div>
                              </w:divsChild>
                            </w:div>
                            <w:div w:id="926185863">
                              <w:marLeft w:val="0"/>
                              <w:marRight w:val="0"/>
                              <w:marTop w:val="0"/>
                              <w:marBottom w:val="0"/>
                              <w:divBdr>
                                <w:top w:val="none" w:sz="0" w:space="0" w:color="auto"/>
                                <w:left w:val="none" w:sz="0" w:space="0" w:color="auto"/>
                                <w:bottom w:val="none" w:sz="0" w:space="0" w:color="auto"/>
                                <w:right w:val="none" w:sz="0" w:space="0" w:color="auto"/>
                              </w:divBdr>
                              <w:divsChild>
                                <w:div w:id="60443696">
                                  <w:marLeft w:val="0"/>
                                  <w:marRight w:val="0"/>
                                  <w:marTop w:val="0"/>
                                  <w:marBottom w:val="0"/>
                                  <w:divBdr>
                                    <w:top w:val="none" w:sz="0" w:space="0" w:color="auto"/>
                                    <w:left w:val="none" w:sz="0" w:space="0" w:color="auto"/>
                                    <w:bottom w:val="none" w:sz="0" w:space="0" w:color="auto"/>
                                    <w:right w:val="none" w:sz="0" w:space="0" w:color="auto"/>
                                  </w:divBdr>
                                </w:div>
                                <w:div w:id="1660688033">
                                  <w:marLeft w:val="0"/>
                                  <w:marRight w:val="0"/>
                                  <w:marTop w:val="0"/>
                                  <w:marBottom w:val="0"/>
                                  <w:divBdr>
                                    <w:top w:val="none" w:sz="0" w:space="0" w:color="auto"/>
                                    <w:left w:val="none" w:sz="0" w:space="0" w:color="auto"/>
                                    <w:bottom w:val="none" w:sz="0" w:space="0" w:color="auto"/>
                                    <w:right w:val="none" w:sz="0" w:space="0" w:color="auto"/>
                                  </w:divBdr>
                                </w:div>
                              </w:divsChild>
                            </w:div>
                            <w:div w:id="1547062631">
                              <w:marLeft w:val="0"/>
                              <w:marRight w:val="0"/>
                              <w:marTop w:val="0"/>
                              <w:marBottom w:val="0"/>
                              <w:divBdr>
                                <w:top w:val="none" w:sz="0" w:space="0" w:color="auto"/>
                                <w:left w:val="none" w:sz="0" w:space="0" w:color="auto"/>
                                <w:bottom w:val="none" w:sz="0" w:space="0" w:color="auto"/>
                                <w:right w:val="none" w:sz="0" w:space="0" w:color="auto"/>
                              </w:divBdr>
                              <w:divsChild>
                                <w:div w:id="570505532">
                                  <w:marLeft w:val="0"/>
                                  <w:marRight w:val="0"/>
                                  <w:marTop w:val="0"/>
                                  <w:marBottom w:val="0"/>
                                  <w:divBdr>
                                    <w:top w:val="none" w:sz="0" w:space="0" w:color="auto"/>
                                    <w:left w:val="none" w:sz="0" w:space="0" w:color="auto"/>
                                    <w:bottom w:val="none" w:sz="0" w:space="0" w:color="auto"/>
                                    <w:right w:val="none" w:sz="0" w:space="0" w:color="auto"/>
                                  </w:divBdr>
                                </w:div>
                                <w:div w:id="1357581090">
                                  <w:marLeft w:val="0"/>
                                  <w:marRight w:val="0"/>
                                  <w:marTop w:val="0"/>
                                  <w:marBottom w:val="0"/>
                                  <w:divBdr>
                                    <w:top w:val="none" w:sz="0" w:space="0" w:color="auto"/>
                                    <w:left w:val="none" w:sz="0" w:space="0" w:color="auto"/>
                                    <w:bottom w:val="none" w:sz="0" w:space="0" w:color="auto"/>
                                    <w:right w:val="none" w:sz="0" w:space="0" w:color="auto"/>
                                  </w:divBdr>
                                </w:div>
                              </w:divsChild>
                            </w:div>
                            <w:div w:id="1899243443">
                              <w:marLeft w:val="0"/>
                              <w:marRight w:val="0"/>
                              <w:marTop w:val="0"/>
                              <w:marBottom w:val="0"/>
                              <w:divBdr>
                                <w:top w:val="none" w:sz="0" w:space="0" w:color="auto"/>
                                <w:left w:val="none" w:sz="0" w:space="0" w:color="auto"/>
                                <w:bottom w:val="none" w:sz="0" w:space="0" w:color="auto"/>
                                <w:right w:val="none" w:sz="0" w:space="0" w:color="auto"/>
                              </w:divBdr>
                              <w:divsChild>
                                <w:div w:id="57173831">
                                  <w:marLeft w:val="0"/>
                                  <w:marRight w:val="0"/>
                                  <w:marTop w:val="0"/>
                                  <w:marBottom w:val="0"/>
                                  <w:divBdr>
                                    <w:top w:val="none" w:sz="0" w:space="0" w:color="auto"/>
                                    <w:left w:val="none" w:sz="0" w:space="0" w:color="auto"/>
                                    <w:bottom w:val="none" w:sz="0" w:space="0" w:color="auto"/>
                                    <w:right w:val="none" w:sz="0" w:space="0" w:color="auto"/>
                                  </w:divBdr>
                                </w:div>
                                <w:div w:id="118398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683971">
                      <w:marLeft w:val="0"/>
                      <w:marRight w:val="0"/>
                      <w:marTop w:val="0"/>
                      <w:marBottom w:val="0"/>
                      <w:divBdr>
                        <w:top w:val="none" w:sz="0" w:space="0" w:color="auto"/>
                        <w:left w:val="none" w:sz="0" w:space="0" w:color="auto"/>
                        <w:bottom w:val="none" w:sz="0" w:space="0" w:color="auto"/>
                        <w:right w:val="none" w:sz="0" w:space="0" w:color="auto"/>
                      </w:divBdr>
                      <w:divsChild>
                        <w:div w:id="832112360">
                          <w:marLeft w:val="0"/>
                          <w:marRight w:val="0"/>
                          <w:marTop w:val="0"/>
                          <w:marBottom w:val="0"/>
                          <w:divBdr>
                            <w:top w:val="none" w:sz="0" w:space="0" w:color="auto"/>
                            <w:left w:val="none" w:sz="0" w:space="0" w:color="auto"/>
                            <w:bottom w:val="none" w:sz="0" w:space="0" w:color="auto"/>
                            <w:right w:val="none" w:sz="0" w:space="0" w:color="auto"/>
                          </w:divBdr>
                          <w:divsChild>
                            <w:div w:id="971178896">
                              <w:marLeft w:val="0"/>
                              <w:marRight w:val="0"/>
                              <w:marTop w:val="0"/>
                              <w:marBottom w:val="0"/>
                              <w:divBdr>
                                <w:top w:val="none" w:sz="0" w:space="0" w:color="auto"/>
                                <w:left w:val="none" w:sz="0" w:space="0" w:color="auto"/>
                                <w:bottom w:val="none" w:sz="0" w:space="0" w:color="auto"/>
                                <w:right w:val="none" w:sz="0" w:space="0" w:color="auto"/>
                              </w:divBdr>
                            </w:div>
                          </w:divsChild>
                        </w:div>
                        <w:div w:id="1864439420">
                          <w:marLeft w:val="0"/>
                          <w:marRight w:val="0"/>
                          <w:marTop w:val="0"/>
                          <w:marBottom w:val="0"/>
                          <w:divBdr>
                            <w:top w:val="none" w:sz="0" w:space="0" w:color="auto"/>
                            <w:left w:val="none" w:sz="0" w:space="0" w:color="auto"/>
                            <w:bottom w:val="none" w:sz="0" w:space="0" w:color="auto"/>
                            <w:right w:val="none" w:sz="0" w:space="0" w:color="auto"/>
                          </w:divBdr>
                          <w:divsChild>
                            <w:div w:id="207326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364469">
                  <w:marLeft w:val="0"/>
                  <w:marRight w:val="0"/>
                  <w:marTop w:val="0"/>
                  <w:marBottom w:val="0"/>
                  <w:divBdr>
                    <w:top w:val="none" w:sz="0" w:space="0" w:color="auto"/>
                    <w:left w:val="none" w:sz="0" w:space="0" w:color="auto"/>
                    <w:bottom w:val="none" w:sz="0" w:space="0" w:color="auto"/>
                    <w:right w:val="none" w:sz="0" w:space="0" w:color="auto"/>
                  </w:divBdr>
                  <w:divsChild>
                    <w:div w:id="1594976235">
                      <w:marLeft w:val="0"/>
                      <w:marRight w:val="0"/>
                      <w:marTop w:val="0"/>
                      <w:marBottom w:val="0"/>
                      <w:divBdr>
                        <w:top w:val="none" w:sz="0" w:space="0" w:color="auto"/>
                        <w:left w:val="none" w:sz="0" w:space="0" w:color="auto"/>
                        <w:bottom w:val="none" w:sz="0" w:space="0" w:color="auto"/>
                        <w:right w:val="none" w:sz="0" w:space="0" w:color="auto"/>
                      </w:divBdr>
                    </w:div>
                    <w:div w:id="1648972591">
                      <w:marLeft w:val="0"/>
                      <w:marRight w:val="0"/>
                      <w:marTop w:val="0"/>
                      <w:marBottom w:val="0"/>
                      <w:divBdr>
                        <w:top w:val="none" w:sz="0" w:space="0" w:color="auto"/>
                        <w:left w:val="none" w:sz="0" w:space="0" w:color="auto"/>
                        <w:bottom w:val="none" w:sz="0" w:space="0" w:color="auto"/>
                        <w:right w:val="none" w:sz="0" w:space="0" w:color="auto"/>
                      </w:divBdr>
                    </w:div>
                  </w:divsChild>
                </w:div>
                <w:div w:id="181726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482999">
      <w:bodyDiv w:val="1"/>
      <w:marLeft w:val="0"/>
      <w:marRight w:val="0"/>
      <w:marTop w:val="0"/>
      <w:marBottom w:val="0"/>
      <w:divBdr>
        <w:top w:val="none" w:sz="0" w:space="0" w:color="auto"/>
        <w:left w:val="none" w:sz="0" w:space="0" w:color="auto"/>
        <w:bottom w:val="none" w:sz="0" w:space="0" w:color="auto"/>
        <w:right w:val="none" w:sz="0" w:space="0" w:color="auto"/>
      </w:divBdr>
    </w:div>
    <w:div w:id="41368777">
      <w:bodyDiv w:val="1"/>
      <w:marLeft w:val="0"/>
      <w:marRight w:val="0"/>
      <w:marTop w:val="0"/>
      <w:marBottom w:val="0"/>
      <w:divBdr>
        <w:top w:val="none" w:sz="0" w:space="0" w:color="auto"/>
        <w:left w:val="none" w:sz="0" w:space="0" w:color="auto"/>
        <w:bottom w:val="none" w:sz="0" w:space="0" w:color="auto"/>
        <w:right w:val="none" w:sz="0" w:space="0" w:color="auto"/>
      </w:divBdr>
    </w:div>
    <w:div w:id="43910356">
      <w:bodyDiv w:val="1"/>
      <w:marLeft w:val="0"/>
      <w:marRight w:val="0"/>
      <w:marTop w:val="0"/>
      <w:marBottom w:val="0"/>
      <w:divBdr>
        <w:top w:val="none" w:sz="0" w:space="0" w:color="auto"/>
        <w:left w:val="none" w:sz="0" w:space="0" w:color="auto"/>
        <w:bottom w:val="none" w:sz="0" w:space="0" w:color="auto"/>
        <w:right w:val="none" w:sz="0" w:space="0" w:color="auto"/>
      </w:divBdr>
    </w:div>
    <w:div w:id="63647926">
      <w:bodyDiv w:val="1"/>
      <w:marLeft w:val="0"/>
      <w:marRight w:val="0"/>
      <w:marTop w:val="0"/>
      <w:marBottom w:val="0"/>
      <w:divBdr>
        <w:top w:val="none" w:sz="0" w:space="0" w:color="auto"/>
        <w:left w:val="none" w:sz="0" w:space="0" w:color="auto"/>
        <w:bottom w:val="none" w:sz="0" w:space="0" w:color="auto"/>
        <w:right w:val="none" w:sz="0" w:space="0" w:color="auto"/>
      </w:divBdr>
    </w:div>
    <w:div w:id="83846727">
      <w:bodyDiv w:val="1"/>
      <w:marLeft w:val="0"/>
      <w:marRight w:val="0"/>
      <w:marTop w:val="0"/>
      <w:marBottom w:val="0"/>
      <w:divBdr>
        <w:top w:val="none" w:sz="0" w:space="0" w:color="auto"/>
        <w:left w:val="none" w:sz="0" w:space="0" w:color="auto"/>
        <w:bottom w:val="none" w:sz="0" w:space="0" w:color="auto"/>
        <w:right w:val="none" w:sz="0" w:space="0" w:color="auto"/>
      </w:divBdr>
    </w:div>
    <w:div w:id="93288411">
      <w:bodyDiv w:val="1"/>
      <w:marLeft w:val="0"/>
      <w:marRight w:val="0"/>
      <w:marTop w:val="0"/>
      <w:marBottom w:val="0"/>
      <w:divBdr>
        <w:top w:val="none" w:sz="0" w:space="0" w:color="auto"/>
        <w:left w:val="none" w:sz="0" w:space="0" w:color="auto"/>
        <w:bottom w:val="none" w:sz="0" w:space="0" w:color="auto"/>
        <w:right w:val="none" w:sz="0" w:space="0" w:color="auto"/>
      </w:divBdr>
    </w:div>
    <w:div w:id="101338815">
      <w:bodyDiv w:val="1"/>
      <w:marLeft w:val="0"/>
      <w:marRight w:val="0"/>
      <w:marTop w:val="0"/>
      <w:marBottom w:val="0"/>
      <w:divBdr>
        <w:top w:val="none" w:sz="0" w:space="0" w:color="auto"/>
        <w:left w:val="none" w:sz="0" w:space="0" w:color="auto"/>
        <w:bottom w:val="none" w:sz="0" w:space="0" w:color="auto"/>
        <w:right w:val="none" w:sz="0" w:space="0" w:color="auto"/>
      </w:divBdr>
    </w:div>
    <w:div w:id="108204398">
      <w:bodyDiv w:val="1"/>
      <w:marLeft w:val="0"/>
      <w:marRight w:val="0"/>
      <w:marTop w:val="0"/>
      <w:marBottom w:val="0"/>
      <w:divBdr>
        <w:top w:val="none" w:sz="0" w:space="0" w:color="auto"/>
        <w:left w:val="none" w:sz="0" w:space="0" w:color="auto"/>
        <w:bottom w:val="none" w:sz="0" w:space="0" w:color="auto"/>
        <w:right w:val="none" w:sz="0" w:space="0" w:color="auto"/>
      </w:divBdr>
      <w:divsChild>
        <w:div w:id="270283754">
          <w:marLeft w:val="0"/>
          <w:marRight w:val="0"/>
          <w:marTop w:val="0"/>
          <w:marBottom w:val="0"/>
          <w:divBdr>
            <w:top w:val="none" w:sz="0" w:space="0" w:color="auto"/>
            <w:left w:val="none" w:sz="0" w:space="0" w:color="auto"/>
            <w:bottom w:val="none" w:sz="0" w:space="0" w:color="auto"/>
            <w:right w:val="none" w:sz="0" w:space="0" w:color="auto"/>
          </w:divBdr>
        </w:div>
        <w:div w:id="717240342">
          <w:marLeft w:val="0"/>
          <w:marRight w:val="0"/>
          <w:marTop w:val="0"/>
          <w:marBottom w:val="0"/>
          <w:divBdr>
            <w:top w:val="none" w:sz="0" w:space="0" w:color="auto"/>
            <w:left w:val="none" w:sz="0" w:space="0" w:color="auto"/>
            <w:bottom w:val="none" w:sz="0" w:space="0" w:color="auto"/>
            <w:right w:val="none" w:sz="0" w:space="0" w:color="auto"/>
          </w:divBdr>
        </w:div>
        <w:div w:id="959410262">
          <w:marLeft w:val="0"/>
          <w:marRight w:val="0"/>
          <w:marTop w:val="0"/>
          <w:marBottom w:val="0"/>
          <w:divBdr>
            <w:top w:val="none" w:sz="0" w:space="0" w:color="auto"/>
            <w:left w:val="none" w:sz="0" w:space="0" w:color="auto"/>
            <w:bottom w:val="none" w:sz="0" w:space="0" w:color="auto"/>
            <w:right w:val="none" w:sz="0" w:space="0" w:color="auto"/>
          </w:divBdr>
        </w:div>
        <w:div w:id="1035040281">
          <w:marLeft w:val="0"/>
          <w:marRight w:val="0"/>
          <w:marTop w:val="0"/>
          <w:marBottom w:val="0"/>
          <w:divBdr>
            <w:top w:val="none" w:sz="0" w:space="0" w:color="auto"/>
            <w:left w:val="none" w:sz="0" w:space="0" w:color="auto"/>
            <w:bottom w:val="none" w:sz="0" w:space="0" w:color="auto"/>
            <w:right w:val="none" w:sz="0" w:space="0" w:color="auto"/>
          </w:divBdr>
        </w:div>
        <w:div w:id="1116407112">
          <w:marLeft w:val="0"/>
          <w:marRight w:val="0"/>
          <w:marTop w:val="0"/>
          <w:marBottom w:val="0"/>
          <w:divBdr>
            <w:top w:val="none" w:sz="0" w:space="0" w:color="auto"/>
            <w:left w:val="none" w:sz="0" w:space="0" w:color="auto"/>
            <w:bottom w:val="none" w:sz="0" w:space="0" w:color="auto"/>
            <w:right w:val="none" w:sz="0" w:space="0" w:color="auto"/>
          </w:divBdr>
        </w:div>
        <w:div w:id="403069929">
          <w:marLeft w:val="0"/>
          <w:marRight w:val="0"/>
          <w:marTop w:val="0"/>
          <w:marBottom w:val="0"/>
          <w:divBdr>
            <w:top w:val="none" w:sz="0" w:space="0" w:color="auto"/>
            <w:left w:val="none" w:sz="0" w:space="0" w:color="auto"/>
            <w:bottom w:val="none" w:sz="0" w:space="0" w:color="auto"/>
            <w:right w:val="none" w:sz="0" w:space="0" w:color="auto"/>
          </w:divBdr>
        </w:div>
        <w:div w:id="310792129">
          <w:marLeft w:val="0"/>
          <w:marRight w:val="0"/>
          <w:marTop w:val="0"/>
          <w:marBottom w:val="0"/>
          <w:divBdr>
            <w:top w:val="none" w:sz="0" w:space="0" w:color="auto"/>
            <w:left w:val="none" w:sz="0" w:space="0" w:color="auto"/>
            <w:bottom w:val="none" w:sz="0" w:space="0" w:color="auto"/>
            <w:right w:val="none" w:sz="0" w:space="0" w:color="auto"/>
          </w:divBdr>
        </w:div>
        <w:div w:id="1072584250">
          <w:marLeft w:val="0"/>
          <w:marRight w:val="0"/>
          <w:marTop w:val="0"/>
          <w:marBottom w:val="0"/>
          <w:divBdr>
            <w:top w:val="none" w:sz="0" w:space="0" w:color="auto"/>
            <w:left w:val="none" w:sz="0" w:space="0" w:color="auto"/>
            <w:bottom w:val="none" w:sz="0" w:space="0" w:color="auto"/>
            <w:right w:val="none" w:sz="0" w:space="0" w:color="auto"/>
          </w:divBdr>
        </w:div>
        <w:div w:id="563610880">
          <w:marLeft w:val="0"/>
          <w:marRight w:val="0"/>
          <w:marTop w:val="0"/>
          <w:marBottom w:val="0"/>
          <w:divBdr>
            <w:top w:val="none" w:sz="0" w:space="0" w:color="auto"/>
            <w:left w:val="none" w:sz="0" w:space="0" w:color="auto"/>
            <w:bottom w:val="none" w:sz="0" w:space="0" w:color="auto"/>
            <w:right w:val="none" w:sz="0" w:space="0" w:color="auto"/>
          </w:divBdr>
        </w:div>
        <w:div w:id="1674065089">
          <w:marLeft w:val="0"/>
          <w:marRight w:val="0"/>
          <w:marTop w:val="0"/>
          <w:marBottom w:val="0"/>
          <w:divBdr>
            <w:top w:val="none" w:sz="0" w:space="0" w:color="auto"/>
            <w:left w:val="none" w:sz="0" w:space="0" w:color="auto"/>
            <w:bottom w:val="none" w:sz="0" w:space="0" w:color="auto"/>
            <w:right w:val="none" w:sz="0" w:space="0" w:color="auto"/>
          </w:divBdr>
        </w:div>
        <w:div w:id="1655142995">
          <w:marLeft w:val="0"/>
          <w:marRight w:val="0"/>
          <w:marTop w:val="0"/>
          <w:marBottom w:val="0"/>
          <w:divBdr>
            <w:top w:val="none" w:sz="0" w:space="0" w:color="auto"/>
            <w:left w:val="none" w:sz="0" w:space="0" w:color="auto"/>
            <w:bottom w:val="none" w:sz="0" w:space="0" w:color="auto"/>
            <w:right w:val="none" w:sz="0" w:space="0" w:color="auto"/>
          </w:divBdr>
        </w:div>
        <w:div w:id="1959406526">
          <w:marLeft w:val="0"/>
          <w:marRight w:val="0"/>
          <w:marTop w:val="0"/>
          <w:marBottom w:val="0"/>
          <w:divBdr>
            <w:top w:val="none" w:sz="0" w:space="0" w:color="auto"/>
            <w:left w:val="none" w:sz="0" w:space="0" w:color="auto"/>
            <w:bottom w:val="none" w:sz="0" w:space="0" w:color="auto"/>
            <w:right w:val="none" w:sz="0" w:space="0" w:color="auto"/>
          </w:divBdr>
        </w:div>
        <w:div w:id="799106223">
          <w:marLeft w:val="0"/>
          <w:marRight w:val="0"/>
          <w:marTop w:val="0"/>
          <w:marBottom w:val="0"/>
          <w:divBdr>
            <w:top w:val="none" w:sz="0" w:space="0" w:color="auto"/>
            <w:left w:val="none" w:sz="0" w:space="0" w:color="auto"/>
            <w:bottom w:val="none" w:sz="0" w:space="0" w:color="auto"/>
            <w:right w:val="none" w:sz="0" w:space="0" w:color="auto"/>
          </w:divBdr>
        </w:div>
        <w:div w:id="645817442">
          <w:marLeft w:val="0"/>
          <w:marRight w:val="0"/>
          <w:marTop w:val="0"/>
          <w:marBottom w:val="0"/>
          <w:divBdr>
            <w:top w:val="none" w:sz="0" w:space="0" w:color="auto"/>
            <w:left w:val="none" w:sz="0" w:space="0" w:color="auto"/>
            <w:bottom w:val="none" w:sz="0" w:space="0" w:color="auto"/>
            <w:right w:val="none" w:sz="0" w:space="0" w:color="auto"/>
          </w:divBdr>
        </w:div>
        <w:div w:id="904487839">
          <w:marLeft w:val="0"/>
          <w:marRight w:val="0"/>
          <w:marTop w:val="0"/>
          <w:marBottom w:val="0"/>
          <w:divBdr>
            <w:top w:val="none" w:sz="0" w:space="0" w:color="auto"/>
            <w:left w:val="none" w:sz="0" w:space="0" w:color="auto"/>
            <w:bottom w:val="none" w:sz="0" w:space="0" w:color="auto"/>
            <w:right w:val="none" w:sz="0" w:space="0" w:color="auto"/>
          </w:divBdr>
        </w:div>
        <w:div w:id="1859540495">
          <w:marLeft w:val="0"/>
          <w:marRight w:val="0"/>
          <w:marTop w:val="0"/>
          <w:marBottom w:val="0"/>
          <w:divBdr>
            <w:top w:val="none" w:sz="0" w:space="0" w:color="auto"/>
            <w:left w:val="none" w:sz="0" w:space="0" w:color="auto"/>
            <w:bottom w:val="none" w:sz="0" w:space="0" w:color="auto"/>
            <w:right w:val="none" w:sz="0" w:space="0" w:color="auto"/>
          </w:divBdr>
        </w:div>
        <w:div w:id="737436577">
          <w:marLeft w:val="0"/>
          <w:marRight w:val="0"/>
          <w:marTop w:val="0"/>
          <w:marBottom w:val="0"/>
          <w:divBdr>
            <w:top w:val="none" w:sz="0" w:space="0" w:color="auto"/>
            <w:left w:val="none" w:sz="0" w:space="0" w:color="auto"/>
            <w:bottom w:val="none" w:sz="0" w:space="0" w:color="auto"/>
            <w:right w:val="none" w:sz="0" w:space="0" w:color="auto"/>
          </w:divBdr>
        </w:div>
        <w:div w:id="869948809">
          <w:marLeft w:val="0"/>
          <w:marRight w:val="0"/>
          <w:marTop w:val="0"/>
          <w:marBottom w:val="0"/>
          <w:divBdr>
            <w:top w:val="none" w:sz="0" w:space="0" w:color="auto"/>
            <w:left w:val="none" w:sz="0" w:space="0" w:color="auto"/>
            <w:bottom w:val="none" w:sz="0" w:space="0" w:color="auto"/>
            <w:right w:val="none" w:sz="0" w:space="0" w:color="auto"/>
          </w:divBdr>
        </w:div>
        <w:div w:id="109053542">
          <w:marLeft w:val="0"/>
          <w:marRight w:val="0"/>
          <w:marTop w:val="0"/>
          <w:marBottom w:val="0"/>
          <w:divBdr>
            <w:top w:val="none" w:sz="0" w:space="0" w:color="auto"/>
            <w:left w:val="none" w:sz="0" w:space="0" w:color="auto"/>
            <w:bottom w:val="none" w:sz="0" w:space="0" w:color="auto"/>
            <w:right w:val="none" w:sz="0" w:space="0" w:color="auto"/>
          </w:divBdr>
        </w:div>
        <w:div w:id="237400702">
          <w:marLeft w:val="0"/>
          <w:marRight w:val="0"/>
          <w:marTop w:val="0"/>
          <w:marBottom w:val="0"/>
          <w:divBdr>
            <w:top w:val="none" w:sz="0" w:space="0" w:color="auto"/>
            <w:left w:val="none" w:sz="0" w:space="0" w:color="auto"/>
            <w:bottom w:val="none" w:sz="0" w:space="0" w:color="auto"/>
            <w:right w:val="none" w:sz="0" w:space="0" w:color="auto"/>
          </w:divBdr>
        </w:div>
        <w:div w:id="2106414943">
          <w:marLeft w:val="0"/>
          <w:marRight w:val="0"/>
          <w:marTop w:val="0"/>
          <w:marBottom w:val="0"/>
          <w:divBdr>
            <w:top w:val="none" w:sz="0" w:space="0" w:color="auto"/>
            <w:left w:val="none" w:sz="0" w:space="0" w:color="auto"/>
            <w:bottom w:val="none" w:sz="0" w:space="0" w:color="auto"/>
            <w:right w:val="none" w:sz="0" w:space="0" w:color="auto"/>
          </w:divBdr>
        </w:div>
      </w:divsChild>
    </w:div>
    <w:div w:id="109200980">
      <w:bodyDiv w:val="1"/>
      <w:marLeft w:val="0"/>
      <w:marRight w:val="0"/>
      <w:marTop w:val="0"/>
      <w:marBottom w:val="0"/>
      <w:divBdr>
        <w:top w:val="none" w:sz="0" w:space="0" w:color="auto"/>
        <w:left w:val="none" w:sz="0" w:space="0" w:color="auto"/>
        <w:bottom w:val="none" w:sz="0" w:space="0" w:color="auto"/>
        <w:right w:val="none" w:sz="0" w:space="0" w:color="auto"/>
      </w:divBdr>
    </w:div>
    <w:div w:id="112288482">
      <w:bodyDiv w:val="1"/>
      <w:marLeft w:val="0"/>
      <w:marRight w:val="0"/>
      <w:marTop w:val="0"/>
      <w:marBottom w:val="0"/>
      <w:divBdr>
        <w:top w:val="none" w:sz="0" w:space="0" w:color="auto"/>
        <w:left w:val="none" w:sz="0" w:space="0" w:color="auto"/>
        <w:bottom w:val="none" w:sz="0" w:space="0" w:color="auto"/>
        <w:right w:val="none" w:sz="0" w:space="0" w:color="auto"/>
      </w:divBdr>
    </w:div>
    <w:div w:id="115297328">
      <w:bodyDiv w:val="1"/>
      <w:marLeft w:val="0"/>
      <w:marRight w:val="0"/>
      <w:marTop w:val="0"/>
      <w:marBottom w:val="0"/>
      <w:divBdr>
        <w:top w:val="none" w:sz="0" w:space="0" w:color="auto"/>
        <w:left w:val="none" w:sz="0" w:space="0" w:color="auto"/>
        <w:bottom w:val="none" w:sz="0" w:space="0" w:color="auto"/>
        <w:right w:val="none" w:sz="0" w:space="0" w:color="auto"/>
      </w:divBdr>
    </w:div>
    <w:div w:id="126944622">
      <w:bodyDiv w:val="1"/>
      <w:marLeft w:val="0"/>
      <w:marRight w:val="0"/>
      <w:marTop w:val="0"/>
      <w:marBottom w:val="0"/>
      <w:divBdr>
        <w:top w:val="none" w:sz="0" w:space="0" w:color="auto"/>
        <w:left w:val="none" w:sz="0" w:space="0" w:color="auto"/>
        <w:bottom w:val="none" w:sz="0" w:space="0" w:color="auto"/>
        <w:right w:val="none" w:sz="0" w:space="0" w:color="auto"/>
      </w:divBdr>
      <w:divsChild>
        <w:div w:id="1245609302">
          <w:marLeft w:val="0"/>
          <w:marRight w:val="0"/>
          <w:marTop w:val="0"/>
          <w:marBottom w:val="0"/>
          <w:divBdr>
            <w:top w:val="none" w:sz="0" w:space="0" w:color="auto"/>
            <w:left w:val="none" w:sz="0" w:space="0" w:color="auto"/>
            <w:bottom w:val="none" w:sz="0" w:space="0" w:color="auto"/>
            <w:right w:val="none" w:sz="0" w:space="0" w:color="auto"/>
          </w:divBdr>
          <w:divsChild>
            <w:div w:id="786775340">
              <w:marLeft w:val="0"/>
              <w:marRight w:val="0"/>
              <w:marTop w:val="0"/>
              <w:marBottom w:val="0"/>
              <w:divBdr>
                <w:top w:val="none" w:sz="0" w:space="0" w:color="auto"/>
                <w:left w:val="none" w:sz="0" w:space="0" w:color="auto"/>
                <w:bottom w:val="none" w:sz="0" w:space="0" w:color="auto"/>
                <w:right w:val="none" w:sz="0" w:space="0" w:color="auto"/>
              </w:divBdr>
              <w:divsChild>
                <w:div w:id="8147150">
                  <w:marLeft w:val="0"/>
                  <w:marRight w:val="0"/>
                  <w:marTop w:val="0"/>
                  <w:marBottom w:val="0"/>
                  <w:divBdr>
                    <w:top w:val="none" w:sz="0" w:space="0" w:color="auto"/>
                    <w:left w:val="none" w:sz="0" w:space="0" w:color="auto"/>
                    <w:bottom w:val="none" w:sz="0" w:space="0" w:color="auto"/>
                    <w:right w:val="none" w:sz="0" w:space="0" w:color="auto"/>
                  </w:divBdr>
                </w:div>
                <w:div w:id="112751812">
                  <w:marLeft w:val="0"/>
                  <w:marRight w:val="0"/>
                  <w:marTop w:val="0"/>
                  <w:marBottom w:val="0"/>
                  <w:divBdr>
                    <w:top w:val="none" w:sz="0" w:space="0" w:color="auto"/>
                    <w:left w:val="none" w:sz="0" w:space="0" w:color="auto"/>
                    <w:bottom w:val="none" w:sz="0" w:space="0" w:color="auto"/>
                    <w:right w:val="none" w:sz="0" w:space="0" w:color="auto"/>
                  </w:divBdr>
                </w:div>
                <w:div w:id="196620928">
                  <w:marLeft w:val="0"/>
                  <w:marRight w:val="0"/>
                  <w:marTop w:val="0"/>
                  <w:marBottom w:val="0"/>
                  <w:divBdr>
                    <w:top w:val="none" w:sz="0" w:space="0" w:color="auto"/>
                    <w:left w:val="none" w:sz="0" w:space="0" w:color="auto"/>
                    <w:bottom w:val="none" w:sz="0" w:space="0" w:color="auto"/>
                    <w:right w:val="none" w:sz="0" w:space="0" w:color="auto"/>
                  </w:divBdr>
                </w:div>
                <w:div w:id="243615364">
                  <w:marLeft w:val="0"/>
                  <w:marRight w:val="0"/>
                  <w:marTop w:val="0"/>
                  <w:marBottom w:val="0"/>
                  <w:divBdr>
                    <w:top w:val="none" w:sz="0" w:space="0" w:color="auto"/>
                    <w:left w:val="none" w:sz="0" w:space="0" w:color="auto"/>
                    <w:bottom w:val="none" w:sz="0" w:space="0" w:color="auto"/>
                    <w:right w:val="none" w:sz="0" w:space="0" w:color="auto"/>
                  </w:divBdr>
                </w:div>
                <w:div w:id="267009910">
                  <w:marLeft w:val="0"/>
                  <w:marRight w:val="0"/>
                  <w:marTop w:val="0"/>
                  <w:marBottom w:val="0"/>
                  <w:divBdr>
                    <w:top w:val="none" w:sz="0" w:space="0" w:color="auto"/>
                    <w:left w:val="none" w:sz="0" w:space="0" w:color="auto"/>
                    <w:bottom w:val="none" w:sz="0" w:space="0" w:color="auto"/>
                    <w:right w:val="none" w:sz="0" w:space="0" w:color="auto"/>
                  </w:divBdr>
                </w:div>
                <w:div w:id="301353708">
                  <w:marLeft w:val="0"/>
                  <w:marRight w:val="0"/>
                  <w:marTop w:val="0"/>
                  <w:marBottom w:val="0"/>
                  <w:divBdr>
                    <w:top w:val="none" w:sz="0" w:space="0" w:color="auto"/>
                    <w:left w:val="none" w:sz="0" w:space="0" w:color="auto"/>
                    <w:bottom w:val="none" w:sz="0" w:space="0" w:color="auto"/>
                    <w:right w:val="none" w:sz="0" w:space="0" w:color="auto"/>
                  </w:divBdr>
                </w:div>
                <w:div w:id="339158917">
                  <w:marLeft w:val="0"/>
                  <w:marRight w:val="0"/>
                  <w:marTop w:val="0"/>
                  <w:marBottom w:val="0"/>
                  <w:divBdr>
                    <w:top w:val="none" w:sz="0" w:space="0" w:color="auto"/>
                    <w:left w:val="none" w:sz="0" w:space="0" w:color="auto"/>
                    <w:bottom w:val="none" w:sz="0" w:space="0" w:color="auto"/>
                    <w:right w:val="none" w:sz="0" w:space="0" w:color="auto"/>
                  </w:divBdr>
                </w:div>
                <w:div w:id="450705245">
                  <w:marLeft w:val="0"/>
                  <w:marRight w:val="0"/>
                  <w:marTop w:val="0"/>
                  <w:marBottom w:val="0"/>
                  <w:divBdr>
                    <w:top w:val="none" w:sz="0" w:space="0" w:color="auto"/>
                    <w:left w:val="none" w:sz="0" w:space="0" w:color="auto"/>
                    <w:bottom w:val="none" w:sz="0" w:space="0" w:color="auto"/>
                    <w:right w:val="none" w:sz="0" w:space="0" w:color="auto"/>
                  </w:divBdr>
                </w:div>
                <w:div w:id="469179448">
                  <w:marLeft w:val="0"/>
                  <w:marRight w:val="0"/>
                  <w:marTop w:val="0"/>
                  <w:marBottom w:val="0"/>
                  <w:divBdr>
                    <w:top w:val="none" w:sz="0" w:space="0" w:color="auto"/>
                    <w:left w:val="none" w:sz="0" w:space="0" w:color="auto"/>
                    <w:bottom w:val="none" w:sz="0" w:space="0" w:color="auto"/>
                    <w:right w:val="none" w:sz="0" w:space="0" w:color="auto"/>
                  </w:divBdr>
                </w:div>
                <w:div w:id="629625995">
                  <w:marLeft w:val="0"/>
                  <w:marRight w:val="0"/>
                  <w:marTop w:val="0"/>
                  <w:marBottom w:val="0"/>
                  <w:divBdr>
                    <w:top w:val="none" w:sz="0" w:space="0" w:color="auto"/>
                    <w:left w:val="none" w:sz="0" w:space="0" w:color="auto"/>
                    <w:bottom w:val="none" w:sz="0" w:space="0" w:color="auto"/>
                    <w:right w:val="none" w:sz="0" w:space="0" w:color="auto"/>
                  </w:divBdr>
                </w:div>
                <w:div w:id="844514457">
                  <w:marLeft w:val="0"/>
                  <w:marRight w:val="0"/>
                  <w:marTop w:val="0"/>
                  <w:marBottom w:val="0"/>
                  <w:divBdr>
                    <w:top w:val="none" w:sz="0" w:space="0" w:color="auto"/>
                    <w:left w:val="none" w:sz="0" w:space="0" w:color="auto"/>
                    <w:bottom w:val="none" w:sz="0" w:space="0" w:color="auto"/>
                    <w:right w:val="none" w:sz="0" w:space="0" w:color="auto"/>
                  </w:divBdr>
                </w:div>
                <w:div w:id="924998678">
                  <w:marLeft w:val="0"/>
                  <w:marRight w:val="0"/>
                  <w:marTop w:val="0"/>
                  <w:marBottom w:val="0"/>
                  <w:divBdr>
                    <w:top w:val="none" w:sz="0" w:space="0" w:color="auto"/>
                    <w:left w:val="none" w:sz="0" w:space="0" w:color="auto"/>
                    <w:bottom w:val="none" w:sz="0" w:space="0" w:color="auto"/>
                    <w:right w:val="none" w:sz="0" w:space="0" w:color="auto"/>
                  </w:divBdr>
                </w:div>
                <w:div w:id="939878231">
                  <w:marLeft w:val="0"/>
                  <w:marRight w:val="0"/>
                  <w:marTop w:val="0"/>
                  <w:marBottom w:val="0"/>
                  <w:divBdr>
                    <w:top w:val="none" w:sz="0" w:space="0" w:color="auto"/>
                    <w:left w:val="none" w:sz="0" w:space="0" w:color="auto"/>
                    <w:bottom w:val="none" w:sz="0" w:space="0" w:color="auto"/>
                    <w:right w:val="none" w:sz="0" w:space="0" w:color="auto"/>
                  </w:divBdr>
                </w:div>
                <w:div w:id="1341160922">
                  <w:marLeft w:val="0"/>
                  <w:marRight w:val="0"/>
                  <w:marTop w:val="0"/>
                  <w:marBottom w:val="0"/>
                  <w:divBdr>
                    <w:top w:val="none" w:sz="0" w:space="0" w:color="auto"/>
                    <w:left w:val="none" w:sz="0" w:space="0" w:color="auto"/>
                    <w:bottom w:val="none" w:sz="0" w:space="0" w:color="auto"/>
                    <w:right w:val="none" w:sz="0" w:space="0" w:color="auto"/>
                  </w:divBdr>
                </w:div>
                <w:div w:id="1344672622">
                  <w:marLeft w:val="0"/>
                  <w:marRight w:val="0"/>
                  <w:marTop w:val="0"/>
                  <w:marBottom w:val="0"/>
                  <w:divBdr>
                    <w:top w:val="none" w:sz="0" w:space="0" w:color="auto"/>
                    <w:left w:val="none" w:sz="0" w:space="0" w:color="auto"/>
                    <w:bottom w:val="none" w:sz="0" w:space="0" w:color="auto"/>
                    <w:right w:val="none" w:sz="0" w:space="0" w:color="auto"/>
                  </w:divBdr>
                </w:div>
                <w:div w:id="1426876027">
                  <w:marLeft w:val="0"/>
                  <w:marRight w:val="0"/>
                  <w:marTop w:val="0"/>
                  <w:marBottom w:val="0"/>
                  <w:divBdr>
                    <w:top w:val="none" w:sz="0" w:space="0" w:color="auto"/>
                    <w:left w:val="none" w:sz="0" w:space="0" w:color="auto"/>
                    <w:bottom w:val="none" w:sz="0" w:space="0" w:color="auto"/>
                    <w:right w:val="none" w:sz="0" w:space="0" w:color="auto"/>
                  </w:divBdr>
                </w:div>
                <w:div w:id="1507599125">
                  <w:marLeft w:val="0"/>
                  <w:marRight w:val="0"/>
                  <w:marTop w:val="0"/>
                  <w:marBottom w:val="0"/>
                  <w:divBdr>
                    <w:top w:val="none" w:sz="0" w:space="0" w:color="auto"/>
                    <w:left w:val="none" w:sz="0" w:space="0" w:color="auto"/>
                    <w:bottom w:val="none" w:sz="0" w:space="0" w:color="auto"/>
                    <w:right w:val="none" w:sz="0" w:space="0" w:color="auto"/>
                  </w:divBdr>
                </w:div>
                <w:div w:id="1594433497">
                  <w:marLeft w:val="0"/>
                  <w:marRight w:val="0"/>
                  <w:marTop w:val="0"/>
                  <w:marBottom w:val="0"/>
                  <w:divBdr>
                    <w:top w:val="none" w:sz="0" w:space="0" w:color="auto"/>
                    <w:left w:val="none" w:sz="0" w:space="0" w:color="auto"/>
                    <w:bottom w:val="none" w:sz="0" w:space="0" w:color="auto"/>
                    <w:right w:val="none" w:sz="0" w:space="0" w:color="auto"/>
                  </w:divBdr>
                </w:div>
                <w:div w:id="1664624434">
                  <w:marLeft w:val="0"/>
                  <w:marRight w:val="0"/>
                  <w:marTop w:val="0"/>
                  <w:marBottom w:val="0"/>
                  <w:divBdr>
                    <w:top w:val="none" w:sz="0" w:space="0" w:color="auto"/>
                    <w:left w:val="none" w:sz="0" w:space="0" w:color="auto"/>
                    <w:bottom w:val="none" w:sz="0" w:space="0" w:color="auto"/>
                    <w:right w:val="none" w:sz="0" w:space="0" w:color="auto"/>
                  </w:divBdr>
                </w:div>
                <w:div w:id="1723216904">
                  <w:marLeft w:val="0"/>
                  <w:marRight w:val="0"/>
                  <w:marTop w:val="0"/>
                  <w:marBottom w:val="0"/>
                  <w:divBdr>
                    <w:top w:val="none" w:sz="0" w:space="0" w:color="auto"/>
                    <w:left w:val="none" w:sz="0" w:space="0" w:color="auto"/>
                    <w:bottom w:val="none" w:sz="0" w:space="0" w:color="auto"/>
                    <w:right w:val="none" w:sz="0" w:space="0" w:color="auto"/>
                  </w:divBdr>
                </w:div>
                <w:div w:id="1848861913">
                  <w:marLeft w:val="0"/>
                  <w:marRight w:val="0"/>
                  <w:marTop w:val="0"/>
                  <w:marBottom w:val="0"/>
                  <w:divBdr>
                    <w:top w:val="none" w:sz="0" w:space="0" w:color="auto"/>
                    <w:left w:val="none" w:sz="0" w:space="0" w:color="auto"/>
                    <w:bottom w:val="none" w:sz="0" w:space="0" w:color="auto"/>
                    <w:right w:val="none" w:sz="0" w:space="0" w:color="auto"/>
                  </w:divBdr>
                </w:div>
                <w:div w:id="208826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501755">
          <w:marLeft w:val="0"/>
          <w:marRight w:val="0"/>
          <w:marTop w:val="0"/>
          <w:marBottom w:val="0"/>
          <w:divBdr>
            <w:top w:val="none" w:sz="0" w:space="0" w:color="auto"/>
            <w:left w:val="none" w:sz="0" w:space="0" w:color="auto"/>
            <w:bottom w:val="none" w:sz="0" w:space="0" w:color="auto"/>
            <w:right w:val="none" w:sz="0" w:space="0" w:color="auto"/>
          </w:divBdr>
          <w:divsChild>
            <w:div w:id="1785149272">
              <w:marLeft w:val="0"/>
              <w:marRight w:val="0"/>
              <w:marTop w:val="0"/>
              <w:marBottom w:val="0"/>
              <w:divBdr>
                <w:top w:val="none" w:sz="0" w:space="0" w:color="auto"/>
                <w:left w:val="none" w:sz="0" w:space="0" w:color="auto"/>
                <w:bottom w:val="none" w:sz="0" w:space="0" w:color="auto"/>
                <w:right w:val="none" w:sz="0" w:space="0" w:color="auto"/>
              </w:divBdr>
              <w:divsChild>
                <w:div w:id="53816387">
                  <w:marLeft w:val="0"/>
                  <w:marRight w:val="0"/>
                  <w:marTop w:val="0"/>
                  <w:marBottom w:val="0"/>
                  <w:divBdr>
                    <w:top w:val="none" w:sz="0" w:space="0" w:color="auto"/>
                    <w:left w:val="none" w:sz="0" w:space="0" w:color="auto"/>
                    <w:bottom w:val="none" w:sz="0" w:space="0" w:color="auto"/>
                    <w:right w:val="none" w:sz="0" w:space="0" w:color="auto"/>
                  </w:divBdr>
                </w:div>
                <w:div w:id="218783625">
                  <w:marLeft w:val="0"/>
                  <w:marRight w:val="0"/>
                  <w:marTop w:val="0"/>
                  <w:marBottom w:val="0"/>
                  <w:divBdr>
                    <w:top w:val="none" w:sz="0" w:space="0" w:color="auto"/>
                    <w:left w:val="none" w:sz="0" w:space="0" w:color="auto"/>
                    <w:bottom w:val="none" w:sz="0" w:space="0" w:color="auto"/>
                    <w:right w:val="none" w:sz="0" w:space="0" w:color="auto"/>
                  </w:divBdr>
                </w:div>
                <w:div w:id="292978442">
                  <w:marLeft w:val="0"/>
                  <w:marRight w:val="0"/>
                  <w:marTop w:val="0"/>
                  <w:marBottom w:val="0"/>
                  <w:divBdr>
                    <w:top w:val="none" w:sz="0" w:space="0" w:color="auto"/>
                    <w:left w:val="none" w:sz="0" w:space="0" w:color="auto"/>
                    <w:bottom w:val="none" w:sz="0" w:space="0" w:color="auto"/>
                    <w:right w:val="none" w:sz="0" w:space="0" w:color="auto"/>
                  </w:divBdr>
                </w:div>
                <w:div w:id="317156231">
                  <w:marLeft w:val="0"/>
                  <w:marRight w:val="0"/>
                  <w:marTop w:val="0"/>
                  <w:marBottom w:val="0"/>
                  <w:divBdr>
                    <w:top w:val="none" w:sz="0" w:space="0" w:color="auto"/>
                    <w:left w:val="none" w:sz="0" w:space="0" w:color="auto"/>
                    <w:bottom w:val="none" w:sz="0" w:space="0" w:color="auto"/>
                    <w:right w:val="none" w:sz="0" w:space="0" w:color="auto"/>
                  </w:divBdr>
                </w:div>
                <w:div w:id="333807435">
                  <w:marLeft w:val="0"/>
                  <w:marRight w:val="0"/>
                  <w:marTop w:val="0"/>
                  <w:marBottom w:val="0"/>
                  <w:divBdr>
                    <w:top w:val="none" w:sz="0" w:space="0" w:color="auto"/>
                    <w:left w:val="none" w:sz="0" w:space="0" w:color="auto"/>
                    <w:bottom w:val="none" w:sz="0" w:space="0" w:color="auto"/>
                    <w:right w:val="none" w:sz="0" w:space="0" w:color="auto"/>
                  </w:divBdr>
                </w:div>
                <w:div w:id="370493348">
                  <w:marLeft w:val="0"/>
                  <w:marRight w:val="0"/>
                  <w:marTop w:val="0"/>
                  <w:marBottom w:val="0"/>
                  <w:divBdr>
                    <w:top w:val="none" w:sz="0" w:space="0" w:color="auto"/>
                    <w:left w:val="none" w:sz="0" w:space="0" w:color="auto"/>
                    <w:bottom w:val="none" w:sz="0" w:space="0" w:color="auto"/>
                    <w:right w:val="none" w:sz="0" w:space="0" w:color="auto"/>
                  </w:divBdr>
                </w:div>
                <w:div w:id="509757922">
                  <w:marLeft w:val="0"/>
                  <w:marRight w:val="0"/>
                  <w:marTop w:val="0"/>
                  <w:marBottom w:val="0"/>
                  <w:divBdr>
                    <w:top w:val="none" w:sz="0" w:space="0" w:color="auto"/>
                    <w:left w:val="none" w:sz="0" w:space="0" w:color="auto"/>
                    <w:bottom w:val="none" w:sz="0" w:space="0" w:color="auto"/>
                    <w:right w:val="none" w:sz="0" w:space="0" w:color="auto"/>
                  </w:divBdr>
                </w:div>
                <w:div w:id="553395637">
                  <w:marLeft w:val="0"/>
                  <w:marRight w:val="0"/>
                  <w:marTop w:val="0"/>
                  <w:marBottom w:val="0"/>
                  <w:divBdr>
                    <w:top w:val="none" w:sz="0" w:space="0" w:color="auto"/>
                    <w:left w:val="none" w:sz="0" w:space="0" w:color="auto"/>
                    <w:bottom w:val="none" w:sz="0" w:space="0" w:color="auto"/>
                    <w:right w:val="none" w:sz="0" w:space="0" w:color="auto"/>
                  </w:divBdr>
                </w:div>
                <w:div w:id="567613866">
                  <w:marLeft w:val="0"/>
                  <w:marRight w:val="0"/>
                  <w:marTop w:val="0"/>
                  <w:marBottom w:val="0"/>
                  <w:divBdr>
                    <w:top w:val="none" w:sz="0" w:space="0" w:color="auto"/>
                    <w:left w:val="none" w:sz="0" w:space="0" w:color="auto"/>
                    <w:bottom w:val="none" w:sz="0" w:space="0" w:color="auto"/>
                    <w:right w:val="none" w:sz="0" w:space="0" w:color="auto"/>
                  </w:divBdr>
                </w:div>
                <w:div w:id="614143085">
                  <w:marLeft w:val="0"/>
                  <w:marRight w:val="0"/>
                  <w:marTop w:val="0"/>
                  <w:marBottom w:val="0"/>
                  <w:divBdr>
                    <w:top w:val="none" w:sz="0" w:space="0" w:color="auto"/>
                    <w:left w:val="none" w:sz="0" w:space="0" w:color="auto"/>
                    <w:bottom w:val="none" w:sz="0" w:space="0" w:color="auto"/>
                    <w:right w:val="none" w:sz="0" w:space="0" w:color="auto"/>
                  </w:divBdr>
                </w:div>
                <w:div w:id="681007361">
                  <w:marLeft w:val="0"/>
                  <w:marRight w:val="0"/>
                  <w:marTop w:val="0"/>
                  <w:marBottom w:val="0"/>
                  <w:divBdr>
                    <w:top w:val="none" w:sz="0" w:space="0" w:color="auto"/>
                    <w:left w:val="none" w:sz="0" w:space="0" w:color="auto"/>
                    <w:bottom w:val="none" w:sz="0" w:space="0" w:color="auto"/>
                    <w:right w:val="none" w:sz="0" w:space="0" w:color="auto"/>
                  </w:divBdr>
                </w:div>
                <w:div w:id="696543784">
                  <w:marLeft w:val="0"/>
                  <w:marRight w:val="0"/>
                  <w:marTop w:val="0"/>
                  <w:marBottom w:val="0"/>
                  <w:divBdr>
                    <w:top w:val="none" w:sz="0" w:space="0" w:color="auto"/>
                    <w:left w:val="none" w:sz="0" w:space="0" w:color="auto"/>
                    <w:bottom w:val="none" w:sz="0" w:space="0" w:color="auto"/>
                    <w:right w:val="none" w:sz="0" w:space="0" w:color="auto"/>
                  </w:divBdr>
                </w:div>
                <w:div w:id="799491893">
                  <w:marLeft w:val="0"/>
                  <w:marRight w:val="0"/>
                  <w:marTop w:val="0"/>
                  <w:marBottom w:val="0"/>
                  <w:divBdr>
                    <w:top w:val="none" w:sz="0" w:space="0" w:color="auto"/>
                    <w:left w:val="none" w:sz="0" w:space="0" w:color="auto"/>
                    <w:bottom w:val="none" w:sz="0" w:space="0" w:color="auto"/>
                    <w:right w:val="none" w:sz="0" w:space="0" w:color="auto"/>
                  </w:divBdr>
                </w:div>
                <w:div w:id="1152676296">
                  <w:marLeft w:val="0"/>
                  <w:marRight w:val="0"/>
                  <w:marTop w:val="0"/>
                  <w:marBottom w:val="0"/>
                  <w:divBdr>
                    <w:top w:val="none" w:sz="0" w:space="0" w:color="auto"/>
                    <w:left w:val="none" w:sz="0" w:space="0" w:color="auto"/>
                    <w:bottom w:val="none" w:sz="0" w:space="0" w:color="auto"/>
                    <w:right w:val="none" w:sz="0" w:space="0" w:color="auto"/>
                  </w:divBdr>
                </w:div>
                <w:div w:id="1353801931">
                  <w:marLeft w:val="0"/>
                  <w:marRight w:val="0"/>
                  <w:marTop w:val="0"/>
                  <w:marBottom w:val="0"/>
                  <w:divBdr>
                    <w:top w:val="none" w:sz="0" w:space="0" w:color="auto"/>
                    <w:left w:val="none" w:sz="0" w:space="0" w:color="auto"/>
                    <w:bottom w:val="none" w:sz="0" w:space="0" w:color="auto"/>
                    <w:right w:val="none" w:sz="0" w:space="0" w:color="auto"/>
                  </w:divBdr>
                </w:div>
                <w:div w:id="1860583682">
                  <w:marLeft w:val="0"/>
                  <w:marRight w:val="0"/>
                  <w:marTop w:val="0"/>
                  <w:marBottom w:val="0"/>
                  <w:divBdr>
                    <w:top w:val="none" w:sz="0" w:space="0" w:color="auto"/>
                    <w:left w:val="none" w:sz="0" w:space="0" w:color="auto"/>
                    <w:bottom w:val="none" w:sz="0" w:space="0" w:color="auto"/>
                    <w:right w:val="none" w:sz="0" w:space="0" w:color="auto"/>
                  </w:divBdr>
                </w:div>
                <w:div w:id="1931695191">
                  <w:marLeft w:val="0"/>
                  <w:marRight w:val="0"/>
                  <w:marTop w:val="0"/>
                  <w:marBottom w:val="0"/>
                  <w:divBdr>
                    <w:top w:val="none" w:sz="0" w:space="0" w:color="auto"/>
                    <w:left w:val="none" w:sz="0" w:space="0" w:color="auto"/>
                    <w:bottom w:val="none" w:sz="0" w:space="0" w:color="auto"/>
                    <w:right w:val="none" w:sz="0" w:space="0" w:color="auto"/>
                  </w:divBdr>
                </w:div>
                <w:div w:id="1961766592">
                  <w:marLeft w:val="0"/>
                  <w:marRight w:val="0"/>
                  <w:marTop w:val="0"/>
                  <w:marBottom w:val="0"/>
                  <w:divBdr>
                    <w:top w:val="none" w:sz="0" w:space="0" w:color="auto"/>
                    <w:left w:val="none" w:sz="0" w:space="0" w:color="auto"/>
                    <w:bottom w:val="none" w:sz="0" w:space="0" w:color="auto"/>
                    <w:right w:val="none" w:sz="0" w:space="0" w:color="auto"/>
                  </w:divBdr>
                </w:div>
                <w:div w:id="207920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97338">
      <w:bodyDiv w:val="1"/>
      <w:marLeft w:val="0"/>
      <w:marRight w:val="0"/>
      <w:marTop w:val="0"/>
      <w:marBottom w:val="0"/>
      <w:divBdr>
        <w:top w:val="none" w:sz="0" w:space="0" w:color="auto"/>
        <w:left w:val="none" w:sz="0" w:space="0" w:color="auto"/>
        <w:bottom w:val="none" w:sz="0" w:space="0" w:color="auto"/>
        <w:right w:val="none" w:sz="0" w:space="0" w:color="auto"/>
      </w:divBdr>
      <w:divsChild>
        <w:div w:id="723601444">
          <w:marLeft w:val="0"/>
          <w:marRight w:val="0"/>
          <w:marTop w:val="0"/>
          <w:marBottom w:val="0"/>
          <w:divBdr>
            <w:top w:val="none" w:sz="0" w:space="0" w:color="auto"/>
            <w:left w:val="none" w:sz="0" w:space="0" w:color="auto"/>
            <w:bottom w:val="none" w:sz="0" w:space="0" w:color="auto"/>
            <w:right w:val="none" w:sz="0" w:space="0" w:color="auto"/>
          </w:divBdr>
        </w:div>
        <w:div w:id="771784514">
          <w:marLeft w:val="0"/>
          <w:marRight w:val="0"/>
          <w:marTop w:val="0"/>
          <w:marBottom w:val="0"/>
          <w:divBdr>
            <w:top w:val="none" w:sz="0" w:space="0" w:color="auto"/>
            <w:left w:val="none" w:sz="0" w:space="0" w:color="auto"/>
            <w:bottom w:val="none" w:sz="0" w:space="0" w:color="auto"/>
            <w:right w:val="none" w:sz="0" w:space="0" w:color="auto"/>
          </w:divBdr>
        </w:div>
        <w:div w:id="830753823">
          <w:marLeft w:val="0"/>
          <w:marRight w:val="0"/>
          <w:marTop w:val="0"/>
          <w:marBottom w:val="0"/>
          <w:divBdr>
            <w:top w:val="none" w:sz="0" w:space="0" w:color="auto"/>
            <w:left w:val="none" w:sz="0" w:space="0" w:color="auto"/>
            <w:bottom w:val="none" w:sz="0" w:space="0" w:color="auto"/>
            <w:right w:val="none" w:sz="0" w:space="0" w:color="auto"/>
          </w:divBdr>
        </w:div>
        <w:div w:id="887884762">
          <w:marLeft w:val="0"/>
          <w:marRight w:val="0"/>
          <w:marTop w:val="0"/>
          <w:marBottom w:val="0"/>
          <w:divBdr>
            <w:top w:val="none" w:sz="0" w:space="0" w:color="auto"/>
            <w:left w:val="none" w:sz="0" w:space="0" w:color="auto"/>
            <w:bottom w:val="none" w:sz="0" w:space="0" w:color="auto"/>
            <w:right w:val="none" w:sz="0" w:space="0" w:color="auto"/>
          </w:divBdr>
        </w:div>
        <w:div w:id="1041632206">
          <w:marLeft w:val="0"/>
          <w:marRight w:val="0"/>
          <w:marTop w:val="0"/>
          <w:marBottom w:val="0"/>
          <w:divBdr>
            <w:top w:val="none" w:sz="0" w:space="0" w:color="auto"/>
            <w:left w:val="none" w:sz="0" w:space="0" w:color="auto"/>
            <w:bottom w:val="none" w:sz="0" w:space="0" w:color="auto"/>
            <w:right w:val="none" w:sz="0" w:space="0" w:color="auto"/>
          </w:divBdr>
        </w:div>
        <w:div w:id="1091271496">
          <w:marLeft w:val="0"/>
          <w:marRight w:val="0"/>
          <w:marTop w:val="0"/>
          <w:marBottom w:val="0"/>
          <w:divBdr>
            <w:top w:val="none" w:sz="0" w:space="0" w:color="auto"/>
            <w:left w:val="none" w:sz="0" w:space="0" w:color="auto"/>
            <w:bottom w:val="none" w:sz="0" w:space="0" w:color="auto"/>
            <w:right w:val="none" w:sz="0" w:space="0" w:color="auto"/>
          </w:divBdr>
        </w:div>
        <w:div w:id="1371877146">
          <w:marLeft w:val="0"/>
          <w:marRight w:val="0"/>
          <w:marTop w:val="0"/>
          <w:marBottom w:val="0"/>
          <w:divBdr>
            <w:top w:val="none" w:sz="0" w:space="0" w:color="auto"/>
            <w:left w:val="none" w:sz="0" w:space="0" w:color="auto"/>
            <w:bottom w:val="none" w:sz="0" w:space="0" w:color="auto"/>
            <w:right w:val="none" w:sz="0" w:space="0" w:color="auto"/>
          </w:divBdr>
        </w:div>
        <w:div w:id="1564414969">
          <w:marLeft w:val="0"/>
          <w:marRight w:val="0"/>
          <w:marTop w:val="0"/>
          <w:marBottom w:val="0"/>
          <w:divBdr>
            <w:top w:val="none" w:sz="0" w:space="0" w:color="auto"/>
            <w:left w:val="none" w:sz="0" w:space="0" w:color="auto"/>
            <w:bottom w:val="none" w:sz="0" w:space="0" w:color="auto"/>
            <w:right w:val="none" w:sz="0" w:space="0" w:color="auto"/>
          </w:divBdr>
        </w:div>
      </w:divsChild>
    </w:div>
    <w:div w:id="139272347">
      <w:bodyDiv w:val="1"/>
      <w:marLeft w:val="0"/>
      <w:marRight w:val="0"/>
      <w:marTop w:val="0"/>
      <w:marBottom w:val="0"/>
      <w:divBdr>
        <w:top w:val="none" w:sz="0" w:space="0" w:color="auto"/>
        <w:left w:val="none" w:sz="0" w:space="0" w:color="auto"/>
        <w:bottom w:val="none" w:sz="0" w:space="0" w:color="auto"/>
        <w:right w:val="none" w:sz="0" w:space="0" w:color="auto"/>
      </w:divBdr>
    </w:div>
    <w:div w:id="144132208">
      <w:bodyDiv w:val="1"/>
      <w:marLeft w:val="0"/>
      <w:marRight w:val="0"/>
      <w:marTop w:val="0"/>
      <w:marBottom w:val="0"/>
      <w:divBdr>
        <w:top w:val="none" w:sz="0" w:space="0" w:color="auto"/>
        <w:left w:val="none" w:sz="0" w:space="0" w:color="auto"/>
        <w:bottom w:val="none" w:sz="0" w:space="0" w:color="auto"/>
        <w:right w:val="none" w:sz="0" w:space="0" w:color="auto"/>
      </w:divBdr>
    </w:div>
    <w:div w:id="144590324">
      <w:bodyDiv w:val="1"/>
      <w:marLeft w:val="0"/>
      <w:marRight w:val="0"/>
      <w:marTop w:val="0"/>
      <w:marBottom w:val="0"/>
      <w:divBdr>
        <w:top w:val="none" w:sz="0" w:space="0" w:color="auto"/>
        <w:left w:val="none" w:sz="0" w:space="0" w:color="auto"/>
        <w:bottom w:val="none" w:sz="0" w:space="0" w:color="auto"/>
        <w:right w:val="none" w:sz="0" w:space="0" w:color="auto"/>
      </w:divBdr>
    </w:div>
    <w:div w:id="165631547">
      <w:bodyDiv w:val="1"/>
      <w:marLeft w:val="0"/>
      <w:marRight w:val="0"/>
      <w:marTop w:val="0"/>
      <w:marBottom w:val="0"/>
      <w:divBdr>
        <w:top w:val="none" w:sz="0" w:space="0" w:color="auto"/>
        <w:left w:val="none" w:sz="0" w:space="0" w:color="auto"/>
        <w:bottom w:val="none" w:sz="0" w:space="0" w:color="auto"/>
        <w:right w:val="none" w:sz="0" w:space="0" w:color="auto"/>
      </w:divBdr>
      <w:divsChild>
        <w:div w:id="45952726">
          <w:marLeft w:val="0"/>
          <w:marRight w:val="0"/>
          <w:marTop w:val="0"/>
          <w:marBottom w:val="0"/>
          <w:divBdr>
            <w:top w:val="none" w:sz="0" w:space="0" w:color="auto"/>
            <w:left w:val="none" w:sz="0" w:space="0" w:color="auto"/>
            <w:bottom w:val="none" w:sz="0" w:space="0" w:color="auto"/>
            <w:right w:val="none" w:sz="0" w:space="0" w:color="auto"/>
          </w:divBdr>
        </w:div>
        <w:div w:id="61677938">
          <w:marLeft w:val="0"/>
          <w:marRight w:val="0"/>
          <w:marTop w:val="0"/>
          <w:marBottom w:val="0"/>
          <w:divBdr>
            <w:top w:val="none" w:sz="0" w:space="0" w:color="auto"/>
            <w:left w:val="none" w:sz="0" w:space="0" w:color="auto"/>
            <w:bottom w:val="none" w:sz="0" w:space="0" w:color="auto"/>
            <w:right w:val="none" w:sz="0" w:space="0" w:color="auto"/>
          </w:divBdr>
        </w:div>
        <w:div w:id="69155768">
          <w:marLeft w:val="0"/>
          <w:marRight w:val="0"/>
          <w:marTop w:val="0"/>
          <w:marBottom w:val="0"/>
          <w:divBdr>
            <w:top w:val="none" w:sz="0" w:space="0" w:color="auto"/>
            <w:left w:val="none" w:sz="0" w:space="0" w:color="auto"/>
            <w:bottom w:val="none" w:sz="0" w:space="0" w:color="auto"/>
            <w:right w:val="none" w:sz="0" w:space="0" w:color="auto"/>
          </w:divBdr>
        </w:div>
        <w:div w:id="142434278">
          <w:marLeft w:val="0"/>
          <w:marRight w:val="0"/>
          <w:marTop w:val="0"/>
          <w:marBottom w:val="0"/>
          <w:divBdr>
            <w:top w:val="none" w:sz="0" w:space="0" w:color="auto"/>
            <w:left w:val="none" w:sz="0" w:space="0" w:color="auto"/>
            <w:bottom w:val="none" w:sz="0" w:space="0" w:color="auto"/>
            <w:right w:val="none" w:sz="0" w:space="0" w:color="auto"/>
          </w:divBdr>
        </w:div>
        <w:div w:id="192155534">
          <w:marLeft w:val="0"/>
          <w:marRight w:val="0"/>
          <w:marTop w:val="0"/>
          <w:marBottom w:val="0"/>
          <w:divBdr>
            <w:top w:val="none" w:sz="0" w:space="0" w:color="auto"/>
            <w:left w:val="none" w:sz="0" w:space="0" w:color="auto"/>
            <w:bottom w:val="none" w:sz="0" w:space="0" w:color="auto"/>
            <w:right w:val="none" w:sz="0" w:space="0" w:color="auto"/>
          </w:divBdr>
        </w:div>
        <w:div w:id="202641312">
          <w:marLeft w:val="0"/>
          <w:marRight w:val="0"/>
          <w:marTop w:val="0"/>
          <w:marBottom w:val="0"/>
          <w:divBdr>
            <w:top w:val="none" w:sz="0" w:space="0" w:color="auto"/>
            <w:left w:val="none" w:sz="0" w:space="0" w:color="auto"/>
            <w:bottom w:val="none" w:sz="0" w:space="0" w:color="auto"/>
            <w:right w:val="none" w:sz="0" w:space="0" w:color="auto"/>
          </w:divBdr>
        </w:div>
        <w:div w:id="254442234">
          <w:marLeft w:val="0"/>
          <w:marRight w:val="0"/>
          <w:marTop w:val="0"/>
          <w:marBottom w:val="0"/>
          <w:divBdr>
            <w:top w:val="none" w:sz="0" w:space="0" w:color="auto"/>
            <w:left w:val="none" w:sz="0" w:space="0" w:color="auto"/>
            <w:bottom w:val="none" w:sz="0" w:space="0" w:color="auto"/>
            <w:right w:val="none" w:sz="0" w:space="0" w:color="auto"/>
          </w:divBdr>
        </w:div>
        <w:div w:id="256257491">
          <w:marLeft w:val="0"/>
          <w:marRight w:val="0"/>
          <w:marTop w:val="0"/>
          <w:marBottom w:val="0"/>
          <w:divBdr>
            <w:top w:val="none" w:sz="0" w:space="0" w:color="auto"/>
            <w:left w:val="none" w:sz="0" w:space="0" w:color="auto"/>
            <w:bottom w:val="none" w:sz="0" w:space="0" w:color="auto"/>
            <w:right w:val="none" w:sz="0" w:space="0" w:color="auto"/>
          </w:divBdr>
        </w:div>
        <w:div w:id="274992261">
          <w:marLeft w:val="0"/>
          <w:marRight w:val="0"/>
          <w:marTop w:val="0"/>
          <w:marBottom w:val="0"/>
          <w:divBdr>
            <w:top w:val="none" w:sz="0" w:space="0" w:color="auto"/>
            <w:left w:val="none" w:sz="0" w:space="0" w:color="auto"/>
            <w:bottom w:val="none" w:sz="0" w:space="0" w:color="auto"/>
            <w:right w:val="none" w:sz="0" w:space="0" w:color="auto"/>
          </w:divBdr>
        </w:div>
        <w:div w:id="289285950">
          <w:marLeft w:val="0"/>
          <w:marRight w:val="0"/>
          <w:marTop w:val="0"/>
          <w:marBottom w:val="0"/>
          <w:divBdr>
            <w:top w:val="none" w:sz="0" w:space="0" w:color="auto"/>
            <w:left w:val="none" w:sz="0" w:space="0" w:color="auto"/>
            <w:bottom w:val="none" w:sz="0" w:space="0" w:color="auto"/>
            <w:right w:val="none" w:sz="0" w:space="0" w:color="auto"/>
          </w:divBdr>
        </w:div>
        <w:div w:id="322315389">
          <w:marLeft w:val="0"/>
          <w:marRight w:val="0"/>
          <w:marTop w:val="0"/>
          <w:marBottom w:val="0"/>
          <w:divBdr>
            <w:top w:val="none" w:sz="0" w:space="0" w:color="auto"/>
            <w:left w:val="none" w:sz="0" w:space="0" w:color="auto"/>
            <w:bottom w:val="none" w:sz="0" w:space="0" w:color="auto"/>
            <w:right w:val="none" w:sz="0" w:space="0" w:color="auto"/>
          </w:divBdr>
        </w:div>
        <w:div w:id="377584518">
          <w:marLeft w:val="0"/>
          <w:marRight w:val="0"/>
          <w:marTop w:val="0"/>
          <w:marBottom w:val="0"/>
          <w:divBdr>
            <w:top w:val="none" w:sz="0" w:space="0" w:color="auto"/>
            <w:left w:val="none" w:sz="0" w:space="0" w:color="auto"/>
            <w:bottom w:val="none" w:sz="0" w:space="0" w:color="auto"/>
            <w:right w:val="none" w:sz="0" w:space="0" w:color="auto"/>
          </w:divBdr>
        </w:div>
        <w:div w:id="453015753">
          <w:marLeft w:val="0"/>
          <w:marRight w:val="0"/>
          <w:marTop w:val="0"/>
          <w:marBottom w:val="0"/>
          <w:divBdr>
            <w:top w:val="none" w:sz="0" w:space="0" w:color="auto"/>
            <w:left w:val="none" w:sz="0" w:space="0" w:color="auto"/>
            <w:bottom w:val="none" w:sz="0" w:space="0" w:color="auto"/>
            <w:right w:val="none" w:sz="0" w:space="0" w:color="auto"/>
          </w:divBdr>
        </w:div>
        <w:div w:id="471289056">
          <w:marLeft w:val="0"/>
          <w:marRight w:val="0"/>
          <w:marTop w:val="0"/>
          <w:marBottom w:val="0"/>
          <w:divBdr>
            <w:top w:val="none" w:sz="0" w:space="0" w:color="auto"/>
            <w:left w:val="none" w:sz="0" w:space="0" w:color="auto"/>
            <w:bottom w:val="none" w:sz="0" w:space="0" w:color="auto"/>
            <w:right w:val="none" w:sz="0" w:space="0" w:color="auto"/>
          </w:divBdr>
        </w:div>
        <w:div w:id="549339940">
          <w:marLeft w:val="0"/>
          <w:marRight w:val="0"/>
          <w:marTop w:val="0"/>
          <w:marBottom w:val="0"/>
          <w:divBdr>
            <w:top w:val="none" w:sz="0" w:space="0" w:color="auto"/>
            <w:left w:val="none" w:sz="0" w:space="0" w:color="auto"/>
            <w:bottom w:val="none" w:sz="0" w:space="0" w:color="auto"/>
            <w:right w:val="none" w:sz="0" w:space="0" w:color="auto"/>
          </w:divBdr>
        </w:div>
        <w:div w:id="600138712">
          <w:marLeft w:val="0"/>
          <w:marRight w:val="0"/>
          <w:marTop w:val="0"/>
          <w:marBottom w:val="0"/>
          <w:divBdr>
            <w:top w:val="none" w:sz="0" w:space="0" w:color="auto"/>
            <w:left w:val="none" w:sz="0" w:space="0" w:color="auto"/>
            <w:bottom w:val="none" w:sz="0" w:space="0" w:color="auto"/>
            <w:right w:val="none" w:sz="0" w:space="0" w:color="auto"/>
          </w:divBdr>
        </w:div>
        <w:div w:id="611743774">
          <w:marLeft w:val="0"/>
          <w:marRight w:val="0"/>
          <w:marTop w:val="0"/>
          <w:marBottom w:val="0"/>
          <w:divBdr>
            <w:top w:val="none" w:sz="0" w:space="0" w:color="auto"/>
            <w:left w:val="none" w:sz="0" w:space="0" w:color="auto"/>
            <w:bottom w:val="none" w:sz="0" w:space="0" w:color="auto"/>
            <w:right w:val="none" w:sz="0" w:space="0" w:color="auto"/>
          </w:divBdr>
        </w:div>
        <w:div w:id="653026985">
          <w:marLeft w:val="0"/>
          <w:marRight w:val="0"/>
          <w:marTop w:val="0"/>
          <w:marBottom w:val="0"/>
          <w:divBdr>
            <w:top w:val="none" w:sz="0" w:space="0" w:color="auto"/>
            <w:left w:val="none" w:sz="0" w:space="0" w:color="auto"/>
            <w:bottom w:val="none" w:sz="0" w:space="0" w:color="auto"/>
            <w:right w:val="none" w:sz="0" w:space="0" w:color="auto"/>
          </w:divBdr>
        </w:div>
        <w:div w:id="657226696">
          <w:marLeft w:val="0"/>
          <w:marRight w:val="0"/>
          <w:marTop w:val="0"/>
          <w:marBottom w:val="0"/>
          <w:divBdr>
            <w:top w:val="none" w:sz="0" w:space="0" w:color="auto"/>
            <w:left w:val="none" w:sz="0" w:space="0" w:color="auto"/>
            <w:bottom w:val="none" w:sz="0" w:space="0" w:color="auto"/>
            <w:right w:val="none" w:sz="0" w:space="0" w:color="auto"/>
          </w:divBdr>
        </w:div>
        <w:div w:id="671029719">
          <w:marLeft w:val="0"/>
          <w:marRight w:val="0"/>
          <w:marTop w:val="0"/>
          <w:marBottom w:val="0"/>
          <w:divBdr>
            <w:top w:val="none" w:sz="0" w:space="0" w:color="auto"/>
            <w:left w:val="none" w:sz="0" w:space="0" w:color="auto"/>
            <w:bottom w:val="none" w:sz="0" w:space="0" w:color="auto"/>
            <w:right w:val="none" w:sz="0" w:space="0" w:color="auto"/>
          </w:divBdr>
        </w:div>
        <w:div w:id="694162394">
          <w:marLeft w:val="0"/>
          <w:marRight w:val="0"/>
          <w:marTop w:val="0"/>
          <w:marBottom w:val="0"/>
          <w:divBdr>
            <w:top w:val="none" w:sz="0" w:space="0" w:color="auto"/>
            <w:left w:val="none" w:sz="0" w:space="0" w:color="auto"/>
            <w:bottom w:val="none" w:sz="0" w:space="0" w:color="auto"/>
            <w:right w:val="none" w:sz="0" w:space="0" w:color="auto"/>
          </w:divBdr>
        </w:div>
        <w:div w:id="696390791">
          <w:marLeft w:val="0"/>
          <w:marRight w:val="0"/>
          <w:marTop w:val="0"/>
          <w:marBottom w:val="0"/>
          <w:divBdr>
            <w:top w:val="none" w:sz="0" w:space="0" w:color="auto"/>
            <w:left w:val="none" w:sz="0" w:space="0" w:color="auto"/>
            <w:bottom w:val="none" w:sz="0" w:space="0" w:color="auto"/>
            <w:right w:val="none" w:sz="0" w:space="0" w:color="auto"/>
          </w:divBdr>
        </w:div>
        <w:div w:id="742415554">
          <w:marLeft w:val="0"/>
          <w:marRight w:val="0"/>
          <w:marTop w:val="0"/>
          <w:marBottom w:val="0"/>
          <w:divBdr>
            <w:top w:val="none" w:sz="0" w:space="0" w:color="auto"/>
            <w:left w:val="none" w:sz="0" w:space="0" w:color="auto"/>
            <w:bottom w:val="none" w:sz="0" w:space="0" w:color="auto"/>
            <w:right w:val="none" w:sz="0" w:space="0" w:color="auto"/>
          </w:divBdr>
        </w:div>
        <w:div w:id="755132448">
          <w:marLeft w:val="0"/>
          <w:marRight w:val="0"/>
          <w:marTop w:val="0"/>
          <w:marBottom w:val="0"/>
          <w:divBdr>
            <w:top w:val="none" w:sz="0" w:space="0" w:color="auto"/>
            <w:left w:val="none" w:sz="0" w:space="0" w:color="auto"/>
            <w:bottom w:val="none" w:sz="0" w:space="0" w:color="auto"/>
            <w:right w:val="none" w:sz="0" w:space="0" w:color="auto"/>
          </w:divBdr>
        </w:div>
        <w:div w:id="767627897">
          <w:marLeft w:val="0"/>
          <w:marRight w:val="0"/>
          <w:marTop w:val="0"/>
          <w:marBottom w:val="0"/>
          <w:divBdr>
            <w:top w:val="none" w:sz="0" w:space="0" w:color="auto"/>
            <w:left w:val="none" w:sz="0" w:space="0" w:color="auto"/>
            <w:bottom w:val="none" w:sz="0" w:space="0" w:color="auto"/>
            <w:right w:val="none" w:sz="0" w:space="0" w:color="auto"/>
          </w:divBdr>
        </w:div>
        <w:div w:id="769855619">
          <w:marLeft w:val="0"/>
          <w:marRight w:val="0"/>
          <w:marTop w:val="0"/>
          <w:marBottom w:val="0"/>
          <w:divBdr>
            <w:top w:val="none" w:sz="0" w:space="0" w:color="auto"/>
            <w:left w:val="none" w:sz="0" w:space="0" w:color="auto"/>
            <w:bottom w:val="none" w:sz="0" w:space="0" w:color="auto"/>
            <w:right w:val="none" w:sz="0" w:space="0" w:color="auto"/>
          </w:divBdr>
        </w:div>
        <w:div w:id="793214199">
          <w:marLeft w:val="0"/>
          <w:marRight w:val="0"/>
          <w:marTop w:val="0"/>
          <w:marBottom w:val="0"/>
          <w:divBdr>
            <w:top w:val="none" w:sz="0" w:space="0" w:color="auto"/>
            <w:left w:val="none" w:sz="0" w:space="0" w:color="auto"/>
            <w:bottom w:val="none" w:sz="0" w:space="0" w:color="auto"/>
            <w:right w:val="none" w:sz="0" w:space="0" w:color="auto"/>
          </w:divBdr>
        </w:div>
        <w:div w:id="812990598">
          <w:marLeft w:val="0"/>
          <w:marRight w:val="0"/>
          <w:marTop w:val="0"/>
          <w:marBottom w:val="0"/>
          <w:divBdr>
            <w:top w:val="none" w:sz="0" w:space="0" w:color="auto"/>
            <w:left w:val="none" w:sz="0" w:space="0" w:color="auto"/>
            <w:bottom w:val="none" w:sz="0" w:space="0" w:color="auto"/>
            <w:right w:val="none" w:sz="0" w:space="0" w:color="auto"/>
          </w:divBdr>
        </w:div>
        <w:div w:id="815293771">
          <w:marLeft w:val="0"/>
          <w:marRight w:val="0"/>
          <w:marTop w:val="0"/>
          <w:marBottom w:val="0"/>
          <w:divBdr>
            <w:top w:val="none" w:sz="0" w:space="0" w:color="auto"/>
            <w:left w:val="none" w:sz="0" w:space="0" w:color="auto"/>
            <w:bottom w:val="none" w:sz="0" w:space="0" w:color="auto"/>
            <w:right w:val="none" w:sz="0" w:space="0" w:color="auto"/>
          </w:divBdr>
        </w:div>
        <w:div w:id="816725100">
          <w:marLeft w:val="0"/>
          <w:marRight w:val="0"/>
          <w:marTop w:val="0"/>
          <w:marBottom w:val="0"/>
          <w:divBdr>
            <w:top w:val="none" w:sz="0" w:space="0" w:color="auto"/>
            <w:left w:val="none" w:sz="0" w:space="0" w:color="auto"/>
            <w:bottom w:val="none" w:sz="0" w:space="0" w:color="auto"/>
            <w:right w:val="none" w:sz="0" w:space="0" w:color="auto"/>
          </w:divBdr>
        </w:div>
        <w:div w:id="855777731">
          <w:marLeft w:val="0"/>
          <w:marRight w:val="0"/>
          <w:marTop w:val="0"/>
          <w:marBottom w:val="0"/>
          <w:divBdr>
            <w:top w:val="none" w:sz="0" w:space="0" w:color="auto"/>
            <w:left w:val="none" w:sz="0" w:space="0" w:color="auto"/>
            <w:bottom w:val="none" w:sz="0" w:space="0" w:color="auto"/>
            <w:right w:val="none" w:sz="0" w:space="0" w:color="auto"/>
          </w:divBdr>
        </w:div>
        <w:div w:id="874729766">
          <w:marLeft w:val="0"/>
          <w:marRight w:val="0"/>
          <w:marTop w:val="0"/>
          <w:marBottom w:val="0"/>
          <w:divBdr>
            <w:top w:val="none" w:sz="0" w:space="0" w:color="auto"/>
            <w:left w:val="none" w:sz="0" w:space="0" w:color="auto"/>
            <w:bottom w:val="none" w:sz="0" w:space="0" w:color="auto"/>
            <w:right w:val="none" w:sz="0" w:space="0" w:color="auto"/>
          </w:divBdr>
        </w:div>
        <w:div w:id="875658001">
          <w:marLeft w:val="0"/>
          <w:marRight w:val="0"/>
          <w:marTop w:val="0"/>
          <w:marBottom w:val="0"/>
          <w:divBdr>
            <w:top w:val="none" w:sz="0" w:space="0" w:color="auto"/>
            <w:left w:val="none" w:sz="0" w:space="0" w:color="auto"/>
            <w:bottom w:val="none" w:sz="0" w:space="0" w:color="auto"/>
            <w:right w:val="none" w:sz="0" w:space="0" w:color="auto"/>
          </w:divBdr>
        </w:div>
        <w:div w:id="944384111">
          <w:marLeft w:val="0"/>
          <w:marRight w:val="0"/>
          <w:marTop w:val="0"/>
          <w:marBottom w:val="0"/>
          <w:divBdr>
            <w:top w:val="none" w:sz="0" w:space="0" w:color="auto"/>
            <w:left w:val="none" w:sz="0" w:space="0" w:color="auto"/>
            <w:bottom w:val="none" w:sz="0" w:space="0" w:color="auto"/>
            <w:right w:val="none" w:sz="0" w:space="0" w:color="auto"/>
          </w:divBdr>
        </w:div>
        <w:div w:id="948513228">
          <w:marLeft w:val="0"/>
          <w:marRight w:val="0"/>
          <w:marTop w:val="0"/>
          <w:marBottom w:val="0"/>
          <w:divBdr>
            <w:top w:val="none" w:sz="0" w:space="0" w:color="auto"/>
            <w:left w:val="none" w:sz="0" w:space="0" w:color="auto"/>
            <w:bottom w:val="none" w:sz="0" w:space="0" w:color="auto"/>
            <w:right w:val="none" w:sz="0" w:space="0" w:color="auto"/>
          </w:divBdr>
        </w:div>
        <w:div w:id="1000423146">
          <w:marLeft w:val="0"/>
          <w:marRight w:val="0"/>
          <w:marTop w:val="0"/>
          <w:marBottom w:val="0"/>
          <w:divBdr>
            <w:top w:val="none" w:sz="0" w:space="0" w:color="auto"/>
            <w:left w:val="none" w:sz="0" w:space="0" w:color="auto"/>
            <w:bottom w:val="none" w:sz="0" w:space="0" w:color="auto"/>
            <w:right w:val="none" w:sz="0" w:space="0" w:color="auto"/>
          </w:divBdr>
        </w:div>
        <w:div w:id="1058362883">
          <w:marLeft w:val="0"/>
          <w:marRight w:val="0"/>
          <w:marTop w:val="0"/>
          <w:marBottom w:val="0"/>
          <w:divBdr>
            <w:top w:val="none" w:sz="0" w:space="0" w:color="auto"/>
            <w:left w:val="none" w:sz="0" w:space="0" w:color="auto"/>
            <w:bottom w:val="none" w:sz="0" w:space="0" w:color="auto"/>
            <w:right w:val="none" w:sz="0" w:space="0" w:color="auto"/>
          </w:divBdr>
        </w:div>
        <w:div w:id="1073357433">
          <w:marLeft w:val="0"/>
          <w:marRight w:val="0"/>
          <w:marTop w:val="0"/>
          <w:marBottom w:val="0"/>
          <w:divBdr>
            <w:top w:val="none" w:sz="0" w:space="0" w:color="auto"/>
            <w:left w:val="none" w:sz="0" w:space="0" w:color="auto"/>
            <w:bottom w:val="none" w:sz="0" w:space="0" w:color="auto"/>
            <w:right w:val="none" w:sz="0" w:space="0" w:color="auto"/>
          </w:divBdr>
        </w:div>
        <w:div w:id="1106075765">
          <w:marLeft w:val="0"/>
          <w:marRight w:val="0"/>
          <w:marTop w:val="0"/>
          <w:marBottom w:val="0"/>
          <w:divBdr>
            <w:top w:val="none" w:sz="0" w:space="0" w:color="auto"/>
            <w:left w:val="none" w:sz="0" w:space="0" w:color="auto"/>
            <w:bottom w:val="none" w:sz="0" w:space="0" w:color="auto"/>
            <w:right w:val="none" w:sz="0" w:space="0" w:color="auto"/>
          </w:divBdr>
        </w:div>
        <w:div w:id="1139034918">
          <w:marLeft w:val="0"/>
          <w:marRight w:val="0"/>
          <w:marTop w:val="0"/>
          <w:marBottom w:val="0"/>
          <w:divBdr>
            <w:top w:val="none" w:sz="0" w:space="0" w:color="auto"/>
            <w:left w:val="none" w:sz="0" w:space="0" w:color="auto"/>
            <w:bottom w:val="none" w:sz="0" w:space="0" w:color="auto"/>
            <w:right w:val="none" w:sz="0" w:space="0" w:color="auto"/>
          </w:divBdr>
        </w:div>
        <w:div w:id="1158964458">
          <w:marLeft w:val="0"/>
          <w:marRight w:val="0"/>
          <w:marTop w:val="0"/>
          <w:marBottom w:val="0"/>
          <w:divBdr>
            <w:top w:val="none" w:sz="0" w:space="0" w:color="auto"/>
            <w:left w:val="none" w:sz="0" w:space="0" w:color="auto"/>
            <w:bottom w:val="none" w:sz="0" w:space="0" w:color="auto"/>
            <w:right w:val="none" w:sz="0" w:space="0" w:color="auto"/>
          </w:divBdr>
        </w:div>
        <w:div w:id="1200431214">
          <w:marLeft w:val="0"/>
          <w:marRight w:val="0"/>
          <w:marTop w:val="0"/>
          <w:marBottom w:val="0"/>
          <w:divBdr>
            <w:top w:val="none" w:sz="0" w:space="0" w:color="auto"/>
            <w:left w:val="none" w:sz="0" w:space="0" w:color="auto"/>
            <w:bottom w:val="none" w:sz="0" w:space="0" w:color="auto"/>
            <w:right w:val="none" w:sz="0" w:space="0" w:color="auto"/>
          </w:divBdr>
        </w:div>
        <w:div w:id="1202664981">
          <w:marLeft w:val="0"/>
          <w:marRight w:val="0"/>
          <w:marTop w:val="0"/>
          <w:marBottom w:val="0"/>
          <w:divBdr>
            <w:top w:val="none" w:sz="0" w:space="0" w:color="auto"/>
            <w:left w:val="none" w:sz="0" w:space="0" w:color="auto"/>
            <w:bottom w:val="none" w:sz="0" w:space="0" w:color="auto"/>
            <w:right w:val="none" w:sz="0" w:space="0" w:color="auto"/>
          </w:divBdr>
        </w:div>
        <w:div w:id="1232811543">
          <w:marLeft w:val="0"/>
          <w:marRight w:val="0"/>
          <w:marTop w:val="0"/>
          <w:marBottom w:val="0"/>
          <w:divBdr>
            <w:top w:val="none" w:sz="0" w:space="0" w:color="auto"/>
            <w:left w:val="none" w:sz="0" w:space="0" w:color="auto"/>
            <w:bottom w:val="none" w:sz="0" w:space="0" w:color="auto"/>
            <w:right w:val="none" w:sz="0" w:space="0" w:color="auto"/>
          </w:divBdr>
        </w:div>
        <w:div w:id="1293750701">
          <w:marLeft w:val="0"/>
          <w:marRight w:val="0"/>
          <w:marTop w:val="0"/>
          <w:marBottom w:val="0"/>
          <w:divBdr>
            <w:top w:val="none" w:sz="0" w:space="0" w:color="auto"/>
            <w:left w:val="none" w:sz="0" w:space="0" w:color="auto"/>
            <w:bottom w:val="none" w:sz="0" w:space="0" w:color="auto"/>
            <w:right w:val="none" w:sz="0" w:space="0" w:color="auto"/>
          </w:divBdr>
        </w:div>
        <w:div w:id="1375228241">
          <w:marLeft w:val="0"/>
          <w:marRight w:val="0"/>
          <w:marTop w:val="0"/>
          <w:marBottom w:val="0"/>
          <w:divBdr>
            <w:top w:val="none" w:sz="0" w:space="0" w:color="auto"/>
            <w:left w:val="none" w:sz="0" w:space="0" w:color="auto"/>
            <w:bottom w:val="none" w:sz="0" w:space="0" w:color="auto"/>
            <w:right w:val="none" w:sz="0" w:space="0" w:color="auto"/>
          </w:divBdr>
        </w:div>
        <w:div w:id="1388454776">
          <w:marLeft w:val="0"/>
          <w:marRight w:val="0"/>
          <w:marTop w:val="0"/>
          <w:marBottom w:val="0"/>
          <w:divBdr>
            <w:top w:val="none" w:sz="0" w:space="0" w:color="auto"/>
            <w:left w:val="none" w:sz="0" w:space="0" w:color="auto"/>
            <w:bottom w:val="none" w:sz="0" w:space="0" w:color="auto"/>
            <w:right w:val="none" w:sz="0" w:space="0" w:color="auto"/>
          </w:divBdr>
        </w:div>
        <w:div w:id="1397513945">
          <w:marLeft w:val="0"/>
          <w:marRight w:val="0"/>
          <w:marTop w:val="0"/>
          <w:marBottom w:val="0"/>
          <w:divBdr>
            <w:top w:val="none" w:sz="0" w:space="0" w:color="auto"/>
            <w:left w:val="none" w:sz="0" w:space="0" w:color="auto"/>
            <w:bottom w:val="none" w:sz="0" w:space="0" w:color="auto"/>
            <w:right w:val="none" w:sz="0" w:space="0" w:color="auto"/>
          </w:divBdr>
        </w:div>
        <w:div w:id="1398936458">
          <w:marLeft w:val="0"/>
          <w:marRight w:val="0"/>
          <w:marTop w:val="0"/>
          <w:marBottom w:val="0"/>
          <w:divBdr>
            <w:top w:val="none" w:sz="0" w:space="0" w:color="auto"/>
            <w:left w:val="none" w:sz="0" w:space="0" w:color="auto"/>
            <w:bottom w:val="none" w:sz="0" w:space="0" w:color="auto"/>
            <w:right w:val="none" w:sz="0" w:space="0" w:color="auto"/>
          </w:divBdr>
        </w:div>
        <w:div w:id="1439250886">
          <w:marLeft w:val="0"/>
          <w:marRight w:val="0"/>
          <w:marTop w:val="0"/>
          <w:marBottom w:val="0"/>
          <w:divBdr>
            <w:top w:val="none" w:sz="0" w:space="0" w:color="auto"/>
            <w:left w:val="none" w:sz="0" w:space="0" w:color="auto"/>
            <w:bottom w:val="none" w:sz="0" w:space="0" w:color="auto"/>
            <w:right w:val="none" w:sz="0" w:space="0" w:color="auto"/>
          </w:divBdr>
        </w:div>
        <w:div w:id="1439788051">
          <w:marLeft w:val="0"/>
          <w:marRight w:val="0"/>
          <w:marTop w:val="0"/>
          <w:marBottom w:val="0"/>
          <w:divBdr>
            <w:top w:val="none" w:sz="0" w:space="0" w:color="auto"/>
            <w:left w:val="none" w:sz="0" w:space="0" w:color="auto"/>
            <w:bottom w:val="none" w:sz="0" w:space="0" w:color="auto"/>
            <w:right w:val="none" w:sz="0" w:space="0" w:color="auto"/>
          </w:divBdr>
        </w:div>
        <w:div w:id="1462768222">
          <w:marLeft w:val="0"/>
          <w:marRight w:val="0"/>
          <w:marTop w:val="0"/>
          <w:marBottom w:val="0"/>
          <w:divBdr>
            <w:top w:val="none" w:sz="0" w:space="0" w:color="auto"/>
            <w:left w:val="none" w:sz="0" w:space="0" w:color="auto"/>
            <w:bottom w:val="none" w:sz="0" w:space="0" w:color="auto"/>
            <w:right w:val="none" w:sz="0" w:space="0" w:color="auto"/>
          </w:divBdr>
        </w:div>
        <w:div w:id="1470514790">
          <w:marLeft w:val="0"/>
          <w:marRight w:val="0"/>
          <w:marTop w:val="0"/>
          <w:marBottom w:val="0"/>
          <w:divBdr>
            <w:top w:val="none" w:sz="0" w:space="0" w:color="auto"/>
            <w:left w:val="none" w:sz="0" w:space="0" w:color="auto"/>
            <w:bottom w:val="none" w:sz="0" w:space="0" w:color="auto"/>
            <w:right w:val="none" w:sz="0" w:space="0" w:color="auto"/>
          </w:divBdr>
        </w:div>
        <w:div w:id="1494107721">
          <w:marLeft w:val="0"/>
          <w:marRight w:val="0"/>
          <w:marTop w:val="0"/>
          <w:marBottom w:val="0"/>
          <w:divBdr>
            <w:top w:val="none" w:sz="0" w:space="0" w:color="auto"/>
            <w:left w:val="none" w:sz="0" w:space="0" w:color="auto"/>
            <w:bottom w:val="none" w:sz="0" w:space="0" w:color="auto"/>
            <w:right w:val="none" w:sz="0" w:space="0" w:color="auto"/>
          </w:divBdr>
        </w:div>
        <w:div w:id="1503276176">
          <w:marLeft w:val="0"/>
          <w:marRight w:val="0"/>
          <w:marTop w:val="0"/>
          <w:marBottom w:val="0"/>
          <w:divBdr>
            <w:top w:val="none" w:sz="0" w:space="0" w:color="auto"/>
            <w:left w:val="none" w:sz="0" w:space="0" w:color="auto"/>
            <w:bottom w:val="none" w:sz="0" w:space="0" w:color="auto"/>
            <w:right w:val="none" w:sz="0" w:space="0" w:color="auto"/>
          </w:divBdr>
        </w:div>
        <w:div w:id="1535846060">
          <w:marLeft w:val="0"/>
          <w:marRight w:val="0"/>
          <w:marTop w:val="0"/>
          <w:marBottom w:val="0"/>
          <w:divBdr>
            <w:top w:val="none" w:sz="0" w:space="0" w:color="auto"/>
            <w:left w:val="none" w:sz="0" w:space="0" w:color="auto"/>
            <w:bottom w:val="none" w:sz="0" w:space="0" w:color="auto"/>
            <w:right w:val="none" w:sz="0" w:space="0" w:color="auto"/>
          </w:divBdr>
        </w:div>
        <w:div w:id="1604025876">
          <w:marLeft w:val="0"/>
          <w:marRight w:val="0"/>
          <w:marTop w:val="0"/>
          <w:marBottom w:val="0"/>
          <w:divBdr>
            <w:top w:val="none" w:sz="0" w:space="0" w:color="auto"/>
            <w:left w:val="none" w:sz="0" w:space="0" w:color="auto"/>
            <w:bottom w:val="none" w:sz="0" w:space="0" w:color="auto"/>
            <w:right w:val="none" w:sz="0" w:space="0" w:color="auto"/>
          </w:divBdr>
        </w:div>
        <w:div w:id="1608613267">
          <w:marLeft w:val="0"/>
          <w:marRight w:val="0"/>
          <w:marTop w:val="0"/>
          <w:marBottom w:val="0"/>
          <w:divBdr>
            <w:top w:val="none" w:sz="0" w:space="0" w:color="auto"/>
            <w:left w:val="none" w:sz="0" w:space="0" w:color="auto"/>
            <w:bottom w:val="none" w:sz="0" w:space="0" w:color="auto"/>
            <w:right w:val="none" w:sz="0" w:space="0" w:color="auto"/>
          </w:divBdr>
        </w:div>
        <w:div w:id="1628464426">
          <w:marLeft w:val="0"/>
          <w:marRight w:val="0"/>
          <w:marTop w:val="0"/>
          <w:marBottom w:val="0"/>
          <w:divBdr>
            <w:top w:val="none" w:sz="0" w:space="0" w:color="auto"/>
            <w:left w:val="none" w:sz="0" w:space="0" w:color="auto"/>
            <w:bottom w:val="none" w:sz="0" w:space="0" w:color="auto"/>
            <w:right w:val="none" w:sz="0" w:space="0" w:color="auto"/>
          </w:divBdr>
        </w:div>
        <w:div w:id="1724405190">
          <w:marLeft w:val="0"/>
          <w:marRight w:val="0"/>
          <w:marTop w:val="0"/>
          <w:marBottom w:val="0"/>
          <w:divBdr>
            <w:top w:val="none" w:sz="0" w:space="0" w:color="auto"/>
            <w:left w:val="none" w:sz="0" w:space="0" w:color="auto"/>
            <w:bottom w:val="none" w:sz="0" w:space="0" w:color="auto"/>
            <w:right w:val="none" w:sz="0" w:space="0" w:color="auto"/>
          </w:divBdr>
        </w:div>
        <w:div w:id="1776435490">
          <w:marLeft w:val="0"/>
          <w:marRight w:val="0"/>
          <w:marTop w:val="0"/>
          <w:marBottom w:val="0"/>
          <w:divBdr>
            <w:top w:val="none" w:sz="0" w:space="0" w:color="auto"/>
            <w:left w:val="none" w:sz="0" w:space="0" w:color="auto"/>
            <w:bottom w:val="none" w:sz="0" w:space="0" w:color="auto"/>
            <w:right w:val="none" w:sz="0" w:space="0" w:color="auto"/>
          </w:divBdr>
        </w:div>
        <w:div w:id="1778527130">
          <w:marLeft w:val="0"/>
          <w:marRight w:val="0"/>
          <w:marTop w:val="0"/>
          <w:marBottom w:val="0"/>
          <w:divBdr>
            <w:top w:val="none" w:sz="0" w:space="0" w:color="auto"/>
            <w:left w:val="none" w:sz="0" w:space="0" w:color="auto"/>
            <w:bottom w:val="none" w:sz="0" w:space="0" w:color="auto"/>
            <w:right w:val="none" w:sz="0" w:space="0" w:color="auto"/>
          </w:divBdr>
        </w:div>
        <w:div w:id="1782915963">
          <w:marLeft w:val="0"/>
          <w:marRight w:val="0"/>
          <w:marTop w:val="0"/>
          <w:marBottom w:val="0"/>
          <w:divBdr>
            <w:top w:val="none" w:sz="0" w:space="0" w:color="auto"/>
            <w:left w:val="none" w:sz="0" w:space="0" w:color="auto"/>
            <w:bottom w:val="none" w:sz="0" w:space="0" w:color="auto"/>
            <w:right w:val="none" w:sz="0" w:space="0" w:color="auto"/>
          </w:divBdr>
        </w:div>
        <w:div w:id="1791363275">
          <w:marLeft w:val="0"/>
          <w:marRight w:val="0"/>
          <w:marTop w:val="0"/>
          <w:marBottom w:val="0"/>
          <w:divBdr>
            <w:top w:val="none" w:sz="0" w:space="0" w:color="auto"/>
            <w:left w:val="none" w:sz="0" w:space="0" w:color="auto"/>
            <w:bottom w:val="none" w:sz="0" w:space="0" w:color="auto"/>
            <w:right w:val="none" w:sz="0" w:space="0" w:color="auto"/>
          </w:divBdr>
        </w:div>
        <w:div w:id="1810827437">
          <w:marLeft w:val="0"/>
          <w:marRight w:val="0"/>
          <w:marTop w:val="0"/>
          <w:marBottom w:val="0"/>
          <w:divBdr>
            <w:top w:val="none" w:sz="0" w:space="0" w:color="auto"/>
            <w:left w:val="none" w:sz="0" w:space="0" w:color="auto"/>
            <w:bottom w:val="none" w:sz="0" w:space="0" w:color="auto"/>
            <w:right w:val="none" w:sz="0" w:space="0" w:color="auto"/>
          </w:divBdr>
        </w:div>
        <w:div w:id="2010408105">
          <w:marLeft w:val="0"/>
          <w:marRight w:val="0"/>
          <w:marTop w:val="0"/>
          <w:marBottom w:val="0"/>
          <w:divBdr>
            <w:top w:val="none" w:sz="0" w:space="0" w:color="auto"/>
            <w:left w:val="none" w:sz="0" w:space="0" w:color="auto"/>
            <w:bottom w:val="none" w:sz="0" w:space="0" w:color="auto"/>
            <w:right w:val="none" w:sz="0" w:space="0" w:color="auto"/>
          </w:divBdr>
        </w:div>
        <w:div w:id="2035417806">
          <w:marLeft w:val="0"/>
          <w:marRight w:val="0"/>
          <w:marTop w:val="0"/>
          <w:marBottom w:val="0"/>
          <w:divBdr>
            <w:top w:val="none" w:sz="0" w:space="0" w:color="auto"/>
            <w:left w:val="none" w:sz="0" w:space="0" w:color="auto"/>
            <w:bottom w:val="none" w:sz="0" w:space="0" w:color="auto"/>
            <w:right w:val="none" w:sz="0" w:space="0" w:color="auto"/>
          </w:divBdr>
        </w:div>
        <w:div w:id="2043281417">
          <w:marLeft w:val="0"/>
          <w:marRight w:val="0"/>
          <w:marTop w:val="0"/>
          <w:marBottom w:val="0"/>
          <w:divBdr>
            <w:top w:val="none" w:sz="0" w:space="0" w:color="auto"/>
            <w:left w:val="none" w:sz="0" w:space="0" w:color="auto"/>
            <w:bottom w:val="none" w:sz="0" w:space="0" w:color="auto"/>
            <w:right w:val="none" w:sz="0" w:space="0" w:color="auto"/>
          </w:divBdr>
        </w:div>
        <w:div w:id="2072269324">
          <w:marLeft w:val="0"/>
          <w:marRight w:val="0"/>
          <w:marTop w:val="0"/>
          <w:marBottom w:val="0"/>
          <w:divBdr>
            <w:top w:val="none" w:sz="0" w:space="0" w:color="auto"/>
            <w:left w:val="none" w:sz="0" w:space="0" w:color="auto"/>
            <w:bottom w:val="none" w:sz="0" w:space="0" w:color="auto"/>
            <w:right w:val="none" w:sz="0" w:space="0" w:color="auto"/>
          </w:divBdr>
        </w:div>
        <w:div w:id="2113477394">
          <w:marLeft w:val="0"/>
          <w:marRight w:val="0"/>
          <w:marTop w:val="0"/>
          <w:marBottom w:val="0"/>
          <w:divBdr>
            <w:top w:val="none" w:sz="0" w:space="0" w:color="auto"/>
            <w:left w:val="none" w:sz="0" w:space="0" w:color="auto"/>
            <w:bottom w:val="none" w:sz="0" w:space="0" w:color="auto"/>
            <w:right w:val="none" w:sz="0" w:space="0" w:color="auto"/>
          </w:divBdr>
        </w:div>
        <w:div w:id="2145535715">
          <w:marLeft w:val="0"/>
          <w:marRight w:val="0"/>
          <w:marTop w:val="0"/>
          <w:marBottom w:val="0"/>
          <w:divBdr>
            <w:top w:val="none" w:sz="0" w:space="0" w:color="auto"/>
            <w:left w:val="none" w:sz="0" w:space="0" w:color="auto"/>
            <w:bottom w:val="none" w:sz="0" w:space="0" w:color="auto"/>
            <w:right w:val="none" w:sz="0" w:space="0" w:color="auto"/>
          </w:divBdr>
        </w:div>
      </w:divsChild>
    </w:div>
    <w:div w:id="173303668">
      <w:bodyDiv w:val="1"/>
      <w:marLeft w:val="0"/>
      <w:marRight w:val="0"/>
      <w:marTop w:val="0"/>
      <w:marBottom w:val="0"/>
      <w:divBdr>
        <w:top w:val="none" w:sz="0" w:space="0" w:color="auto"/>
        <w:left w:val="none" w:sz="0" w:space="0" w:color="auto"/>
        <w:bottom w:val="none" w:sz="0" w:space="0" w:color="auto"/>
        <w:right w:val="none" w:sz="0" w:space="0" w:color="auto"/>
      </w:divBdr>
    </w:div>
    <w:div w:id="188838516">
      <w:bodyDiv w:val="1"/>
      <w:marLeft w:val="0"/>
      <w:marRight w:val="0"/>
      <w:marTop w:val="0"/>
      <w:marBottom w:val="0"/>
      <w:divBdr>
        <w:top w:val="none" w:sz="0" w:space="0" w:color="auto"/>
        <w:left w:val="none" w:sz="0" w:space="0" w:color="auto"/>
        <w:bottom w:val="none" w:sz="0" w:space="0" w:color="auto"/>
        <w:right w:val="none" w:sz="0" w:space="0" w:color="auto"/>
      </w:divBdr>
      <w:divsChild>
        <w:div w:id="472245">
          <w:marLeft w:val="0"/>
          <w:marRight w:val="0"/>
          <w:marTop w:val="0"/>
          <w:marBottom w:val="0"/>
          <w:divBdr>
            <w:top w:val="none" w:sz="0" w:space="0" w:color="auto"/>
            <w:left w:val="none" w:sz="0" w:space="0" w:color="auto"/>
            <w:bottom w:val="none" w:sz="0" w:space="0" w:color="auto"/>
            <w:right w:val="none" w:sz="0" w:space="0" w:color="auto"/>
          </w:divBdr>
        </w:div>
        <w:div w:id="64686227">
          <w:marLeft w:val="0"/>
          <w:marRight w:val="0"/>
          <w:marTop w:val="0"/>
          <w:marBottom w:val="0"/>
          <w:divBdr>
            <w:top w:val="none" w:sz="0" w:space="0" w:color="auto"/>
            <w:left w:val="none" w:sz="0" w:space="0" w:color="auto"/>
            <w:bottom w:val="none" w:sz="0" w:space="0" w:color="auto"/>
            <w:right w:val="none" w:sz="0" w:space="0" w:color="auto"/>
          </w:divBdr>
        </w:div>
        <w:div w:id="217979287">
          <w:marLeft w:val="0"/>
          <w:marRight w:val="0"/>
          <w:marTop w:val="0"/>
          <w:marBottom w:val="0"/>
          <w:divBdr>
            <w:top w:val="none" w:sz="0" w:space="0" w:color="auto"/>
            <w:left w:val="none" w:sz="0" w:space="0" w:color="auto"/>
            <w:bottom w:val="none" w:sz="0" w:space="0" w:color="auto"/>
            <w:right w:val="none" w:sz="0" w:space="0" w:color="auto"/>
          </w:divBdr>
        </w:div>
        <w:div w:id="454912681">
          <w:marLeft w:val="0"/>
          <w:marRight w:val="0"/>
          <w:marTop w:val="0"/>
          <w:marBottom w:val="0"/>
          <w:divBdr>
            <w:top w:val="none" w:sz="0" w:space="0" w:color="auto"/>
            <w:left w:val="none" w:sz="0" w:space="0" w:color="auto"/>
            <w:bottom w:val="none" w:sz="0" w:space="0" w:color="auto"/>
            <w:right w:val="none" w:sz="0" w:space="0" w:color="auto"/>
          </w:divBdr>
        </w:div>
        <w:div w:id="573317624">
          <w:marLeft w:val="0"/>
          <w:marRight w:val="0"/>
          <w:marTop w:val="0"/>
          <w:marBottom w:val="0"/>
          <w:divBdr>
            <w:top w:val="none" w:sz="0" w:space="0" w:color="auto"/>
            <w:left w:val="none" w:sz="0" w:space="0" w:color="auto"/>
            <w:bottom w:val="none" w:sz="0" w:space="0" w:color="auto"/>
            <w:right w:val="none" w:sz="0" w:space="0" w:color="auto"/>
          </w:divBdr>
        </w:div>
        <w:div w:id="728767190">
          <w:marLeft w:val="0"/>
          <w:marRight w:val="0"/>
          <w:marTop w:val="0"/>
          <w:marBottom w:val="0"/>
          <w:divBdr>
            <w:top w:val="none" w:sz="0" w:space="0" w:color="auto"/>
            <w:left w:val="none" w:sz="0" w:space="0" w:color="auto"/>
            <w:bottom w:val="none" w:sz="0" w:space="0" w:color="auto"/>
            <w:right w:val="none" w:sz="0" w:space="0" w:color="auto"/>
          </w:divBdr>
        </w:div>
        <w:div w:id="978611149">
          <w:marLeft w:val="0"/>
          <w:marRight w:val="0"/>
          <w:marTop w:val="0"/>
          <w:marBottom w:val="0"/>
          <w:divBdr>
            <w:top w:val="none" w:sz="0" w:space="0" w:color="auto"/>
            <w:left w:val="none" w:sz="0" w:space="0" w:color="auto"/>
            <w:bottom w:val="none" w:sz="0" w:space="0" w:color="auto"/>
            <w:right w:val="none" w:sz="0" w:space="0" w:color="auto"/>
          </w:divBdr>
        </w:div>
        <w:div w:id="1148328495">
          <w:marLeft w:val="0"/>
          <w:marRight w:val="0"/>
          <w:marTop w:val="0"/>
          <w:marBottom w:val="0"/>
          <w:divBdr>
            <w:top w:val="none" w:sz="0" w:space="0" w:color="auto"/>
            <w:left w:val="none" w:sz="0" w:space="0" w:color="auto"/>
            <w:bottom w:val="none" w:sz="0" w:space="0" w:color="auto"/>
            <w:right w:val="none" w:sz="0" w:space="0" w:color="auto"/>
          </w:divBdr>
        </w:div>
        <w:div w:id="1198202941">
          <w:marLeft w:val="0"/>
          <w:marRight w:val="0"/>
          <w:marTop w:val="0"/>
          <w:marBottom w:val="0"/>
          <w:divBdr>
            <w:top w:val="none" w:sz="0" w:space="0" w:color="auto"/>
            <w:left w:val="none" w:sz="0" w:space="0" w:color="auto"/>
            <w:bottom w:val="none" w:sz="0" w:space="0" w:color="auto"/>
            <w:right w:val="none" w:sz="0" w:space="0" w:color="auto"/>
          </w:divBdr>
        </w:div>
        <w:div w:id="1250961515">
          <w:marLeft w:val="0"/>
          <w:marRight w:val="0"/>
          <w:marTop w:val="0"/>
          <w:marBottom w:val="0"/>
          <w:divBdr>
            <w:top w:val="none" w:sz="0" w:space="0" w:color="auto"/>
            <w:left w:val="none" w:sz="0" w:space="0" w:color="auto"/>
            <w:bottom w:val="none" w:sz="0" w:space="0" w:color="auto"/>
            <w:right w:val="none" w:sz="0" w:space="0" w:color="auto"/>
          </w:divBdr>
        </w:div>
        <w:div w:id="1331786156">
          <w:marLeft w:val="0"/>
          <w:marRight w:val="0"/>
          <w:marTop w:val="0"/>
          <w:marBottom w:val="0"/>
          <w:divBdr>
            <w:top w:val="none" w:sz="0" w:space="0" w:color="auto"/>
            <w:left w:val="none" w:sz="0" w:space="0" w:color="auto"/>
            <w:bottom w:val="none" w:sz="0" w:space="0" w:color="auto"/>
            <w:right w:val="none" w:sz="0" w:space="0" w:color="auto"/>
          </w:divBdr>
        </w:div>
        <w:div w:id="1470047463">
          <w:marLeft w:val="0"/>
          <w:marRight w:val="0"/>
          <w:marTop w:val="0"/>
          <w:marBottom w:val="0"/>
          <w:divBdr>
            <w:top w:val="none" w:sz="0" w:space="0" w:color="auto"/>
            <w:left w:val="none" w:sz="0" w:space="0" w:color="auto"/>
            <w:bottom w:val="none" w:sz="0" w:space="0" w:color="auto"/>
            <w:right w:val="none" w:sz="0" w:space="0" w:color="auto"/>
          </w:divBdr>
        </w:div>
        <w:div w:id="1667590440">
          <w:marLeft w:val="0"/>
          <w:marRight w:val="0"/>
          <w:marTop w:val="0"/>
          <w:marBottom w:val="0"/>
          <w:divBdr>
            <w:top w:val="none" w:sz="0" w:space="0" w:color="auto"/>
            <w:left w:val="none" w:sz="0" w:space="0" w:color="auto"/>
            <w:bottom w:val="none" w:sz="0" w:space="0" w:color="auto"/>
            <w:right w:val="none" w:sz="0" w:space="0" w:color="auto"/>
          </w:divBdr>
        </w:div>
        <w:div w:id="1780761768">
          <w:marLeft w:val="0"/>
          <w:marRight w:val="0"/>
          <w:marTop w:val="0"/>
          <w:marBottom w:val="0"/>
          <w:divBdr>
            <w:top w:val="none" w:sz="0" w:space="0" w:color="auto"/>
            <w:left w:val="none" w:sz="0" w:space="0" w:color="auto"/>
            <w:bottom w:val="none" w:sz="0" w:space="0" w:color="auto"/>
            <w:right w:val="none" w:sz="0" w:space="0" w:color="auto"/>
          </w:divBdr>
        </w:div>
        <w:div w:id="1817450063">
          <w:marLeft w:val="0"/>
          <w:marRight w:val="0"/>
          <w:marTop w:val="0"/>
          <w:marBottom w:val="0"/>
          <w:divBdr>
            <w:top w:val="none" w:sz="0" w:space="0" w:color="auto"/>
            <w:left w:val="none" w:sz="0" w:space="0" w:color="auto"/>
            <w:bottom w:val="none" w:sz="0" w:space="0" w:color="auto"/>
            <w:right w:val="none" w:sz="0" w:space="0" w:color="auto"/>
          </w:divBdr>
        </w:div>
        <w:div w:id="1855873444">
          <w:marLeft w:val="0"/>
          <w:marRight w:val="0"/>
          <w:marTop w:val="0"/>
          <w:marBottom w:val="0"/>
          <w:divBdr>
            <w:top w:val="none" w:sz="0" w:space="0" w:color="auto"/>
            <w:left w:val="none" w:sz="0" w:space="0" w:color="auto"/>
            <w:bottom w:val="none" w:sz="0" w:space="0" w:color="auto"/>
            <w:right w:val="none" w:sz="0" w:space="0" w:color="auto"/>
          </w:divBdr>
        </w:div>
      </w:divsChild>
    </w:div>
    <w:div w:id="198977586">
      <w:bodyDiv w:val="1"/>
      <w:marLeft w:val="0"/>
      <w:marRight w:val="0"/>
      <w:marTop w:val="0"/>
      <w:marBottom w:val="0"/>
      <w:divBdr>
        <w:top w:val="none" w:sz="0" w:space="0" w:color="auto"/>
        <w:left w:val="none" w:sz="0" w:space="0" w:color="auto"/>
        <w:bottom w:val="none" w:sz="0" w:space="0" w:color="auto"/>
        <w:right w:val="none" w:sz="0" w:space="0" w:color="auto"/>
      </w:divBdr>
    </w:div>
    <w:div w:id="205995712">
      <w:bodyDiv w:val="1"/>
      <w:marLeft w:val="0"/>
      <w:marRight w:val="0"/>
      <w:marTop w:val="0"/>
      <w:marBottom w:val="0"/>
      <w:divBdr>
        <w:top w:val="none" w:sz="0" w:space="0" w:color="auto"/>
        <w:left w:val="none" w:sz="0" w:space="0" w:color="auto"/>
        <w:bottom w:val="none" w:sz="0" w:space="0" w:color="auto"/>
        <w:right w:val="none" w:sz="0" w:space="0" w:color="auto"/>
      </w:divBdr>
      <w:divsChild>
        <w:div w:id="283849011">
          <w:marLeft w:val="0"/>
          <w:marRight w:val="0"/>
          <w:marTop w:val="0"/>
          <w:marBottom w:val="0"/>
          <w:divBdr>
            <w:top w:val="none" w:sz="0" w:space="0" w:color="auto"/>
            <w:left w:val="none" w:sz="0" w:space="0" w:color="auto"/>
            <w:bottom w:val="none" w:sz="0" w:space="0" w:color="auto"/>
            <w:right w:val="none" w:sz="0" w:space="0" w:color="auto"/>
          </w:divBdr>
          <w:divsChild>
            <w:div w:id="1604456399">
              <w:marLeft w:val="0"/>
              <w:marRight w:val="0"/>
              <w:marTop w:val="0"/>
              <w:marBottom w:val="0"/>
              <w:divBdr>
                <w:top w:val="none" w:sz="0" w:space="0" w:color="auto"/>
                <w:left w:val="none" w:sz="0" w:space="0" w:color="auto"/>
                <w:bottom w:val="none" w:sz="0" w:space="0" w:color="auto"/>
                <w:right w:val="none" w:sz="0" w:space="0" w:color="auto"/>
              </w:divBdr>
              <w:divsChild>
                <w:div w:id="86079876">
                  <w:marLeft w:val="0"/>
                  <w:marRight w:val="0"/>
                  <w:marTop w:val="0"/>
                  <w:marBottom w:val="0"/>
                  <w:divBdr>
                    <w:top w:val="none" w:sz="0" w:space="0" w:color="auto"/>
                    <w:left w:val="none" w:sz="0" w:space="0" w:color="auto"/>
                    <w:bottom w:val="none" w:sz="0" w:space="0" w:color="auto"/>
                    <w:right w:val="none" w:sz="0" w:space="0" w:color="auto"/>
                  </w:divBdr>
                  <w:divsChild>
                    <w:div w:id="1121336364">
                      <w:marLeft w:val="0"/>
                      <w:marRight w:val="0"/>
                      <w:marTop w:val="0"/>
                      <w:marBottom w:val="0"/>
                      <w:divBdr>
                        <w:top w:val="none" w:sz="0" w:space="0" w:color="auto"/>
                        <w:left w:val="none" w:sz="0" w:space="0" w:color="auto"/>
                        <w:bottom w:val="none" w:sz="0" w:space="0" w:color="auto"/>
                        <w:right w:val="none" w:sz="0" w:space="0" w:color="auto"/>
                      </w:divBdr>
                      <w:divsChild>
                        <w:div w:id="265432165">
                          <w:marLeft w:val="0"/>
                          <w:marRight w:val="0"/>
                          <w:marTop w:val="0"/>
                          <w:marBottom w:val="0"/>
                          <w:divBdr>
                            <w:top w:val="none" w:sz="0" w:space="0" w:color="auto"/>
                            <w:left w:val="none" w:sz="0" w:space="0" w:color="auto"/>
                            <w:bottom w:val="none" w:sz="0" w:space="0" w:color="auto"/>
                            <w:right w:val="none" w:sz="0" w:space="0" w:color="auto"/>
                          </w:divBdr>
                          <w:divsChild>
                            <w:div w:id="133530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845416">
      <w:bodyDiv w:val="1"/>
      <w:marLeft w:val="0"/>
      <w:marRight w:val="0"/>
      <w:marTop w:val="0"/>
      <w:marBottom w:val="0"/>
      <w:divBdr>
        <w:top w:val="none" w:sz="0" w:space="0" w:color="auto"/>
        <w:left w:val="none" w:sz="0" w:space="0" w:color="auto"/>
        <w:bottom w:val="none" w:sz="0" w:space="0" w:color="auto"/>
        <w:right w:val="none" w:sz="0" w:space="0" w:color="auto"/>
      </w:divBdr>
    </w:div>
    <w:div w:id="213272664">
      <w:bodyDiv w:val="1"/>
      <w:marLeft w:val="0"/>
      <w:marRight w:val="0"/>
      <w:marTop w:val="0"/>
      <w:marBottom w:val="0"/>
      <w:divBdr>
        <w:top w:val="none" w:sz="0" w:space="0" w:color="auto"/>
        <w:left w:val="none" w:sz="0" w:space="0" w:color="auto"/>
        <w:bottom w:val="none" w:sz="0" w:space="0" w:color="auto"/>
        <w:right w:val="none" w:sz="0" w:space="0" w:color="auto"/>
      </w:divBdr>
      <w:divsChild>
        <w:div w:id="854735069">
          <w:marLeft w:val="0"/>
          <w:marRight w:val="0"/>
          <w:marTop w:val="0"/>
          <w:marBottom w:val="0"/>
          <w:divBdr>
            <w:top w:val="none" w:sz="0" w:space="0" w:color="auto"/>
            <w:left w:val="none" w:sz="0" w:space="0" w:color="auto"/>
            <w:bottom w:val="none" w:sz="0" w:space="0" w:color="auto"/>
            <w:right w:val="none" w:sz="0" w:space="0" w:color="auto"/>
          </w:divBdr>
          <w:divsChild>
            <w:div w:id="407847774">
              <w:marLeft w:val="0"/>
              <w:marRight w:val="0"/>
              <w:marTop w:val="0"/>
              <w:marBottom w:val="0"/>
              <w:divBdr>
                <w:top w:val="none" w:sz="0" w:space="0" w:color="auto"/>
                <w:left w:val="none" w:sz="0" w:space="0" w:color="auto"/>
                <w:bottom w:val="none" w:sz="0" w:space="0" w:color="auto"/>
                <w:right w:val="none" w:sz="0" w:space="0" w:color="auto"/>
              </w:divBdr>
              <w:divsChild>
                <w:div w:id="416899413">
                  <w:marLeft w:val="0"/>
                  <w:marRight w:val="0"/>
                  <w:marTop w:val="0"/>
                  <w:marBottom w:val="0"/>
                  <w:divBdr>
                    <w:top w:val="none" w:sz="0" w:space="0" w:color="auto"/>
                    <w:left w:val="none" w:sz="0" w:space="0" w:color="auto"/>
                    <w:bottom w:val="none" w:sz="0" w:space="0" w:color="auto"/>
                    <w:right w:val="none" w:sz="0" w:space="0" w:color="auto"/>
                  </w:divBdr>
                </w:div>
                <w:div w:id="730036713">
                  <w:marLeft w:val="0"/>
                  <w:marRight w:val="0"/>
                  <w:marTop w:val="0"/>
                  <w:marBottom w:val="0"/>
                  <w:divBdr>
                    <w:top w:val="none" w:sz="0" w:space="0" w:color="auto"/>
                    <w:left w:val="none" w:sz="0" w:space="0" w:color="auto"/>
                    <w:bottom w:val="none" w:sz="0" w:space="0" w:color="auto"/>
                    <w:right w:val="none" w:sz="0" w:space="0" w:color="auto"/>
                  </w:divBdr>
                </w:div>
              </w:divsChild>
            </w:div>
            <w:div w:id="738867553">
              <w:marLeft w:val="0"/>
              <w:marRight w:val="0"/>
              <w:marTop w:val="0"/>
              <w:marBottom w:val="0"/>
              <w:divBdr>
                <w:top w:val="none" w:sz="0" w:space="0" w:color="auto"/>
                <w:left w:val="none" w:sz="0" w:space="0" w:color="auto"/>
                <w:bottom w:val="none" w:sz="0" w:space="0" w:color="auto"/>
                <w:right w:val="none" w:sz="0" w:space="0" w:color="auto"/>
              </w:divBdr>
              <w:divsChild>
                <w:div w:id="99031268">
                  <w:marLeft w:val="0"/>
                  <w:marRight w:val="0"/>
                  <w:marTop w:val="0"/>
                  <w:marBottom w:val="0"/>
                  <w:divBdr>
                    <w:top w:val="none" w:sz="0" w:space="0" w:color="auto"/>
                    <w:left w:val="none" w:sz="0" w:space="0" w:color="auto"/>
                    <w:bottom w:val="none" w:sz="0" w:space="0" w:color="auto"/>
                    <w:right w:val="none" w:sz="0" w:space="0" w:color="auto"/>
                  </w:divBdr>
                </w:div>
                <w:div w:id="1598173085">
                  <w:marLeft w:val="0"/>
                  <w:marRight w:val="0"/>
                  <w:marTop w:val="0"/>
                  <w:marBottom w:val="0"/>
                  <w:divBdr>
                    <w:top w:val="none" w:sz="0" w:space="0" w:color="auto"/>
                    <w:left w:val="none" w:sz="0" w:space="0" w:color="auto"/>
                    <w:bottom w:val="none" w:sz="0" w:space="0" w:color="auto"/>
                    <w:right w:val="none" w:sz="0" w:space="0" w:color="auto"/>
                  </w:divBdr>
                </w:div>
              </w:divsChild>
            </w:div>
            <w:div w:id="1090586555">
              <w:marLeft w:val="0"/>
              <w:marRight w:val="0"/>
              <w:marTop w:val="0"/>
              <w:marBottom w:val="0"/>
              <w:divBdr>
                <w:top w:val="none" w:sz="0" w:space="0" w:color="auto"/>
                <w:left w:val="none" w:sz="0" w:space="0" w:color="auto"/>
                <w:bottom w:val="none" w:sz="0" w:space="0" w:color="auto"/>
                <w:right w:val="none" w:sz="0" w:space="0" w:color="auto"/>
              </w:divBdr>
              <w:divsChild>
                <w:div w:id="589388825">
                  <w:marLeft w:val="0"/>
                  <w:marRight w:val="0"/>
                  <w:marTop w:val="0"/>
                  <w:marBottom w:val="0"/>
                  <w:divBdr>
                    <w:top w:val="none" w:sz="0" w:space="0" w:color="auto"/>
                    <w:left w:val="none" w:sz="0" w:space="0" w:color="auto"/>
                    <w:bottom w:val="none" w:sz="0" w:space="0" w:color="auto"/>
                    <w:right w:val="none" w:sz="0" w:space="0" w:color="auto"/>
                  </w:divBdr>
                </w:div>
                <w:div w:id="1502888591">
                  <w:marLeft w:val="0"/>
                  <w:marRight w:val="0"/>
                  <w:marTop w:val="0"/>
                  <w:marBottom w:val="0"/>
                  <w:divBdr>
                    <w:top w:val="none" w:sz="0" w:space="0" w:color="auto"/>
                    <w:left w:val="none" w:sz="0" w:space="0" w:color="auto"/>
                    <w:bottom w:val="none" w:sz="0" w:space="0" w:color="auto"/>
                    <w:right w:val="none" w:sz="0" w:space="0" w:color="auto"/>
                  </w:divBdr>
                </w:div>
                <w:div w:id="1938824668">
                  <w:marLeft w:val="0"/>
                  <w:marRight w:val="0"/>
                  <w:marTop w:val="0"/>
                  <w:marBottom w:val="0"/>
                  <w:divBdr>
                    <w:top w:val="none" w:sz="0" w:space="0" w:color="auto"/>
                    <w:left w:val="none" w:sz="0" w:space="0" w:color="auto"/>
                    <w:bottom w:val="none" w:sz="0" w:space="0" w:color="auto"/>
                    <w:right w:val="none" w:sz="0" w:space="0" w:color="auto"/>
                  </w:divBdr>
                </w:div>
                <w:div w:id="2007979032">
                  <w:marLeft w:val="0"/>
                  <w:marRight w:val="0"/>
                  <w:marTop w:val="0"/>
                  <w:marBottom w:val="0"/>
                  <w:divBdr>
                    <w:top w:val="none" w:sz="0" w:space="0" w:color="auto"/>
                    <w:left w:val="none" w:sz="0" w:space="0" w:color="auto"/>
                    <w:bottom w:val="none" w:sz="0" w:space="0" w:color="auto"/>
                    <w:right w:val="none" w:sz="0" w:space="0" w:color="auto"/>
                  </w:divBdr>
                </w:div>
              </w:divsChild>
            </w:div>
            <w:div w:id="1266109106">
              <w:marLeft w:val="0"/>
              <w:marRight w:val="0"/>
              <w:marTop w:val="0"/>
              <w:marBottom w:val="0"/>
              <w:divBdr>
                <w:top w:val="none" w:sz="0" w:space="0" w:color="auto"/>
                <w:left w:val="none" w:sz="0" w:space="0" w:color="auto"/>
                <w:bottom w:val="none" w:sz="0" w:space="0" w:color="auto"/>
                <w:right w:val="none" w:sz="0" w:space="0" w:color="auto"/>
              </w:divBdr>
              <w:divsChild>
                <w:div w:id="1591936629">
                  <w:marLeft w:val="0"/>
                  <w:marRight w:val="0"/>
                  <w:marTop w:val="0"/>
                  <w:marBottom w:val="0"/>
                  <w:divBdr>
                    <w:top w:val="none" w:sz="0" w:space="0" w:color="auto"/>
                    <w:left w:val="none" w:sz="0" w:space="0" w:color="auto"/>
                    <w:bottom w:val="none" w:sz="0" w:space="0" w:color="auto"/>
                    <w:right w:val="none" w:sz="0" w:space="0" w:color="auto"/>
                  </w:divBdr>
                </w:div>
                <w:div w:id="1711614971">
                  <w:marLeft w:val="0"/>
                  <w:marRight w:val="0"/>
                  <w:marTop w:val="0"/>
                  <w:marBottom w:val="0"/>
                  <w:divBdr>
                    <w:top w:val="none" w:sz="0" w:space="0" w:color="auto"/>
                    <w:left w:val="none" w:sz="0" w:space="0" w:color="auto"/>
                    <w:bottom w:val="none" w:sz="0" w:space="0" w:color="auto"/>
                    <w:right w:val="none" w:sz="0" w:space="0" w:color="auto"/>
                  </w:divBdr>
                </w:div>
              </w:divsChild>
            </w:div>
            <w:div w:id="1288968156">
              <w:marLeft w:val="0"/>
              <w:marRight w:val="0"/>
              <w:marTop w:val="0"/>
              <w:marBottom w:val="0"/>
              <w:divBdr>
                <w:top w:val="none" w:sz="0" w:space="0" w:color="auto"/>
                <w:left w:val="none" w:sz="0" w:space="0" w:color="auto"/>
                <w:bottom w:val="none" w:sz="0" w:space="0" w:color="auto"/>
                <w:right w:val="none" w:sz="0" w:space="0" w:color="auto"/>
              </w:divBdr>
              <w:divsChild>
                <w:div w:id="260257925">
                  <w:marLeft w:val="0"/>
                  <w:marRight w:val="0"/>
                  <w:marTop w:val="0"/>
                  <w:marBottom w:val="0"/>
                  <w:divBdr>
                    <w:top w:val="none" w:sz="0" w:space="0" w:color="auto"/>
                    <w:left w:val="none" w:sz="0" w:space="0" w:color="auto"/>
                    <w:bottom w:val="none" w:sz="0" w:space="0" w:color="auto"/>
                    <w:right w:val="none" w:sz="0" w:space="0" w:color="auto"/>
                  </w:divBdr>
                </w:div>
                <w:div w:id="1019089324">
                  <w:marLeft w:val="0"/>
                  <w:marRight w:val="0"/>
                  <w:marTop w:val="0"/>
                  <w:marBottom w:val="0"/>
                  <w:divBdr>
                    <w:top w:val="none" w:sz="0" w:space="0" w:color="auto"/>
                    <w:left w:val="none" w:sz="0" w:space="0" w:color="auto"/>
                    <w:bottom w:val="none" w:sz="0" w:space="0" w:color="auto"/>
                    <w:right w:val="none" w:sz="0" w:space="0" w:color="auto"/>
                  </w:divBdr>
                </w:div>
              </w:divsChild>
            </w:div>
            <w:div w:id="2077701151">
              <w:marLeft w:val="0"/>
              <w:marRight w:val="0"/>
              <w:marTop w:val="0"/>
              <w:marBottom w:val="0"/>
              <w:divBdr>
                <w:top w:val="none" w:sz="0" w:space="0" w:color="auto"/>
                <w:left w:val="none" w:sz="0" w:space="0" w:color="auto"/>
                <w:bottom w:val="none" w:sz="0" w:space="0" w:color="auto"/>
                <w:right w:val="none" w:sz="0" w:space="0" w:color="auto"/>
              </w:divBdr>
              <w:divsChild>
                <w:div w:id="603613274">
                  <w:marLeft w:val="0"/>
                  <w:marRight w:val="0"/>
                  <w:marTop w:val="0"/>
                  <w:marBottom w:val="0"/>
                  <w:divBdr>
                    <w:top w:val="none" w:sz="0" w:space="0" w:color="auto"/>
                    <w:left w:val="none" w:sz="0" w:space="0" w:color="auto"/>
                    <w:bottom w:val="none" w:sz="0" w:space="0" w:color="auto"/>
                    <w:right w:val="none" w:sz="0" w:space="0" w:color="auto"/>
                  </w:divBdr>
                </w:div>
                <w:div w:id="91293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7825">
          <w:marLeft w:val="0"/>
          <w:marRight w:val="0"/>
          <w:marTop w:val="0"/>
          <w:marBottom w:val="0"/>
          <w:divBdr>
            <w:top w:val="none" w:sz="0" w:space="0" w:color="auto"/>
            <w:left w:val="none" w:sz="0" w:space="0" w:color="auto"/>
            <w:bottom w:val="none" w:sz="0" w:space="0" w:color="auto"/>
            <w:right w:val="none" w:sz="0" w:space="0" w:color="auto"/>
          </w:divBdr>
          <w:divsChild>
            <w:div w:id="2094930971">
              <w:marLeft w:val="0"/>
              <w:marRight w:val="0"/>
              <w:marTop w:val="0"/>
              <w:marBottom w:val="0"/>
              <w:divBdr>
                <w:top w:val="none" w:sz="0" w:space="0" w:color="auto"/>
                <w:left w:val="none" w:sz="0" w:space="0" w:color="auto"/>
                <w:bottom w:val="none" w:sz="0" w:space="0" w:color="auto"/>
                <w:right w:val="none" w:sz="0" w:space="0" w:color="auto"/>
              </w:divBdr>
              <w:divsChild>
                <w:div w:id="316539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941409">
      <w:bodyDiv w:val="1"/>
      <w:marLeft w:val="0"/>
      <w:marRight w:val="0"/>
      <w:marTop w:val="0"/>
      <w:marBottom w:val="0"/>
      <w:divBdr>
        <w:top w:val="none" w:sz="0" w:space="0" w:color="auto"/>
        <w:left w:val="none" w:sz="0" w:space="0" w:color="auto"/>
        <w:bottom w:val="none" w:sz="0" w:space="0" w:color="auto"/>
        <w:right w:val="none" w:sz="0" w:space="0" w:color="auto"/>
      </w:divBdr>
    </w:div>
    <w:div w:id="222718074">
      <w:bodyDiv w:val="1"/>
      <w:marLeft w:val="0"/>
      <w:marRight w:val="0"/>
      <w:marTop w:val="0"/>
      <w:marBottom w:val="0"/>
      <w:divBdr>
        <w:top w:val="none" w:sz="0" w:space="0" w:color="auto"/>
        <w:left w:val="none" w:sz="0" w:space="0" w:color="auto"/>
        <w:bottom w:val="none" w:sz="0" w:space="0" w:color="auto"/>
        <w:right w:val="none" w:sz="0" w:space="0" w:color="auto"/>
      </w:divBdr>
      <w:divsChild>
        <w:div w:id="1775437808">
          <w:marLeft w:val="0"/>
          <w:marRight w:val="0"/>
          <w:marTop w:val="0"/>
          <w:marBottom w:val="0"/>
          <w:divBdr>
            <w:top w:val="none" w:sz="0" w:space="0" w:color="auto"/>
            <w:left w:val="none" w:sz="0" w:space="0" w:color="auto"/>
            <w:bottom w:val="none" w:sz="0" w:space="0" w:color="auto"/>
            <w:right w:val="none" w:sz="0" w:space="0" w:color="auto"/>
          </w:divBdr>
        </w:div>
        <w:div w:id="2124035228">
          <w:marLeft w:val="0"/>
          <w:marRight w:val="0"/>
          <w:marTop w:val="0"/>
          <w:marBottom w:val="0"/>
          <w:divBdr>
            <w:top w:val="none" w:sz="0" w:space="0" w:color="auto"/>
            <w:left w:val="none" w:sz="0" w:space="0" w:color="auto"/>
            <w:bottom w:val="none" w:sz="0" w:space="0" w:color="auto"/>
            <w:right w:val="none" w:sz="0" w:space="0" w:color="auto"/>
          </w:divBdr>
        </w:div>
      </w:divsChild>
    </w:div>
    <w:div w:id="235407694">
      <w:bodyDiv w:val="1"/>
      <w:marLeft w:val="0"/>
      <w:marRight w:val="0"/>
      <w:marTop w:val="0"/>
      <w:marBottom w:val="0"/>
      <w:divBdr>
        <w:top w:val="none" w:sz="0" w:space="0" w:color="auto"/>
        <w:left w:val="none" w:sz="0" w:space="0" w:color="auto"/>
        <w:bottom w:val="none" w:sz="0" w:space="0" w:color="auto"/>
        <w:right w:val="none" w:sz="0" w:space="0" w:color="auto"/>
      </w:divBdr>
      <w:divsChild>
        <w:div w:id="2016419225">
          <w:marLeft w:val="0"/>
          <w:marRight w:val="0"/>
          <w:marTop w:val="0"/>
          <w:marBottom w:val="0"/>
          <w:divBdr>
            <w:top w:val="none" w:sz="0" w:space="0" w:color="auto"/>
            <w:left w:val="none" w:sz="0" w:space="0" w:color="auto"/>
            <w:bottom w:val="none" w:sz="0" w:space="0" w:color="auto"/>
            <w:right w:val="none" w:sz="0" w:space="0" w:color="auto"/>
          </w:divBdr>
          <w:divsChild>
            <w:div w:id="1434547972">
              <w:marLeft w:val="0"/>
              <w:marRight w:val="0"/>
              <w:marTop w:val="0"/>
              <w:marBottom w:val="0"/>
              <w:divBdr>
                <w:top w:val="none" w:sz="0" w:space="0" w:color="auto"/>
                <w:left w:val="none" w:sz="0" w:space="0" w:color="auto"/>
                <w:bottom w:val="none" w:sz="0" w:space="0" w:color="auto"/>
                <w:right w:val="none" w:sz="0" w:space="0" w:color="auto"/>
              </w:divBdr>
              <w:divsChild>
                <w:div w:id="1907953127">
                  <w:marLeft w:val="0"/>
                  <w:marRight w:val="0"/>
                  <w:marTop w:val="0"/>
                  <w:marBottom w:val="0"/>
                  <w:divBdr>
                    <w:top w:val="none" w:sz="0" w:space="0" w:color="auto"/>
                    <w:left w:val="none" w:sz="0" w:space="0" w:color="auto"/>
                    <w:bottom w:val="none" w:sz="0" w:space="0" w:color="auto"/>
                    <w:right w:val="none" w:sz="0" w:space="0" w:color="auto"/>
                  </w:divBdr>
                  <w:divsChild>
                    <w:div w:id="1762487360">
                      <w:marLeft w:val="0"/>
                      <w:marRight w:val="0"/>
                      <w:marTop w:val="0"/>
                      <w:marBottom w:val="0"/>
                      <w:divBdr>
                        <w:top w:val="none" w:sz="0" w:space="0" w:color="auto"/>
                        <w:left w:val="none" w:sz="0" w:space="0" w:color="auto"/>
                        <w:bottom w:val="none" w:sz="0" w:space="0" w:color="auto"/>
                        <w:right w:val="none" w:sz="0" w:space="0" w:color="auto"/>
                      </w:divBdr>
                      <w:divsChild>
                        <w:div w:id="3750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55456">
      <w:bodyDiv w:val="1"/>
      <w:marLeft w:val="0"/>
      <w:marRight w:val="0"/>
      <w:marTop w:val="0"/>
      <w:marBottom w:val="0"/>
      <w:divBdr>
        <w:top w:val="none" w:sz="0" w:space="0" w:color="auto"/>
        <w:left w:val="none" w:sz="0" w:space="0" w:color="auto"/>
        <w:bottom w:val="none" w:sz="0" w:space="0" w:color="auto"/>
        <w:right w:val="none" w:sz="0" w:space="0" w:color="auto"/>
      </w:divBdr>
      <w:divsChild>
        <w:div w:id="7368560">
          <w:marLeft w:val="0"/>
          <w:marRight w:val="0"/>
          <w:marTop w:val="0"/>
          <w:marBottom w:val="0"/>
          <w:divBdr>
            <w:top w:val="none" w:sz="0" w:space="0" w:color="auto"/>
            <w:left w:val="none" w:sz="0" w:space="0" w:color="auto"/>
            <w:bottom w:val="none" w:sz="0" w:space="0" w:color="auto"/>
            <w:right w:val="none" w:sz="0" w:space="0" w:color="auto"/>
          </w:divBdr>
        </w:div>
        <w:div w:id="67702755">
          <w:marLeft w:val="0"/>
          <w:marRight w:val="0"/>
          <w:marTop w:val="0"/>
          <w:marBottom w:val="0"/>
          <w:divBdr>
            <w:top w:val="none" w:sz="0" w:space="0" w:color="auto"/>
            <w:left w:val="none" w:sz="0" w:space="0" w:color="auto"/>
            <w:bottom w:val="none" w:sz="0" w:space="0" w:color="auto"/>
            <w:right w:val="none" w:sz="0" w:space="0" w:color="auto"/>
          </w:divBdr>
        </w:div>
        <w:div w:id="74670422">
          <w:marLeft w:val="0"/>
          <w:marRight w:val="0"/>
          <w:marTop w:val="0"/>
          <w:marBottom w:val="0"/>
          <w:divBdr>
            <w:top w:val="none" w:sz="0" w:space="0" w:color="auto"/>
            <w:left w:val="none" w:sz="0" w:space="0" w:color="auto"/>
            <w:bottom w:val="none" w:sz="0" w:space="0" w:color="auto"/>
            <w:right w:val="none" w:sz="0" w:space="0" w:color="auto"/>
          </w:divBdr>
        </w:div>
        <w:div w:id="395472697">
          <w:marLeft w:val="0"/>
          <w:marRight w:val="0"/>
          <w:marTop w:val="0"/>
          <w:marBottom w:val="0"/>
          <w:divBdr>
            <w:top w:val="none" w:sz="0" w:space="0" w:color="auto"/>
            <w:left w:val="none" w:sz="0" w:space="0" w:color="auto"/>
            <w:bottom w:val="none" w:sz="0" w:space="0" w:color="auto"/>
            <w:right w:val="none" w:sz="0" w:space="0" w:color="auto"/>
          </w:divBdr>
        </w:div>
        <w:div w:id="1102795922">
          <w:marLeft w:val="0"/>
          <w:marRight w:val="0"/>
          <w:marTop w:val="0"/>
          <w:marBottom w:val="0"/>
          <w:divBdr>
            <w:top w:val="none" w:sz="0" w:space="0" w:color="auto"/>
            <w:left w:val="none" w:sz="0" w:space="0" w:color="auto"/>
            <w:bottom w:val="none" w:sz="0" w:space="0" w:color="auto"/>
            <w:right w:val="none" w:sz="0" w:space="0" w:color="auto"/>
          </w:divBdr>
        </w:div>
        <w:div w:id="1109424345">
          <w:marLeft w:val="0"/>
          <w:marRight w:val="0"/>
          <w:marTop w:val="0"/>
          <w:marBottom w:val="0"/>
          <w:divBdr>
            <w:top w:val="none" w:sz="0" w:space="0" w:color="auto"/>
            <w:left w:val="none" w:sz="0" w:space="0" w:color="auto"/>
            <w:bottom w:val="none" w:sz="0" w:space="0" w:color="auto"/>
            <w:right w:val="none" w:sz="0" w:space="0" w:color="auto"/>
          </w:divBdr>
        </w:div>
        <w:div w:id="1194540328">
          <w:marLeft w:val="0"/>
          <w:marRight w:val="0"/>
          <w:marTop w:val="0"/>
          <w:marBottom w:val="0"/>
          <w:divBdr>
            <w:top w:val="none" w:sz="0" w:space="0" w:color="auto"/>
            <w:left w:val="none" w:sz="0" w:space="0" w:color="auto"/>
            <w:bottom w:val="none" w:sz="0" w:space="0" w:color="auto"/>
            <w:right w:val="none" w:sz="0" w:space="0" w:color="auto"/>
          </w:divBdr>
        </w:div>
        <w:div w:id="1197234431">
          <w:marLeft w:val="0"/>
          <w:marRight w:val="0"/>
          <w:marTop w:val="0"/>
          <w:marBottom w:val="0"/>
          <w:divBdr>
            <w:top w:val="none" w:sz="0" w:space="0" w:color="auto"/>
            <w:left w:val="none" w:sz="0" w:space="0" w:color="auto"/>
            <w:bottom w:val="none" w:sz="0" w:space="0" w:color="auto"/>
            <w:right w:val="none" w:sz="0" w:space="0" w:color="auto"/>
          </w:divBdr>
        </w:div>
        <w:div w:id="1223640282">
          <w:marLeft w:val="0"/>
          <w:marRight w:val="0"/>
          <w:marTop w:val="0"/>
          <w:marBottom w:val="0"/>
          <w:divBdr>
            <w:top w:val="none" w:sz="0" w:space="0" w:color="auto"/>
            <w:left w:val="none" w:sz="0" w:space="0" w:color="auto"/>
            <w:bottom w:val="none" w:sz="0" w:space="0" w:color="auto"/>
            <w:right w:val="none" w:sz="0" w:space="0" w:color="auto"/>
          </w:divBdr>
        </w:div>
        <w:div w:id="1245340439">
          <w:marLeft w:val="0"/>
          <w:marRight w:val="0"/>
          <w:marTop w:val="0"/>
          <w:marBottom w:val="0"/>
          <w:divBdr>
            <w:top w:val="none" w:sz="0" w:space="0" w:color="auto"/>
            <w:left w:val="none" w:sz="0" w:space="0" w:color="auto"/>
            <w:bottom w:val="none" w:sz="0" w:space="0" w:color="auto"/>
            <w:right w:val="none" w:sz="0" w:space="0" w:color="auto"/>
          </w:divBdr>
        </w:div>
        <w:div w:id="1245870372">
          <w:marLeft w:val="0"/>
          <w:marRight w:val="0"/>
          <w:marTop w:val="0"/>
          <w:marBottom w:val="0"/>
          <w:divBdr>
            <w:top w:val="none" w:sz="0" w:space="0" w:color="auto"/>
            <w:left w:val="none" w:sz="0" w:space="0" w:color="auto"/>
            <w:bottom w:val="none" w:sz="0" w:space="0" w:color="auto"/>
            <w:right w:val="none" w:sz="0" w:space="0" w:color="auto"/>
          </w:divBdr>
        </w:div>
        <w:div w:id="1301575140">
          <w:marLeft w:val="0"/>
          <w:marRight w:val="0"/>
          <w:marTop w:val="0"/>
          <w:marBottom w:val="0"/>
          <w:divBdr>
            <w:top w:val="none" w:sz="0" w:space="0" w:color="auto"/>
            <w:left w:val="none" w:sz="0" w:space="0" w:color="auto"/>
            <w:bottom w:val="none" w:sz="0" w:space="0" w:color="auto"/>
            <w:right w:val="none" w:sz="0" w:space="0" w:color="auto"/>
          </w:divBdr>
        </w:div>
        <w:div w:id="1643538889">
          <w:marLeft w:val="0"/>
          <w:marRight w:val="0"/>
          <w:marTop w:val="0"/>
          <w:marBottom w:val="0"/>
          <w:divBdr>
            <w:top w:val="none" w:sz="0" w:space="0" w:color="auto"/>
            <w:left w:val="none" w:sz="0" w:space="0" w:color="auto"/>
            <w:bottom w:val="none" w:sz="0" w:space="0" w:color="auto"/>
            <w:right w:val="none" w:sz="0" w:space="0" w:color="auto"/>
          </w:divBdr>
        </w:div>
        <w:div w:id="1730810309">
          <w:marLeft w:val="0"/>
          <w:marRight w:val="0"/>
          <w:marTop w:val="0"/>
          <w:marBottom w:val="0"/>
          <w:divBdr>
            <w:top w:val="none" w:sz="0" w:space="0" w:color="auto"/>
            <w:left w:val="none" w:sz="0" w:space="0" w:color="auto"/>
            <w:bottom w:val="none" w:sz="0" w:space="0" w:color="auto"/>
            <w:right w:val="none" w:sz="0" w:space="0" w:color="auto"/>
          </w:divBdr>
        </w:div>
        <w:div w:id="1901165420">
          <w:marLeft w:val="0"/>
          <w:marRight w:val="0"/>
          <w:marTop w:val="0"/>
          <w:marBottom w:val="0"/>
          <w:divBdr>
            <w:top w:val="none" w:sz="0" w:space="0" w:color="auto"/>
            <w:left w:val="none" w:sz="0" w:space="0" w:color="auto"/>
            <w:bottom w:val="none" w:sz="0" w:space="0" w:color="auto"/>
            <w:right w:val="none" w:sz="0" w:space="0" w:color="auto"/>
          </w:divBdr>
        </w:div>
        <w:div w:id="1931809605">
          <w:marLeft w:val="0"/>
          <w:marRight w:val="0"/>
          <w:marTop w:val="0"/>
          <w:marBottom w:val="0"/>
          <w:divBdr>
            <w:top w:val="none" w:sz="0" w:space="0" w:color="auto"/>
            <w:left w:val="none" w:sz="0" w:space="0" w:color="auto"/>
            <w:bottom w:val="none" w:sz="0" w:space="0" w:color="auto"/>
            <w:right w:val="none" w:sz="0" w:space="0" w:color="auto"/>
          </w:divBdr>
        </w:div>
        <w:div w:id="1953322806">
          <w:marLeft w:val="0"/>
          <w:marRight w:val="0"/>
          <w:marTop w:val="0"/>
          <w:marBottom w:val="0"/>
          <w:divBdr>
            <w:top w:val="none" w:sz="0" w:space="0" w:color="auto"/>
            <w:left w:val="none" w:sz="0" w:space="0" w:color="auto"/>
            <w:bottom w:val="none" w:sz="0" w:space="0" w:color="auto"/>
            <w:right w:val="none" w:sz="0" w:space="0" w:color="auto"/>
          </w:divBdr>
        </w:div>
        <w:div w:id="2076582273">
          <w:marLeft w:val="0"/>
          <w:marRight w:val="0"/>
          <w:marTop w:val="0"/>
          <w:marBottom w:val="0"/>
          <w:divBdr>
            <w:top w:val="none" w:sz="0" w:space="0" w:color="auto"/>
            <w:left w:val="none" w:sz="0" w:space="0" w:color="auto"/>
            <w:bottom w:val="none" w:sz="0" w:space="0" w:color="auto"/>
            <w:right w:val="none" w:sz="0" w:space="0" w:color="auto"/>
          </w:divBdr>
        </w:div>
      </w:divsChild>
    </w:div>
    <w:div w:id="239484510">
      <w:bodyDiv w:val="1"/>
      <w:marLeft w:val="0"/>
      <w:marRight w:val="0"/>
      <w:marTop w:val="0"/>
      <w:marBottom w:val="0"/>
      <w:divBdr>
        <w:top w:val="none" w:sz="0" w:space="0" w:color="auto"/>
        <w:left w:val="none" w:sz="0" w:space="0" w:color="auto"/>
        <w:bottom w:val="none" w:sz="0" w:space="0" w:color="auto"/>
        <w:right w:val="none" w:sz="0" w:space="0" w:color="auto"/>
      </w:divBdr>
    </w:div>
    <w:div w:id="249001176">
      <w:bodyDiv w:val="1"/>
      <w:marLeft w:val="0"/>
      <w:marRight w:val="0"/>
      <w:marTop w:val="0"/>
      <w:marBottom w:val="0"/>
      <w:divBdr>
        <w:top w:val="none" w:sz="0" w:space="0" w:color="auto"/>
        <w:left w:val="none" w:sz="0" w:space="0" w:color="auto"/>
        <w:bottom w:val="none" w:sz="0" w:space="0" w:color="auto"/>
        <w:right w:val="none" w:sz="0" w:space="0" w:color="auto"/>
      </w:divBdr>
    </w:div>
    <w:div w:id="252932389">
      <w:bodyDiv w:val="1"/>
      <w:marLeft w:val="0"/>
      <w:marRight w:val="0"/>
      <w:marTop w:val="0"/>
      <w:marBottom w:val="0"/>
      <w:divBdr>
        <w:top w:val="none" w:sz="0" w:space="0" w:color="auto"/>
        <w:left w:val="none" w:sz="0" w:space="0" w:color="auto"/>
        <w:bottom w:val="none" w:sz="0" w:space="0" w:color="auto"/>
        <w:right w:val="none" w:sz="0" w:space="0" w:color="auto"/>
      </w:divBdr>
    </w:div>
    <w:div w:id="262802959">
      <w:bodyDiv w:val="1"/>
      <w:marLeft w:val="0"/>
      <w:marRight w:val="0"/>
      <w:marTop w:val="0"/>
      <w:marBottom w:val="0"/>
      <w:divBdr>
        <w:top w:val="none" w:sz="0" w:space="0" w:color="auto"/>
        <w:left w:val="none" w:sz="0" w:space="0" w:color="auto"/>
        <w:bottom w:val="none" w:sz="0" w:space="0" w:color="auto"/>
        <w:right w:val="none" w:sz="0" w:space="0" w:color="auto"/>
      </w:divBdr>
    </w:div>
    <w:div w:id="263612527">
      <w:bodyDiv w:val="1"/>
      <w:marLeft w:val="0"/>
      <w:marRight w:val="0"/>
      <w:marTop w:val="0"/>
      <w:marBottom w:val="0"/>
      <w:divBdr>
        <w:top w:val="none" w:sz="0" w:space="0" w:color="auto"/>
        <w:left w:val="none" w:sz="0" w:space="0" w:color="auto"/>
        <w:bottom w:val="none" w:sz="0" w:space="0" w:color="auto"/>
        <w:right w:val="none" w:sz="0" w:space="0" w:color="auto"/>
      </w:divBdr>
    </w:div>
    <w:div w:id="273631045">
      <w:bodyDiv w:val="1"/>
      <w:marLeft w:val="0"/>
      <w:marRight w:val="0"/>
      <w:marTop w:val="0"/>
      <w:marBottom w:val="0"/>
      <w:divBdr>
        <w:top w:val="none" w:sz="0" w:space="0" w:color="auto"/>
        <w:left w:val="none" w:sz="0" w:space="0" w:color="auto"/>
        <w:bottom w:val="none" w:sz="0" w:space="0" w:color="auto"/>
        <w:right w:val="none" w:sz="0" w:space="0" w:color="auto"/>
      </w:divBdr>
      <w:divsChild>
        <w:div w:id="338236867">
          <w:marLeft w:val="547"/>
          <w:marRight w:val="0"/>
          <w:marTop w:val="160"/>
          <w:marBottom w:val="0"/>
          <w:divBdr>
            <w:top w:val="none" w:sz="0" w:space="0" w:color="auto"/>
            <w:left w:val="none" w:sz="0" w:space="0" w:color="auto"/>
            <w:bottom w:val="none" w:sz="0" w:space="0" w:color="auto"/>
            <w:right w:val="none" w:sz="0" w:space="0" w:color="auto"/>
          </w:divBdr>
        </w:div>
        <w:div w:id="864178290">
          <w:marLeft w:val="547"/>
          <w:marRight w:val="0"/>
          <w:marTop w:val="160"/>
          <w:marBottom w:val="0"/>
          <w:divBdr>
            <w:top w:val="none" w:sz="0" w:space="0" w:color="auto"/>
            <w:left w:val="none" w:sz="0" w:space="0" w:color="auto"/>
            <w:bottom w:val="none" w:sz="0" w:space="0" w:color="auto"/>
            <w:right w:val="none" w:sz="0" w:space="0" w:color="auto"/>
          </w:divBdr>
        </w:div>
        <w:div w:id="1082335395">
          <w:marLeft w:val="547"/>
          <w:marRight w:val="0"/>
          <w:marTop w:val="160"/>
          <w:marBottom w:val="0"/>
          <w:divBdr>
            <w:top w:val="none" w:sz="0" w:space="0" w:color="auto"/>
            <w:left w:val="none" w:sz="0" w:space="0" w:color="auto"/>
            <w:bottom w:val="none" w:sz="0" w:space="0" w:color="auto"/>
            <w:right w:val="none" w:sz="0" w:space="0" w:color="auto"/>
          </w:divBdr>
        </w:div>
        <w:div w:id="1432776607">
          <w:marLeft w:val="547"/>
          <w:marRight w:val="0"/>
          <w:marTop w:val="160"/>
          <w:marBottom w:val="0"/>
          <w:divBdr>
            <w:top w:val="none" w:sz="0" w:space="0" w:color="auto"/>
            <w:left w:val="none" w:sz="0" w:space="0" w:color="auto"/>
            <w:bottom w:val="none" w:sz="0" w:space="0" w:color="auto"/>
            <w:right w:val="none" w:sz="0" w:space="0" w:color="auto"/>
          </w:divBdr>
        </w:div>
      </w:divsChild>
    </w:div>
    <w:div w:id="282732245">
      <w:bodyDiv w:val="1"/>
      <w:marLeft w:val="0"/>
      <w:marRight w:val="0"/>
      <w:marTop w:val="0"/>
      <w:marBottom w:val="0"/>
      <w:divBdr>
        <w:top w:val="none" w:sz="0" w:space="0" w:color="auto"/>
        <w:left w:val="none" w:sz="0" w:space="0" w:color="auto"/>
        <w:bottom w:val="none" w:sz="0" w:space="0" w:color="auto"/>
        <w:right w:val="none" w:sz="0" w:space="0" w:color="auto"/>
      </w:divBdr>
      <w:divsChild>
        <w:div w:id="2030520008">
          <w:marLeft w:val="0"/>
          <w:marRight w:val="0"/>
          <w:marTop w:val="0"/>
          <w:marBottom w:val="0"/>
          <w:divBdr>
            <w:top w:val="none" w:sz="0" w:space="0" w:color="auto"/>
            <w:left w:val="none" w:sz="0" w:space="0" w:color="auto"/>
            <w:bottom w:val="none" w:sz="0" w:space="0" w:color="auto"/>
            <w:right w:val="none" w:sz="0" w:space="0" w:color="auto"/>
          </w:divBdr>
          <w:divsChild>
            <w:div w:id="1249533288">
              <w:marLeft w:val="0"/>
              <w:marRight w:val="0"/>
              <w:marTop w:val="0"/>
              <w:marBottom w:val="0"/>
              <w:divBdr>
                <w:top w:val="none" w:sz="0" w:space="0" w:color="auto"/>
                <w:left w:val="none" w:sz="0" w:space="0" w:color="auto"/>
                <w:bottom w:val="none" w:sz="0" w:space="0" w:color="auto"/>
                <w:right w:val="none" w:sz="0" w:space="0" w:color="auto"/>
              </w:divBdr>
              <w:divsChild>
                <w:div w:id="924611817">
                  <w:marLeft w:val="0"/>
                  <w:marRight w:val="0"/>
                  <w:marTop w:val="0"/>
                  <w:marBottom w:val="0"/>
                  <w:divBdr>
                    <w:top w:val="none" w:sz="0" w:space="0" w:color="auto"/>
                    <w:left w:val="none" w:sz="0" w:space="0" w:color="auto"/>
                    <w:bottom w:val="none" w:sz="0" w:space="0" w:color="auto"/>
                    <w:right w:val="none" w:sz="0" w:space="0" w:color="auto"/>
                  </w:divBdr>
                  <w:divsChild>
                    <w:div w:id="1102844720">
                      <w:marLeft w:val="0"/>
                      <w:marRight w:val="0"/>
                      <w:marTop w:val="0"/>
                      <w:marBottom w:val="0"/>
                      <w:divBdr>
                        <w:top w:val="none" w:sz="0" w:space="0" w:color="auto"/>
                        <w:left w:val="none" w:sz="0" w:space="0" w:color="auto"/>
                        <w:bottom w:val="none" w:sz="0" w:space="0" w:color="auto"/>
                        <w:right w:val="none" w:sz="0" w:space="0" w:color="auto"/>
                      </w:divBdr>
                      <w:divsChild>
                        <w:div w:id="142969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5896761">
      <w:bodyDiv w:val="1"/>
      <w:marLeft w:val="0"/>
      <w:marRight w:val="0"/>
      <w:marTop w:val="0"/>
      <w:marBottom w:val="0"/>
      <w:divBdr>
        <w:top w:val="none" w:sz="0" w:space="0" w:color="auto"/>
        <w:left w:val="none" w:sz="0" w:space="0" w:color="auto"/>
        <w:bottom w:val="none" w:sz="0" w:space="0" w:color="auto"/>
        <w:right w:val="none" w:sz="0" w:space="0" w:color="auto"/>
      </w:divBdr>
    </w:div>
    <w:div w:id="297348233">
      <w:bodyDiv w:val="1"/>
      <w:marLeft w:val="0"/>
      <w:marRight w:val="0"/>
      <w:marTop w:val="0"/>
      <w:marBottom w:val="0"/>
      <w:divBdr>
        <w:top w:val="none" w:sz="0" w:space="0" w:color="auto"/>
        <w:left w:val="none" w:sz="0" w:space="0" w:color="auto"/>
        <w:bottom w:val="none" w:sz="0" w:space="0" w:color="auto"/>
        <w:right w:val="none" w:sz="0" w:space="0" w:color="auto"/>
      </w:divBdr>
    </w:div>
    <w:div w:id="298655600">
      <w:bodyDiv w:val="1"/>
      <w:marLeft w:val="0"/>
      <w:marRight w:val="0"/>
      <w:marTop w:val="0"/>
      <w:marBottom w:val="0"/>
      <w:divBdr>
        <w:top w:val="none" w:sz="0" w:space="0" w:color="auto"/>
        <w:left w:val="none" w:sz="0" w:space="0" w:color="auto"/>
        <w:bottom w:val="none" w:sz="0" w:space="0" w:color="auto"/>
        <w:right w:val="none" w:sz="0" w:space="0" w:color="auto"/>
      </w:divBdr>
      <w:divsChild>
        <w:div w:id="1251889321">
          <w:marLeft w:val="0"/>
          <w:marRight w:val="0"/>
          <w:marTop w:val="0"/>
          <w:marBottom w:val="0"/>
          <w:divBdr>
            <w:top w:val="none" w:sz="0" w:space="0" w:color="auto"/>
            <w:left w:val="none" w:sz="0" w:space="0" w:color="auto"/>
            <w:bottom w:val="none" w:sz="0" w:space="0" w:color="auto"/>
            <w:right w:val="none" w:sz="0" w:space="0" w:color="auto"/>
          </w:divBdr>
          <w:divsChild>
            <w:div w:id="385422679">
              <w:marLeft w:val="0"/>
              <w:marRight w:val="0"/>
              <w:marTop w:val="0"/>
              <w:marBottom w:val="0"/>
              <w:divBdr>
                <w:top w:val="none" w:sz="0" w:space="0" w:color="auto"/>
                <w:left w:val="none" w:sz="0" w:space="0" w:color="auto"/>
                <w:bottom w:val="none" w:sz="0" w:space="0" w:color="auto"/>
                <w:right w:val="none" w:sz="0" w:space="0" w:color="auto"/>
              </w:divBdr>
              <w:divsChild>
                <w:div w:id="2106686787">
                  <w:marLeft w:val="0"/>
                  <w:marRight w:val="0"/>
                  <w:marTop w:val="0"/>
                  <w:marBottom w:val="0"/>
                  <w:divBdr>
                    <w:top w:val="none" w:sz="0" w:space="0" w:color="auto"/>
                    <w:left w:val="none" w:sz="0" w:space="0" w:color="auto"/>
                    <w:bottom w:val="none" w:sz="0" w:space="0" w:color="auto"/>
                    <w:right w:val="none" w:sz="0" w:space="0" w:color="auto"/>
                  </w:divBdr>
                  <w:divsChild>
                    <w:div w:id="424151367">
                      <w:marLeft w:val="0"/>
                      <w:marRight w:val="0"/>
                      <w:marTop w:val="0"/>
                      <w:marBottom w:val="0"/>
                      <w:divBdr>
                        <w:top w:val="none" w:sz="0" w:space="0" w:color="auto"/>
                        <w:left w:val="none" w:sz="0" w:space="0" w:color="auto"/>
                        <w:bottom w:val="none" w:sz="0" w:space="0" w:color="auto"/>
                        <w:right w:val="none" w:sz="0" w:space="0" w:color="auto"/>
                      </w:divBdr>
                      <w:divsChild>
                        <w:div w:id="412238576">
                          <w:marLeft w:val="0"/>
                          <w:marRight w:val="0"/>
                          <w:marTop w:val="0"/>
                          <w:marBottom w:val="0"/>
                          <w:divBdr>
                            <w:top w:val="none" w:sz="0" w:space="0" w:color="auto"/>
                            <w:left w:val="none" w:sz="0" w:space="0" w:color="auto"/>
                            <w:bottom w:val="none" w:sz="0" w:space="0" w:color="auto"/>
                            <w:right w:val="none" w:sz="0" w:space="0" w:color="auto"/>
                          </w:divBdr>
                          <w:divsChild>
                            <w:div w:id="187827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5747419">
      <w:bodyDiv w:val="1"/>
      <w:marLeft w:val="0"/>
      <w:marRight w:val="0"/>
      <w:marTop w:val="0"/>
      <w:marBottom w:val="0"/>
      <w:divBdr>
        <w:top w:val="none" w:sz="0" w:space="0" w:color="auto"/>
        <w:left w:val="none" w:sz="0" w:space="0" w:color="auto"/>
        <w:bottom w:val="none" w:sz="0" w:space="0" w:color="auto"/>
        <w:right w:val="none" w:sz="0" w:space="0" w:color="auto"/>
      </w:divBdr>
    </w:div>
    <w:div w:id="312030697">
      <w:bodyDiv w:val="1"/>
      <w:marLeft w:val="0"/>
      <w:marRight w:val="0"/>
      <w:marTop w:val="0"/>
      <w:marBottom w:val="0"/>
      <w:divBdr>
        <w:top w:val="none" w:sz="0" w:space="0" w:color="auto"/>
        <w:left w:val="none" w:sz="0" w:space="0" w:color="auto"/>
        <w:bottom w:val="none" w:sz="0" w:space="0" w:color="auto"/>
        <w:right w:val="none" w:sz="0" w:space="0" w:color="auto"/>
      </w:divBdr>
      <w:divsChild>
        <w:div w:id="130943822">
          <w:marLeft w:val="0"/>
          <w:marRight w:val="0"/>
          <w:marTop w:val="0"/>
          <w:marBottom w:val="0"/>
          <w:divBdr>
            <w:top w:val="none" w:sz="0" w:space="0" w:color="auto"/>
            <w:left w:val="none" w:sz="0" w:space="0" w:color="auto"/>
            <w:bottom w:val="none" w:sz="0" w:space="0" w:color="auto"/>
            <w:right w:val="none" w:sz="0" w:space="0" w:color="auto"/>
          </w:divBdr>
        </w:div>
        <w:div w:id="199518326">
          <w:marLeft w:val="0"/>
          <w:marRight w:val="0"/>
          <w:marTop w:val="0"/>
          <w:marBottom w:val="0"/>
          <w:divBdr>
            <w:top w:val="none" w:sz="0" w:space="0" w:color="auto"/>
            <w:left w:val="none" w:sz="0" w:space="0" w:color="auto"/>
            <w:bottom w:val="none" w:sz="0" w:space="0" w:color="auto"/>
            <w:right w:val="none" w:sz="0" w:space="0" w:color="auto"/>
          </w:divBdr>
        </w:div>
        <w:div w:id="277566648">
          <w:marLeft w:val="0"/>
          <w:marRight w:val="0"/>
          <w:marTop w:val="0"/>
          <w:marBottom w:val="0"/>
          <w:divBdr>
            <w:top w:val="none" w:sz="0" w:space="0" w:color="auto"/>
            <w:left w:val="none" w:sz="0" w:space="0" w:color="auto"/>
            <w:bottom w:val="none" w:sz="0" w:space="0" w:color="auto"/>
            <w:right w:val="none" w:sz="0" w:space="0" w:color="auto"/>
          </w:divBdr>
        </w:div>
        <w:div w:id="318582300">
          <w:marLeft w:val="0"/>
          <w:marRight w:val="0"/>
          <w:marTop w:val="0"/>
          <w:marBottom w:val="0"/>
          <w:divBdr>
            <w:top w:val="none" w:sz="0" w:space="0" w:color="auto"/>
            <w:left w:val="none" w:sz="0" w:space="0" w:color="auto"/>
            <w:bottom w:val="none" w:sz="0" w:space="0" w:color="auto"/>
            <w:right w:val="none" w:sz="0" w:space="0" w:color="auto"/>
          </w:divBdr>
        </w:div>
        <w:div w:id="376901486">
          <w:marLeft w:val="0"/>
          <w:marRight w:val="0"/>
          <w:marTop w:val="0"/>
          <w:marBottom w:val="0"/>
          <w:divBdr>
            <w:top w:val="none" w:sz="0" w:space="0" w:color="auto"/>
            <w:left w:val="none" w:sz="0" w:space="0" w:color="auto"/>
            <w:bottom w:val="none" w:sz="0" w:space="0" w:color="auto"/>
            <w:right w:val="none" w:sz="0" w:space="0" w:color="auto"/>
          </w:divBdr>
        </w:div>
        <w:div w:id="466511421">
          <w:marLeft w:val="0"/>
          <w:marRight w:val="0"/>
          <w:marTop w:val="0"/>
          <w:marBottom w:val="0"/>
          <w:divBdr>
            <w:top w:val="none" w:sz="0" w:space="0" w:color="auto"/>
            <w:left w:val="none" w:sz="0" w:space="0" w:color="auto"/>
            <w:bottom w:val="none" w:sz="0" w:space="0" w:color="auto"/>
            <w:right w:val="none" w:sz="0" w:space="0" w:color="auto"/>
          </w:divBdr>
        </w:div>
        <w:div w:id="469245529">
          <w:marLeft w:val="0"/>
          <w:marRight w:val="0"/>
          <w:marTop w:val="0"/>
          <w:marBottom w:val="0"/>
          <w:divBdr>
            <w:top w:val="none" w:sz="0" w:space="0" w:color="auto"/>
            <w:left w:val="none" w:sz="0" w:space="0" w:color="auto"/>
            <w:bottom w:val="none" w:sz="0" w:space="0" w:color="auto"/>
            <w:right w:val="none" w:sz="0" w:space="0" w:color="auto"/>
          </w:divBdr>
        </w:div>
        <w:div w:id="501429266">
          <w:marLeft w:val="0"/>
          <w:marRight w:val="0"/>
          <w:marTop w:val="0"/>
          <w:marBottom w:val="0"/>
          <w:divBdr>
            <w:top w:val="none" w:sz="0" w:space="0" w:color="auto"/>
            <w:left w:val="none" w:sz="0" w:space="0" w:color="auto"/>
            <w:bottom w:val="none" w:sz="0" w:space="0" w:color="auto"/>
            <w:right w:val="none" w:sz="0" w:space="0" w:color="auto"/>
          </w:divBdr>
        </w:div>
        <w:div w:id="589435263">
          <w:marLeft w:val="0"/>
          <w:marRight w:val="0"/>
          <w:marTop w:val="0"/>
          <w:marBottom w:val="0"/>
          <w:divBdr>
            <w:top w:val="none" w:sz="0" w:space="0" w:color="auto"/>
            <w:left w:val="none" w:sz="0" w:space="0" w:color="auto"/>
            <w:bottom w:val="none" w:sz="0" w:space="0" w:color="auto"/>
            <w:right w:val="none" w:sz="0" w:space="0" w:color="auto"/>
          </w:divBdr>
        </w:div>
        <w:div w:id="686710927">
          <w:marLeft w:val="0"/>
          <w:marRight w:val="0"/>
          <w:marTop w:val="0"/>
          <w:marBottom w:val="0"/>
          <w:divBdr>
            <w:top w:val="none" w:sz="0" w:space="0" w:color="auto"/>
            <w:left w:val="none" w:sz="0" w:space="0" w:color="auto"/>
            <w:bottom w:val="none" w:sz="0" w:space="0" w:color="auto"/>
            <w:right w:val="none" w:sz="0" w:space="0" w:color="auto"/>
          </w:divBdr>
        </w:div>
        <w:div w:id="704067069">
          <w:marLeft w:val="0"/>
          <w:marRight w:val="0"/>
          <w:marTop w:val="0"/>
          <w:marBottom w:val="0"/>
          <w:divBdr>
            <w:top w:val="none" w:sz="0" w:space="0" w:color="auto"/>
            <w:left w:val="none" w:sz="0" w:space="0" w:color="auto"/>
            <w:bottom w:val="none" w:sz="0" w:space="0" w:color="auto"/>
            <w:right w:val="none" w:sz="0" w:space="0" w:color="auto"/>
          </w:divBdr>
        </w:div>
        <w:div w:id="713892174">
          <w:marLeft w:val="0"/>
          <w:marRight w:val="0"/>
          <w:marTop w:val="0"/>
          <w:marBottom w:val="0"/>
          <w:divBdr>
            <w:top w:val="none" w:sz="0" w:space="0" w:color="auto"/>
            <w:left w:val="none" w:sz="0" w:space="0" w:color="auto"/>
            <w:bottom w:val="none" w:sz="0" w:space="0" w:color="auto"/>
            <w:right w:val="none" w:sz="0" w:space="0" w:color="auto"/>
          </w:divBdr>
        </w:div>
        <w:div w:id="847133310">
          <w:marLeft w:val="0"/>
          <w:marRight w:val="0"/>
          <w:marTop w:val="0"/>
          <w:marBottom w:val="0"/>
          <w:divBdr>
            <w:top w:val="none" w:sz="0" w:space="0" w:color="auto"/>
            <w:left w:val="none" w:sz="0" w:space="0" w:color="auto"/>
            <w:bottom w:val="none" w:sz="0" w:space="0" w:color="auto"/>
            <w:right w:val="none" w:sz="0" w:space="0" w:color="auto"/>
          </w:divBdr>
        </w:div>
        <w:div w:id="1045909696">
          <w:marLeft w:val="0"/>
          <w:marRight w:val="0"/>
          <w:marTop w:val="0"/>
          <w:marBottom w:val="0"/>
          <w:divBdr>
            <w:top w:val="none" w:sz="0" w:space="0" w:color="auto"/>
            <w:left w:val="none" w:sz="0" w:space="0" w:color="auto"/>
            <w:bottom w:val="none" w:sz="0" w:space="0" w:color="auto"/>
            <w:right w:val="none" w:sz="0" w:space="0" w:color="auto"/>
          </w:divBdr>
        </w:div>
        <w:div w:id="1047024209">
          <w:marLeft w:val="0"/>
          <w:marRight w:val="0"/>
          <w:marTop w:val="0"/>
          <w:marBottom w:val="0"/>
          <w:divBdr>
            <w:top w:val="none" w:sz="0" w:space="0" w:color="auto"/>
            <w:left w:val="none" w:sz="0" w:space="0" w:color="auto"/>
            <w:bottom w:val="none" w:sz="0" w:space="0" w:color="auto"/>
            <w:right w:val="none" w:sz="0" w:space="0" w:color="auto"/>
          </w:divBdr>
        </w:div>
        <w:div w:id="1112096316">
          <w:marLeft w:val="0"/>
          <w:marRight w:val="0"/>
          <w:marTop w:val="0"/>
          <w:marBottom w:val="0"/>
          <w:divBdr>
            <w:top w:val="none" w:sz="0" w:space="0" w:color="auto"/>
            <w:left w:val="none" w:sz="0" w:space="0" w:color="auto"/>
            <w:bottom w:val="none" w:sz="0" w:space="0" w:color="auto"/>
            <w:right w:val="none" w:sz="0" w:space="0" w:color="auto"/>
          </w:divBdr>
        </w:div>
        <w:div w:id="1237130237">
          <w:marLeft w:val="0"/>
          <w:marRight w:val="0"/>
          <w:marTop w:val="0"/>
          <w:marBottom w:val="0"/>
          <w:divBdr>
            <w:top w:val="none" w:sz="0" w:space="0" w:color="auto"/>
            <w:left w:val="none" w:sz="0" w:space="0" w:color="auto"/>
            <w:bottom w:val="none" w:sz="0" w:space="0" w:color="auto"/>
            <w:right w:val="none" w:sz="0" w:space="0" w:color="auto"/>
          </w:divBdr>
        </w:div>
        <w:div w:id="1355499047">
          <w:marLeft w:val="0"/>
          <w:marRight w:val="0"/>
          <w:marTop w:val="0"/>
          <w:marBottom w:val="0"/>
          <w:divBdr>
            <w:top w:val="none" w:sz="0" w:space="0" w:color="auto"/>
            <w:left w:val="none" w:sz="0" w:space="0" w:color="auto"/>
            <w:bottom w:val="none" w:sz="0" w:space="0" w:color="auto"/>
            <w:right w:val="none" w:sz="0" w:space="0" w:color="auto"/>
          </w:divBdr>
        </w:div>
        <w:div w:id="1365134201">
          <w:marLeft w:val="0"/>
          <w:marRight w:val="0"/>
          <w:marTop w:val="0"/>
          <w:marBottom w:val="0"/>
          <w:divBdr>
            <w:top w:val="none" w:sz="0" w:space="0" w:color="auto"/>
            <w:left w:val="none" w:sz="0" w:space="0" w:color="auto"/>
            <w:bottom w:val="none" w:sz="0" w:space="0" w:color="auto"/>
            <w:right w:val="none" w:sz="0" w:space="0" w:color="auto"/>
          </w:divBdr>
        </w:div>
        <w:div w:id="1399983534">
          <w:marLeft w:val="0"/>
          <w:marRight w:val="0"/>
          <w:marTop w:val="0"/>
          <w:marBottom w:val="0"/>
          <w:divBdr>
            <w:top w:val="none" w:sz="0" w:space="0" w:color="auto"/>
            <w:left w:val="none" w:sz="0" w:space="0" w:color="auto"/>
            <w:bottom w:val="none" w:sz="0" w:space="0" w:color="auto"/>
            <w:right w:val="none" w:sz="0" w:space="0" w:color="auto"/>
          </w:divBdr>
        </w:div>
        <w:div w:id="1499686178">
          <w:marLeft w:val="0"/>
          <w:marRight w:val="0"/>
          <w:marTop w:val="0"/>
          <w:marBottom w:val="0"/>
          <w:divBdr>
            <w:top w:val="none" w:sz="0" w:space="0" w:color="auto"/>
            <w:left w:val="none" w:sz="0" w:space="0" w:color="auto"/>
            <w:bottom w:val="none" w:sz="0" w:space="0" w:color="auto"/>
            <w:right w:val="none" w:sz="0" w:space="0" w:color="auto"/>
          </w:divBdr>
        </w:div>
        <w:div w:id="1595896790">
          <w:marLeft w:val="0"/>
          <w:marRight w:val="0"/>
          <w:marTop w:val="0"/>
          <w:marBottom w:val="0"/>
          <w:divBdr>
            <w:top w:val="none" w:sz="0" w:space="0" w:color="auto"/>
            <w:left w:val="none" w:sz="0" w:space="0" w:color="auto"/>
            <w:bottom w:val="none" w:sz="0" w:space="0" w:color="auto"/>
            <w:right w:val="none" w:sz="0" w:space="0" w:color="auto"/>
          </w:divBdr>
        </w:div>
        <w:div w:id="1622295874">
          <w:marLeft w:val="0"/>
          <w:marRight w:val="0"/>
          <w:marTop w:val="0"/>
          <w:marBottom w:val="0"/>
          <w:divBdr>
            <w:top w:val="none" w:sz="0" w:space="0" w:color="auto"/>
            <w:left w:val="none" w:sz="0" w:space="0" w:color="auto"/>
            <w:bottom w:val="none" w:sz="0" w:space="0" w:color="auto"/>
            <w:right w:val="none" w:sz="0" w:space="0" w:color="auto"/>
          </w:divBdr>
        </w:div>
        <w:div w:id="1691640122">
          <w:marLeft w:val="0"/>
          <w:marRight w:val="0"/>
          <w:marTop w:val="0"/>
          <w:marBottom w:val="0"/>
          <w:divBdr>
            <w:top w:val="none" w:sz="0" w:space="0" w:color="auto"/>
            <w:left w:val="none" w:sz="0" w:space="0" w:color="auto"/>
            <w:bottom w:val="none" w:sz="0" w:space="0" w:color="auto"/>
            <w:right w:val="none" w:sz="0" w:space="0" w:color="auto"/>
          </w:divBdr>
        </w:div>
        <w:div w:id="1833257236">
          <w:marLeft w:val="0"/>
          <w:marRight w:val="0"/>
          <w:marTop w:val="0"/>
          <w:marBottom w:val="0"/>
          <w:divBdr>
            <w:top w:val="none" w:sz="0" w:space="0" w:color="auto"/>
            <w:left w:val="none" w:sz="0" w:space="0" w:color="auto"/>
            <w:bottom w:val="none" w:sz="0" w:space="0" w:color="auto"/>
            <w:right w:val="none" w:sz="0" w:space="0" w:color="auto"/>
          </w:divBdr>
        </w:div>
        <w:div w:id="1868135588">
          <w:marLeft w:val="0"/>
          <w:marRight w:val="0"/>
          <w:marTop w:val="0"/>
          <w:marBottom w:val="0"/>
          <w:divBdr>
            <w:top w:val="none" w:sz="0" w:space="0" w:color="auto"/>
            <w:left w:val="none" w:sz="0" w:space="0" w:color="auto"/>
            <w:bottom w:val="none" w:sz="0" w:space="0" w:color="auto"/>
            <w:right w:val="none" w:sz="0" w:space="0" w:color="auto"/>
          </w:divBdr>
        </w:div>
        <w:div w:id="1953320866">
          <w:marLeft w:val="0"/>
          <w:marRight w:val="0"/>
          <w:marTop w:val="0"/>
          <w:marBottom w:val="0"/>
          <w:divBdr>
            <w:top w:val="none" w:sz="0" w:space="0" w:color="auto"/>
            <w:left w:val="none" w:sz="0" w:space="0" w:color="auto"/>
            <w:bottom w:val="none" w:sz="0" w:space="0" w:color="auto"/>
            <w:right w:val="none" w:sz="0" w:space="0" w:color="auto"/>
          </w:divBdr>
        </w:div>
        <w:div w:id="2028747204">
          <w:marLeft w:val="0"/>
          <w:marRight w:val="0"/>
          <w:marTop w:val="0"/>
          <w:marBottom w:val="0"/>
          <w:divBdr>
            <w:top w:val="none" w:sz="0" w:space="0" w:color="auto"/>
            <w:left w:val="none" w:sz="0" w:space="0" w:color="auto"/>
            <w:bottom w:val="none" w:sz="0" w:space="0" w:color="auto"/>
            <w:right w:val="none" w:sz="0" w:space="0" w:color="auto"/>
          </w:divBdr>
        </w:div>
        <w:div w:id="2117478342">
          <w:marLeft w:val="0"/>
          <w:marRight w:val="0"/>
          <w:marTop w:val="0"/>
          <w:marBottom w:val="0"/>
          <w:divBdr>
            <w:top w:val="none" w:sz="0" w:space="0" w:color="auto"/>
            <w:left w:val="none" w:sz="0" w:space="0" w:color="auto"/>
            <w:bottom w:val="none" w:sz="0" w:space="0" w:color="auto"/>
            <w:right w:val="none" w:sz="0" w:space="0" w:color="auto"/>
          </w:divBdr>
        </w:div>
      </w:divsChild>
    </w:div>
    <w:div w:id="316426128">
      <w:bodyDiv w:val="1"/>
      <w:marLeft w:val="0"/>
      <w:marRight w:val="0"/>
      <w:marTop w:val="0"/>
      <w:marBottom w:val="0"/>
      <w:divBdr>
        <w:top w:val="none" w:sz="0" w:space="0" w:color="auto"/>
        <w:left w:val="none" w:sz="0" w:space="0" w:color="auto"/>
        <w:bottom w:val="none" w:sz="0" w:space="0" w:color="auto"/>
        <w:right w:val="none" w:sz="0" w:space="0" w:color="auto"/>
      </w:divBdr>
    </w:div>
    <w:div w:id="320499726">
      <w:bodyDiv w:val="1"/>
      <w:marLeft w:val="0"/>
      <w:marRight w:val="0"/>
      <w:marTop w:val="0"/>
      <w:marBottom w:val="0"/>
      <w:divBdr>
        <w:top w:val="none" w:sz="0" w:space="0" w:color="auto"/>
        <w:left w:val="none" w:sz="0" w:space="0" w:color="auto"/>
        <w:bottom w:val="none" w:sz="0" w:space="0" w:color="auto"/>
        <w:right w:val="none" w:sz="0" w:space="0" w:color="auto"/>
      </w:divBdr>
      <w:divsChild>
        <w:div w:id="1676760197">
          <w:marLeft w:val="0"/>
          <w:marRight w:val="0"/>
          <w:marTop w:val="0"/>
          <w:marBottom w:val="0"/>
          <w:divBdr>
            <w:top w:val="none" w:sz="0" w:space="0" w:color="auto"/>
            <w:left w:val="none" w:sz="0" w:space="0" w:color="auto"/>
            <w:bottom w:val="none" w:sz="0" w:space="0" w:color="auto"/>
            <w:right w:val="none" w:sz="0" w:space="0" w:color="auto"/>
          </w:divBdr>
        </w:div>
      </w:divsChild>
    </w:div>
    <w:div w:id="327289561">
      <w:bodyDiv w:val="1"/>
      <w:marLeft w:val="0"/>
      <w:marRight w:val="0"/>
      <w:marTop w:val="0"/>
      <w:marBottom w:val="0"/>
      <w:divBdr>
        <w:top w:val="none" w:sz="0" w:space="0" w:color="auto"/>
        <w:left w:val="none" w:sz="0" w:space="0" w:color="auto"/>
        <w:bottom w:val="none" w:sz="0" w:space="0" w:color="auto"/>
        <w:right w:val="none" w:sz="0" w:space="0" w:color="auto"/>
      </w:divBdr>
    </w:div>
    <w:div w:id="341444418">
      <w:bodyDiv w:val="1"/>
      <w:marLeft w:val="0"/>
      <w:marRight w:val="0"/>
      <w:marTop w:val="0"/>
      <w:marBottom w:val="0"/>
      <w:divBdr>
        <w:top w:val="none" w:sz="0" w:space="0" w:color="auto"/>
        <w:left w:val="none" w:sz="0" w:space="0" w:color="auto"/>
        <w:bottom w:val="none" w:sz="0" w:space="0" w:color="auto"/>
        <w:right w:val="none" w:sz="0" w:space="0" w:color="auto"/>
      </w:divBdr>
    </w:div>
    <w:div w:id="348529673">
      <w:bodyDiv w:val="1"/>
      <w:marLeft w:val="0"/>
      <w:marRight w:val="0"/>
      <w:marTop w:val="0"/>
      <w:marBottom w:val="0"/>
      <w:divBdr>
        <w:top w:val="none" w:sz="0" w:space="0" w:color="auto"/>
        <w:left w:val="none" w:sz="0" w:space="0" w:color="auto"/>
        <w:bottom w:val="none" w:sz="0" w:space="0" w:color="auto"/>
        <w:right w:val="none" w:sz="0" w:space="0" w:color="auto"/>
      </w:divBdr>
    </w:div>
    <w:div w:id="349137893">
      <w:bodyDiv w:val="1"/>
      <w:marLeft w:val="0"/>
      <w:marRight w:val="0"/>
      <w:marTop w:val="0"/>
      <w:marBottom w:val="0"/>
      <w:divBdr>
        <w:top w:val="none" w:sz="0" w:space="0" w:color="auto"/>
        <w:left w:val="none" w:sz="0" w:space="0" w:color="auto"/>
        <w:bottom w:val="none" w:sz="0" w:space="0" w:color="auto"/>
        <w:right w:val="none" w:sz="0" w:space="0" w:color="auto"/>
      </w:divBdr>
    </w:div>
    <w:div w:id="355615804">
      <w:bodyDiv w:val="1"/>
      <w:marLeft w:val="0"/>
      <w:marRight w:val="0"/>
      <w:marTop w:val="0"/>
      <w:marBottom w:val="0"/>
      <w:divBdr>
        <w:top w:val="none" w:sz="0" w:space="0" w:color="auto"/>
        <w:left w:val="none" w:sz="0" w:space="0" w:color="auto"/>
        <w:bottom w:val="none" w:sz="0" w:space="0" w:color="auto"/>
        <w:right w:val="none" w:sz="0" w:space="0" w:color="auto"/>
      </w:divBdr>
      <w:divsChild>
        <w:div w:id="1666471529">
          <w:marLeft w:val="547"/>
          <w:marRight w:val="0"/>
          <w:marTop w:val="0"/>
          <w:marBottom w:val="0"/>
          <w:divBdr>
            <w:top w:val="none" w:sz="0" w:space="0" w:color="auto"/>
            <w:left w:val="none" w:sz="0" w:space="0" w:color="auto"/>
            <w:bottom w:val="none" w:sz="0" w:space="0" w:color="auto"/>
            <w:right w:val="none" w:sz="0" w:space="0" w:color="auto"/>
          </w:divBdr>
        </w:div>
        <w:div w:id="1795710753">
          <w:marLeft w:val="547"/>
          <w:marRight w:val="0"/>
          <w:marTop w:val="0"/>
          <w:marBottom w:val="0"/>
          <w:divBdr>
            <w:top w:val="none" w:sz="0" w:space="0" w:color="auto"/>
            <w:left w:val="none" w:sz="0" w:space="0" w:color="auto"/>
            <w:bottom w:val="none" w:sz="0" w:space="0" w:color="auto"/>
            <w:right w:val="none" w:sz="0" w:space="0" w:color="auto"/>
          </w:divBdr>
        </w:div>
        <w:div w:id="180166288">
          <w:marLeft w:val="547"/>
          <w:marRight w:val="0"/>
          <w:marTop w:val="0"/>
          <w:marBottom w:val="0"/>
          <w:divBdr>
            <w:top w:val="none" w:sz="0" w:space="0" w:color="auto"/>
            <w:left w:val="none" w:sz="0" w:space="0" w:color="auto"/>
            <w:bottom w:val="none" w:sz="0" w:space="0" w:color="auto"/>
            <w:right w:val="none" w:sz="0" w:space="0" w:color="auto"/>
          </w:divBdr>
        </w:div>
      </w:divsChild>
    </w:div>
    <w:div w:id="364451230">
      <w:bodyDiv w:val="1"/>
      <w:marLeft w:val="0"/>
      <w:marRight w:val="0"/>
      <w:marTop w:val="0"/>
      <w:marBottom w:val="0"/>
      <w:divBdr>
        <w:top w:val="none" w:sz="0" w:space="0" w:color="auto"/>
        <w:left w:val="none" w:sz="0" w:space="0" w:color="auto"/>
        <w:bottom w:val="none" w:sz="0" w:space="0" w:color="auto"/>
        <w:right w:val="none" w:sz="0" w:space="0" w:color="auto"/>
      </w:divBdr>
    </w:div>
    <w:div w:id="364908589">
      <w:bodyDiv w:val="1"/>
      <w:marLeft w:val="0"/>
      <w:marRight w:val="0"/>
      <w:marTop w:val="0"/>
      <w:marBottom w:val="0"/>
      <w:divBdr>
        <w:top w:val="none" w:sz="0" w:space="0" w:color="auto"/>
        <w:left w:val="none" w:sz="0" w:space="0" w:color="auto"/>
        <w:bottom w:val="none" w:sz="0" w:space="0" w:color="auto"/>
        <w:right w:val="none" w:sz="0" w:space="0" w:color="auto"/>
      </w:divBdr>
    </w:div>
    <w:div w:id="367074901">
      <w:bodyDiv w:val="1"/>
      <w:marLeft w:val="0"/>
      <w:marRight w:val="0"/>
      <w:marTop w:val="0"/>
      <w:marBottom w:val="0"/>
      <w:divBdr>
        <w:top w:val="none" w:sz="0" w:space="0" w:color="auto"/>
        <w:left w:val="none" w:sz="0" w:space="0" w:color="auto"/>
        <w:bottom w:val="none" w:sz="0" w:space="0" w:color="auto"/>
        <w:right w:val="none" w:sz="0" w:space="0" w:color="auto"/>
      </w:divBdr>
      <w:divsChild>
        <w:div w:id="726031872">
          <w:marLeft w:val="0"/>
          <w:marRight w:val="0"/>
          <w:marTop w:val="0"/>
          <w:marBottom w:val="0"/>
          <w:divBdr>
            <w:top w:val="none" w:sz="0" w:space="0" w:color="auto"/>
            <w:left w:val="none" w:sz="0" w:space="0" w:color="auto"/>
            <w:bottom w:val="none" w:sz="0" w:space="0" w:color="auto"/>
            <w:right w:val="none" w:sz="0" w:space="0" w:color="auto"/>
          </w:divBdr>
        </w:div>
        <w:div w:id="1419212619">
          <w:marLeft w:val="0"/>
          <w:marRight w:val="0"/>
          <w:marTop w:val="0"/>
          <w:marBottom w:val="0"/>
          <w:divBdr>
            <w:top w:val="none" w:sz="0" w:space="0" w:color="auto"/>
            <w:left w:val="none" w:sz="0" w:space="0" w:color="auto"/>
            <w:bottom w:val="none" w:sz="0" w:space="0" w:color="auto"/>
            <w:right w:val="none" w:sz="0" w:space="0" w:color="auto"/>
          </w:divBdr>
        </w:div>
      </w:divsChild>
    </w:div>
    <w:div w:id="370769322">
      <w:bodyDiv w:val="1"/>
      <w:marLeft w:val="0"/>
      <w:marRight w:val="0"/>
      <w:marTop w:val="0"/>
      <w:marBottom w:val="0"/>
      <w:divBdr>
        <w:top w:val="none" w:sz="0" w:space="0" w:color="auto"/>
        <w:left w:val="none" w:sz="0" w:space="0" w:color="auto"/>
        <w:bottom w:val="none" w:sz="0" w:space="0" w:color="auto"/>
        <w:right w:val="none" w:sz="0" w:space="0" w:color="auto"/>
      </w:divBdr>
      <w:divsChild>
        <w:div w:id="35085503">
          <w:marLeft w:val="0"/>
          <w:marRight w:val="0"/>
          <w:marTop w:val="0"/>
          <w:marBottom w:val="0"/>
          <w:divBdr>
            <w:top w:val="none" w:sz="0" w:space="0" w:color="auto"/>
            <w:left w:val="none" w:sz="0" w:space="0" w:color="auto"/>
            <w:bottom w:val="none" w:sz="0" w:space="0" w:color="auto"/>
            <w:right w:val="none" w:sz="0" w:space="0" w:color="auto"/>
          </w:divBdr>
        </w:div>
        <w:div w:id="54739854">
          <w:marLeft w:val="0"/>
          <w:marRight w:val="0"/>
          <w:marTop w:val="0"/>
          <w:marBottom w:val="0"/>
          <w:divBdr>
            <w:top w:val="none" w:sz="0" w:space="0" w:color="auto"/>
            <w:left w:val="none" w:sz="0" w:space="0" w:color="auto"/>
            <w:bottom w:val="none" w:sz="0" w:space="0" w:color="auto"/>
            <w:right w:val="none" w:sz="0" w:space="0" w:color="auto"/>
          </w:divBdr>
        </w:div>
        <w:div w:id="141703057">
          <w:marLeft w:val="0"/>
          <w:marRight w:val="0"/>
          <w:marTop w:val="0"/>
          <w:marBottom w:val="0"/>
          <w:divBdr>
            <w:top w:val="none" w:sz="0" w:space="0" w:color="auto"/>
            <w:left w:val="none" w:sz="0" w:space="0" w:color="auto"/>
            <w:bottom w:val="none" w:sz="0" w:space="0" w:color="auto"/>
            <w:right w:val="none" w:sz="0" w:space="0" w:color="auto"/>
          </w:divBdr>
        </w:div>
        <w:div w:id="168952121">
          <w:marLeft w:val="0"/>
          <w:marRight w:val="0"/>
          <w:marTop w:val="0"/>
          <w:marBottom w:val="0"/>
          <w:divBdr>
            <w:top w:val="none" w:sz="0" w:space="0" w:color="auto"/>
            <w:left w:val="none" w:sz="0" w:space="0" w:color="auto"/>
            <w:bottom w:val="none" w:sz="0" w:space="0" w:color="auto"/>
            <w:right w:val="none" w:sz="0" w:space="0" w:color="auto"/>
          </w:divBdr>
        </w:div>
        <w:div w:id="177039629">
          <w:marLeft w:val="0"/>
          <w:marRight w:val="0"/>
          <w:marTop w:val="0"/>
          <w:marBottom w:val="0"/>
          <w:divBdr>
            <w:top w:val="none" w:sz="0" w:space="0" w:color="auto"/>
            <w:left w:val="none" w:sz="0" w:space="0" w:color="auto"/>
            <w:bottom w:val="none" w:sz="0" w:space="0" w:color="auto"/>
            <w:right w:val="none" w:sz="0" w:space="0" w:color="auto"/>
          </w:divBdr>
        </w:div>
        <w:div w:id="231818059">
          <w:marLeft w:val="0"/>
          <w:marRight w:val="0"/>
          <w:marTop w:val="0"/>
          <w:marBottom w:val="0"/>
          <w:divBdr>
            <w:top w:val="none" w:sz="0" w:space="0" w:color="auto"/>
            <w:left w:val="none" w:sz="0" w:space="0" w:color="auto"/>
            <w:bottom w:val="none" w:sz="0" w:space="0" w:color="auto"/>
            <w:right w:val="none" w:sz="0" w:space="0" w:color="auto"/>
          </w:divBdr>
        </w:div>
        <w:div w:id="235088471">
          <w:marLeft w:val="0"/>
          <w:marRight w:val="0"/>
          <w:marTop w:val="0"/>
          <w:marBottom w:val="0"/>
          <w:divBdr>
            <w:top w:val="none" w:sz="0" w:space="0" w:color="auto"/>
            <w:left w:val="none" w:sz="0" w:space="0" w:color="auto"/>
            <w:bottom w:val="none" w:sz="0" w:space="0" w:color="auto"/>
            <w:right w:val="none" w:sz="0" w:space="0" w:color="auto"/>
          </w:divBdr>
        </w:div>
        <w:div w:id="287319070">
          <w:marLeft w:val="0"/>
          <w:marRight w:val="0"/>
          <w:marTop w:val="0"/>
          <w:marBottom w:val="0"/>
          <w:divBdr>
            <w:top w:val="none" w:sz="0" w:space="0" w:color="auto"/>
            <w:left w:val="none" w:sz="0" w:space="0" w:color="auto"/>
            <w:bottom w:val="none" w:sz="0" w:space="0" w:color="auto"/>
            <w:right w:val="none" w:sz="0" w:space="0" w:color="auto"/>
          </w:divBdr>
        </w:div>
        <w:div w:id="290673725">
          <w:marLeft w:val="0"/>
          <w:marRight w:val="0"/>
          <w:marTop w:val="0"/>
          <w:marBottom w:val="0"/>
          <w:divBdr>
            <w:top w:val="none" w:sz="0" w:space="0" w:color="auto"/>
            <w:left w:val="none" w:sz="0" w:space="0" w:color="auto"/>
            <w:bottom w:val="none" w:sz="0" w:space="0" w:color="auto"/>
            <w:right w:val="none" w:sz="0" w:space="0" w:color="auto"/>
          </w:divBdr>
        </w:div>
        <w:div w:id="293413999">
          <w:marLeft w:val="0"/>
          <w:marRight w:val="0"/>
          <w:marTop w:val="0"/>
          <w:marBottom w:val="0"/>
          <w:divBdr>
            <w:top w:val="none" w:sz="0" w:space="0" w:color="auto"/>
            <w:left w:val="none" w:sz="0" w:space="0" w:color="auto"/>
            <w:bottom w:val="none" w:sz="0" w:space="0" w:color="auto"/>
            <w:right w:val="none" w:sz="0" w:space="0" w:color="auto"/>
          </w:divBdr>
        </w:div>
        <w:div w:id="294920398">
          <w:marLeft w:val="0"/>
          <w:marRight w:val="0"/>
          <w:marTop w:val="0"/>
          <w:marBottom w:val="0"/>
          <w:divBdr>
            <w:top w:val="none" w:sz="0" w:space="0" w:color="auto"/>
            <w:left w:val="none" w:sz="0" w:space="0" w:color="auto"/>
            <w:bottom w:val="none" w:sz="0" w:space="0" w:color="auto"/>
            <w:right w:val="none" w:sz="0" w:space="0" w:color="auto"/>
          </w:divBdr>
        </w:div>
        <w:div w:id="338894504">
          <w:marLeft w:val="0"/>
          <w:marRight w:val="0"/>
          <w:marTop w:val="0"/>
          <w:marBottom w:val="0"/>
          <w:divBdr>
            <w:top w:val="none" w:sz="0" w:space="0" w:color="auto"/>
            <w:left w:val="none" w:sz="0" w:space="0" w:color="auto"/>
            <w:bottom w:val="none" w:sz="0" w:space="0" w:color="auto"/>
            <w:right w:val="none" w:sz="0" w:space="0" w:color="auto"/>
          </w:divBdr>
        </w:div>
        <w:div w:id="373892360">
          <w:marLeft w:val="0"/>
          <w:marRight w:val="0"/>
          <w:marTop w:val="0"/>
          <w:marBottom w:val="0"/>
          <w:divBdr>
            <w:top w:val="none" w:sz="0" w:space="0" w:color="auto"/>
            <w:left w:val="none" w:sz="0" w:space="0" w:color="auto"/>
            <w:bottom w:val="none" w:sz="0" w:space="0" w:color="auto"/>
            <w:right w:val="none" w:sz="0" w:space="0" w:color="auto"/>
          </w:divBdr>
        </w:div>
        <w:div w:id="379087741">
          <w:marLeft w:val="0"/>
          <w:marRight w:val="0"/>
          <w:marTop w:val="0"/>
          <w:marBottom w:val="0"/>
          <w:divBdr>
            <w:top w:val="none" w:sz="0" w:space="0" w:color="auto"/>
            <w:left w:val="none" w:sz="0" w:space="0" w:color="auto"/>
            <w:bottom w:val="none" w:sz="0" w:space="0" w:color="auto"/>
            <w:right w:val="none" w:sz="0" w:space="0" w:color="auto"/>
          </w:divBdr>
        </w:div>
        <w:div w:id="385034213">
          <w:marLeft w:val="0"/>
          <w:marRight w:val="0"/>
          <w:marTop w:val="0"/>
          <w:marBottom w:val="0"/>
          <w:divBdr>
            <w:top w:val="none" w:sz="0" w:space="0" w:color="auto"/>
            <w:left w:val="none" w:sz="0" w:space="0" w:color="auto"/>
            <w:bottom w:val="none" w:sz="0" w:space="0" w:color="auto"/>
            <w:right w:val="none" w:sz="0" w:space="0" w:color="auto"/>
          </w:divBdr>
        </w:div>
        <w:div w:id="395932701">
          <w:marLeft w:val="0"/>
          <w:marRight w:val="0"/>
          <w:marTop w:val="0"/>
          <w:marBottom w:val="0"/>
          <w:divBdr>
            <w:top w:val="none" w:sz="0" w:space="0" w:color="auto"/>
            <w:left w:val="none" w:sz="0" w:space="0" w:color="auto"/>
            <w:bottom w:val="none" w:sz="0" w:space="0" w:color="auto"/>
            <w:right w:val="none" w:sz="0" w:space="0" w:color="auto"/>
          </w:divBdr>
        </w:div>
        <w:div w:id="422724707">
          <w:marLeft w:val="0"/>
          <w:marRight w:val="0"/>
          <w:marTop w:val="0"/>
          <w:marBottom w:val="0"/>
          <w:divBdr>
            <w:top w:val="none" w:sz="0" w:space="0" w:color="auto"/>
            <w:left w:val="none" w:sz="0" w:space="0" w:color="auto"/>
            <w:bottom w:val="none" w:sz="0" w:space="0" w:color="auto"/>
            <w:right w:val="none" w:sz="0" w:space="0" w:color="auto"/>
          </w:divBdr>
        </w:div>
        <w:div w:id="426579969">
          <w:marLeft w:val="0"/>
          <w:marRight w:val="0"/>
          <w:marTop w:val="0"/>
          <w:marBottom w:val="0"/>
          <w:divBdr>
            <w:top w:val="none" w:sz="0" w:space="0" w:color="auto"/>
            <w:left w:val="none" w:sz="0" w:space="0" w:color="auto"/>
            <w:bottom w:val="none" w:sz="0" w:space="0" w:color="auto"/>
            <w:right w:val="none" w:sz="0" w:space="0" w:color="auto"/>
          </w:divBdr>
        </w:div>
        <w:div w:id="432870041">
          <w:marLeft w:val="0"/>
          <w:marRight w:val="0"/>
          <w:marTop w:val="0"/>
          <w:marBottom w:val="0"/>
          <w:divBdr>
            <w:top w:val="none" w:sz="0" w:space="0" w:color="auto"/>
            <w:left w:val="none" w:sz="0" w:space="0" w:color="auto"/>
            <w:bottom w:val="none" w:sz="0" w:space="0" w:color="auto"/>
            <w:right w:val="none" w:sz="0" w:space="0" w:color="auto"/>
          </w:divBdr>
        </w:div>
        <w:div w:id="467867963">
          <w:marLeft w:val="0"/>
          <w:marRight w:val="0"/>
          <w:marTop w:val="0"/>
          <w:marBottom w:val="0"/>
          <w:divBdr>
            <w:top w:val="none" w:sz="0" w:space="0" w:color="auto"/>
            <w:left w:val="none" w:sz="0" w:space="0" w:color="auto"/>
            <w:bottom w:val="none" w:sz="0" w:space="0" w:color="auto"/>
            <w:right w:val="none" w:sz="0" w:space="0" w:color="auto"/>
          </w:divBdr>
        </w:div>
        <w:div w:id="564145047">
          <w:marLeft w:val="0"/>
          <w:marRight w:val="0"/>
          <w:marTop w:val="0"/>
          <w:marBottom w:val="0"/>
          <w:divBdr>
            <w:top w:val="none" w:sz="0" w:space="0" w:color="auto"/>
            <w:left w:val="none" w:sz="0" w:space="0" w:color="auto"/>
            <w:bottom w:val="none" w:sz="0" w:space="0" w:color="auto"/>
            <w:right w:val="none" w:sz="0" w:space="0" w:color="auto"/>
          </w:divBdr>
        </w:div>
        <w:div w:id="624889594">
          <w:marLeft w:val="0"/>
          <w:marRight w:val="0"/>
          <w:marTop w:val="0"/>
          <w:marBottom w:val="0"/>
          <w:divBdr>
            <w:top w:val="none" w:sz="0" w:space="0" w:color="auto"/>
            <w:left w:val="none" w:sz="0" w:space="0" w:color="auto"/>
            <w:bottom w:val="none" w:sz="0" w:space="0" w:color="auto"/>
            <w:right w:val="none" w:sz="0" w:space="0" w:color="auto"/>
          </w:divBdr>
        </w:div>
        <w:div w:id="638148474">
          <w:marLeft w:val="0"/>
          <w:marRight w:val="0"/>
          <w:marTop w:val="0"/>
          <w:marBottom w:val="0"/>
          <w:divBdr>
            <w:top w:val="none" w:sz="0" w:space="0" w:color="auto"/>
            <w:left w:val="none" w:sz="0" w:space="0" w:color="auto"/>
            <w:bottom w:val="none" w:sz="0" w:space="0" w:color="auto"/>
            <w:right w:val="none" w:sz="0" w:space="0" w:color="auto"/>
          </w:divBdr>
        </w:div>
        <w:div w:id="661933969">
          <w:marLeft w:val="0"/>
          <w:marRight w:val="0"/>
          <w:marTop w:val="0"/>
          <w:marBottom w:val="0"/>
          <w:divBdr>
            <w:top w:val="none" w:sz="0" w:space="0" w:color="auto"/>
            <w:left w:val="none" w:sz="0" w:space="0" w:color="auto"/>
            <w:bottom w:val="none" w:sz="0" w:space="0" w:color="auto"/>
            <w:right w:val="none" w:sz="0" w:space="0" w:color="auto"/>
          </w:divBdr>
        </w:div>
        <w:div w:id="710152882">
          <w:marLeft w:val="0"/>
          <w:marRight w:val="0"/>
          <w:marTop w:val="0"/>
          <w:marBottom w:val="0"/>
          <w:divBdr>
            <w:top w:val="none" w:sz="0" w:space="0" w:color="auto"/>
            <w:left w:val="none" w:sz="0" w:space="0" w:color="auto"/>
            <w:bottom w:val="none" w:sz="0" w:space="0" w:color="auto"/>
            <w:right w:val="none" w:sz="0" w:space="0" w:color="auto"/>
          </w:divBdr>
        </w:div>
        <w:div w:id="747114583">
          <w:marLeft w:val="0"/>
          <w:marRight w:val="0"/>
          <w:marTop w:val="0"/>
          <w:marBottom w:val="0"/>
          <w:divBdr>
            <w:top w:val="none" w:sz="0" w:space="0" w:color="auto"/>
            <w:left w:val="none" w:sz="0" w:space="0" w:color="auto"/>
            <w:bottom w:val="none" w:sz="0" w:space="0" w:color="auto"/>
            <w:right w:val="none" w:sz="0" w:space="0" w:color="auto"/>
          </w:divBdr>
        </w:div>
        <w:div w:id="789783834">
          <w:marLeft w:val="0"/>
          <w:marRight w:val="0"/>
          <w:marTop w:val="0"/>
          <w:marBottom w:val="0"/>
          <w:divBdr>
            <w:top w:val="none" w:sz="0" w:space="0" w:color="auto"/>
            <w:left w:val="none" w:sz="0" w:space="0" w:color="auto"/>
            <w:bottom w:val="none" w:sz="0" w:space="0" w:color="auto"/>
            <w:right w:val="none" w:sz="0" w:space="0" w:color="auto"/>
          </w:divBdr>
        </w:div>
        <w:div w:id="799111227">
          <w:marLeft w:val="0"/>
          <w:marRight w:val="0"/>
          <w:marTop w:val="0"/>
          <w:marBottom w:val="0"/>
          <w:divBdr>
            <w:top w:val="none" w:sz="0" w:space="0" w:color="auto"/>
            <w:left w:val="none" w:sz="0" w:space="0" w:color="auto"/>
            <w:bottom w:val="none" w:sz="0" w:space="0" w:color="auto"/>
            <w:right w:val="none" w:sz="0" w:space="0" w:color="auto"/>
          </w:divBdr>
        </w:div>
        <w:div w:id="823547511">
          <w:marLeft w:val="0"/>
          <w:marRight w:val="0"/>
          <w:marTop w:val="0"/>
          <w:marBottom w:val="0"/>
          <w:divBdr>
            <w:top w:val="none" w:sz="0" w:space="0" w:color="auto"/>
            <w:left w:val="none" w:sz="0" w:space="0" w:color="auto"/>
            <w:bottom w:val="none" w:sz="0" w:space="0" w:color="auto"/>
            <w:right w:val="none" w:sz="0" w:space="0" w:color="auto"/>
          </w:divBdr>
        </w:div>
        <w:div w:id="826359035">
          <w:marLeft w:val="0"/>
          <w:marRight w:val="0"/>
          <w:marTop w:val="0"/>
          <w:marBottom w:val="0"/>
          <w:divBdr>
            <w:top w:val="none" w:sz="0" w:space="0" w:color="auto"/>
            <w:left w:val="none" w:sz="0" w:space="0" w:color="auto"/>
            <w:bottom w:val="none" w:sz="0" w:space="0" w:color="auto"/>
            <w:right w:val="none" w:sz="0" w:space="0" w:color="auto"/>
          </w:divBdr>
        </w:div>
        <w:div w:id="914242641">
          <w:marLeft w:val="0"/>
          <w:marRight w:val="0"/>
          <w:marTop w:val="0"/>
          <w:marBottom w:val="0"/>
          <w:divBdr>
            <w:top w:val="none" w:sz="0" w:space="0" w:color="auto"/>
            <w:left w:val="none" w:sz="0" w:space="0" w:color="auto"/>
            <w:bottom w:val="none" w:sz="0" w:space="0" w:color="auto"/>
            <w:right w:val="none" w:sz="0" w:space="0" w:color="auto"/>
          </w:divBdr>
        </w:div>
        <w:div w:id="963121637">
          <w:marLeft w:val="0"/>
          <w:marRight w:val="0"/>
          <w:marTop w:val="0"/>
          <w:marBottom w:val="0"/>
          <w:divBdr>
            <w:top w:val="none" w:sz="0" w:space="0" w:color="auto"/>
            <w:left w:val="none" w:sz="0" w:space="0" w:color="auto"/>
            <w:bottom w:val="none" w:sz="0" w:space="0" w:color="auto"/>
            <w:right w:val="none" w:sz="0" w:space="0" w:color="auto"/>
          </w:divBdr>
        </w:div>
        <w:div w:id="966665074">
          <w:marLeft w:val="0"/>
          <w:marRight w:val="0"/>
          <w:marTop w:val="0"/>
          <w:marBottom w:val="0"/>
          <w:divBdr>
            <w:top w:val="none" w:sz="0" w:space="0" w:color="auto"/>
            <w:left w:val="none" w:sz="0" w:space="0" w:color="auto"/>
            <w:bottom w:val="none" w:sz="0" w:space="0" w:color="auto"/>
            <w:right w:val="none" w:sz="0" w:space="0" w:color="auto"/>
          </w:divBdr>
        </w:div>
        <w:div w:id="993290891">
          <w:marLeft w:val="0"/>
          <w:marRight w:val="0"/>
          <w:marTop w:val="0"/>
          <w:marBottom w:val="0"/>
          <w:divBdr>
            <w:top w:val="none" w:sz="0" w:space="0" w:color="auto"/>
            <w:left w:val="none" w:sz="0" w:space="0" w:color="auto"/>
            <w:bottom w:val="none" w:sz="0" w:space="0" w:color="auto"/>
            <w:right w:val="none" w:sz="0" w:space="0" w:color="auto"/>
          </w:divBdr>
        </w:div>
        <w:div w:id="1011302397">
          <w:marLeft w:val="0"/>
          <w:marRight w:val="0"/>
          <w:marTop w:val="0"/>
          <w:marBottom w:val="0"/>
          <w:divBdr>
            <w:top w:val="none" w:sz="0" w:space="0" w:color="auto"/>
            <w:left w:val="none" w:sz="0" w:space="0" w:color="auto"/>
            <w:bottom w:val="none" w:sz="0" w:space="0" w:color="auto"/>
            <w:right w:val="none" w:sz="0" w:space="0" w:color="auto"/>
          </w:divBdr>
        </w:div>
        <w:div w:id="1030647883">
          <w:marLeft w:val="0"/>
          <w:marRight w:val="0"/>
          <w:marTop w:val="0"/>
          <w:marBottom w:val="0"/>
          <w:divBdr>
            <w:top w:val="none" w:sz="0" w:space="0" w:color="auto"/>
            <w:left w:val="none" w:sz="0" w:space="0" w:color="auto"/>
            <w:bottom w:val="none" w:sz="0" w:space="0" w:color="auto"/>
            <w:right w:val="none" w:sz="0" w:space="0" w:color="auto"/>
          </w:divBdr>
        </w:div>
        <w:div w:id="1057969650">
          <w:marLeft w:val="0"/>
          <w:marRight w:val="0"/>
          <w:marTop w:val="0"/>
          <w:marBottom w:val="0"/>
          <w:divBdr>
            <w:top w:val="none" w:sz="0" w:space="0" w:color="auto"/>
            <w:left w:val="none" w:sz="0" w:space="0" w:color="auto"/>
            <w:bottom w:val="none" w:sz="0" w:space="0" w:color="auto"/>
            <w:right w:val="none" w:sz="0" w:space="0" w:color="auto"/>
          </w:divBdr>
        </w:div>
        <w:div w:id="1064641369">
          <w:marLeft w:val="0"/>
          <w:marRight w:val="0"/>
          <w:marTop w:val="0"/>
          <w:marBottom w:val="0"/>
          <w:divBdr>
            <w:top w:val="none" w:sz="0" w:space="0" w:color="auto"/>
            <w:left w:val="none" w:sz="0" w:space="0" w:color="auto"/>
            <w:bottom w:val="none" w:sz="0" w:space="0" w:color="auto"/>
            <w:right w:val="none" w:sz="0" w:space="0" w:color="auto"/>
          </w:divBdr>
        </w:div>
        <w:div w:id="1078477858">
          <w:marLeft w:val="0"/>
          <w:marRight w:val="0"/>
          <w:marTop w:val="0"/>
          <w:marBottom w:val="0"/>
          <w:divBdr>
            <w:top w:val="none" w:sz="0" w:space="0" w:color="auto"/>
            <w:left w:val="none" w:sz="0" w:space="0" w:color="auto"/>
            <w:bottom w:val="none" w:sz="0" w:space="0" w:color="auto"/>
            <w:right w:val="none" w:sz="0" w:space="0" w:color="auto"/>
          </w:divBdr>
        </w:div>
        <w:div w:id="1081215156">
          <w:marLeft w:val="0"/>
          <w:marRight w:val="0"/>
          <w:marTop w:val="0"/>
          <w:marBottom w:val="0"/>
          <w:divBdr>
            <w:top w:val="none" w:sz="0" w:space="0" w:color="auto"/>
            <w:left w:val="none" w:sz="0" w:space="0" w:color="auto"/>
            <w:bottom w:val="none" w:sz="0" w:space="0" w:color="auto"/>
            <w:right w:val="none" w:sz="0" w:space="0" w:color="auto"/>
          </w:divBdr>
        </w:div>
        <w:div w:id="1103845489">
          <w:marLeft w:val="0"/>
          <w:marRight w:val="0"/>
          <w:marTop w:val="0"/>
          <w:marBottom w:val="0"/>
          <w:divBdr>
            <w:top w:val="none" w:sz="0" w:space="0" w:color="auto"/>
            <w:left w:val="none" w:sz="0" w:space="0" w:color="auto"/>
            <w:bottom w:val="none" w:sz="0" w:space="0" w:color="auto"/>
            <w:right w:val="none" w:sz="0" w:space="0" w:color="auto"/>
          </w:divBdr>
        </w:div>
        <w:div w:id="1137332855">
          <w:marLeft w:val="0"/>
          <w:marRight w:val="0"/>
          <w:marTop w:val="0"/>
          <w:marBottom w:val="0"/>
          <w:divBdr>
            <w:top w:val="none" w:sz="0" w:space="0" w:color="auto"/>
            <w:left w:val="none" w:sz="0" w:space="0" w:color="auto"/>
            <w:bottom w:val="none" w:sz="0" w:space="0" w:color="auto"/>
            <w:right w:val="none" w:sz="0" w:space="0" w:color="auto"/>
          </w:divBdr>
        </w:div>
        <w:div w:id="1162162606">
          <w:marLeft w:val="0"/>
          <w:marRight w:val="0"/>
          <w:marTop w:val="0"/>
          <w:marBottom w:val="0"/>
          <w:divBdr>
            <w:top w:val="none" w:sz="0" w:space="0" w:color="auto"/>
            <w:left w:val="none" w:sz="0" w:space="0" w:color="auto"/>
            <w:bottom w:val="none" w:sz="0" w:space="0" w:color="auto"/>
            <w:right w:val="none" w:sz="0" w:space="0" w:color="auto"/>
          </w:divBdr>
        </w:div>
        <w:div w:id="1226375821">
          <w:marLeft w:val="0"/>
          <w:marRight w:val="0"/>
          <w:marTop w:val="0"/>
          <w:marBottom w:val="0"/>
          <w:divBdr>
            <w:top w:val="none" w:sz="0" w:space="0" w:color="auto"/>
            <w:left w:val="none" w:sz="0" w:space="0" w:color="auto"/>
            <w:bottom w:val="none" w:sz="0" w:space="0" w:color="auto"/>
            <w:right w:val="none" w:sz="0" w:space="0" w:color="auto"/>
          </w:divBdr>
        </w:div>
        <w:div w:id="1237938893">
          <w:marLeft w:val="0"/>
          <w:marRight w:val="0"/>
          <w:marTop w:val="0"/>
          <w:marBottom w:val="0"/>
          <w:divBdr>
            <w:top w:val="none" w:sz="0" w:space="0" w:color="auto"/>
            <w:left w:val="none" w:sz="0" w:space="0" w:color="auto"/>
            <w:bottom w:val="none" w:sz="0" w:space="0" w:color="auto"/>
            <w:right w:val="none" w:sz="0" w:space="0" w:color="auto"/>
          </w:divBdr>
        </w:div>
        <w:div w:id="1248340902">
          <w:marLeft w:val="0"/>
          <w:marRight w:val="0"/>
          <w:marTop w:val="0"/>
          <w:marBottom w:val="0"/>
          <w:divBdr>
            <w:top w:val="none" w:sz="0" w:space="0" w:color="auto"/>
            <w:left w:val="none" w:sz="0" w:space="0" w:color="auto"/>
            <w:bottom w:val="none" w:sz="0" w:space="0" w:color="auto"/>
            <w:right w:val="none" w:sz="0" w:space="0" w:color="auto"/>
          </w:divBdr>
        </w:div>
        <w:div w:id="1357317422">
          <w:marLeft w:val="0"/>
          <w:marRight w:val="0"/>
          <w:marTop w:val="0"/>
          <w:marBottom w:val="0"/>
          <w:divBdr>
            <w:top w:val="none" w:sz="0" w:space="0" w:color="auto"/>
            <w:left w:val="none" w:sz="0" w:space="0" w:color="auto"/>
            <w:bottom w:val="none" w:sz="0" w:space="0" w:color="auto"/>
            <w:right w:val="none" w:sz="0" w:space="0" w:color="auto"/>
          </w:divBdr>
        </w:div>
        <w:div w:id="1392734263">
          <w:marLeft w:val="0"/>
          <w:marRight w:val="0"/>
          <w:marTop w:val="0"/>
          <w:marBottom w:val="0"/>
          <w:divBdr>
            <w:top w:val="none" w:sz="0" w:space="0" w:color="auto"/>
            <w:left w:val="none" w:sz="0" w:space="0" w:color="auto"/>
            <w:bottom w:val="none" w:sz="0" w:space="0" w:color="auto"/>
            <w:right w:val="none" w:sz="0" w:space="0" w:color="auto"/>
          </w:divBdr>
        </w:div>
        <w:div w:id="1465545542">
          <w:marLeft w:val="0"/>
          <w:marRight w:val="0"/>
          <w:marTop w:val="0"/>
          <w:marBottom w:val="0"/>
          <w:divBdr>
            <w:top w:val="none" w:sz="0" w:space="0" w:color="auto"/>
            <w:left w:val="none" w:sz="0" w:space="0" w:color="auto"/>
            <w:bottom w:val="none" w:sz="0" w:space="0" w:color="auto"/>
            <w:right w:val="none" w:sz="0" w:space="0" w:color="auto"/>
          </w:divBdr>
        </w:div>
        <w:div w:id="1495225147">
          <w:marLeft w:val="0"/>
          <w:marRight w:val="0"/>
          <w:marTop w:val="0"/>
          <w:marBottom w:val="0"/>
          <w:divBdr>
            <w:top w:val="none" w:sz="0" w:space="0" w:color="auto"/>
            <w:left w:val="none" w:sz="0" w:space="0" w:color="auto"/>
            <w:bottom w:val="none" w:sz="0" w:space="0" w:color="auto"/>
            <w:right w:val="none" w:sz="0" w:space="0" w:color="auto"/>
          </w:divBdr>
        </w:div>
        <w:div w:id="1511144378">
          <w:marLeft w:val="0"/>
          <w:marRight w:val="0"/>
          <w:marTop w:val="0"/>
          <w:marBottom w:val="0"/>
          <w:divBdr>
            <w:top w:val="none" w:sz="0" w:space="0" w:color="auto"/>
            <w:left w:val="none" w:sz="0" w:space="0" w:color="auto"/>
            <w:bottom w:val="none" w:sz="0" w:space="0" w:color="auto"/>
            <w:right w:val="none" w:sz="0" w:space="0" w:color="auto"/>
          </w:divBdr>
        </w:div>
        <w:div w:id="1512793624">
          <w:marLeft w:val="0"/>
          <w:marRight w:val="0"/>
          <w:marTop w:val="0"/>
          <w:marBottom w:val="0"/>
          <w:divBdr>
            <w:top w:val="none" w:sz="0" w:space="0" w:color="auto"/>
            <w:left w:val="none" w:sz="0" w:space="0" w:color="auto"/>
            <w:bottom w:val="none" w:sz="0" w:space="0" w:color="auto"/>
            <w:right w:val="none" w:sz="0" w:space="0" w:color="auto"/>
          </w:divBdr>
        </w:div>
        <w:div w:id="1520392386">
          <w:marLeft w:val="0"/>
          <w:marRight w:val="0"/>
          <w:marTop w:val="0"/>
          <w:marBottom w:val="0"/>
          <w:divBdr>
            <w:top w:val="none" w:sz="0" w:space="0" w:color="auto"/>
            <w:left w:val="none" w:sz="0" w:space="0" w:color="auto"/>
            <w:bottom w:val="none" w:sz="0" w:space="0" w:color="auto"/>
            <w:right w:val="none" w:sz="0" w:space="0" w:color="auto"/>
          </w:divBdr>
        </w:div>
        <w:div w:id="1563636588">
          <w:marLeft w:val="0"/>
          <w:marRight w:val="0"/>
          <w:marTop w:val="0"/>
          <w:marBottom w:val="0"/>
          <w:divBdr>
            <w:top w:val="none" w:sz="0" w:space="0" w:color="auto"/>
            <w:left w:val="none" w:sz="0" w:space="0" w:color="auto"/>
            <w:bottom w:val="none" w:sz="0" w:space="0" w:color="auto"/>
            <w:right w:val="none" w:sz="0" w:space="0" w:color="auto"/>
          </w:divBdr>
        </w:div>
        <w:div w:id="1579898459">
          <w:marLeft w:val="0"/>
          <w:marRight w:val="0"/>
          <w:marTop w:val="0"/>
          <w:marBottom w:val="0"/>
          <w:divBdr>
            <w:top w:val="none" w:sz="0" w:space="0" w:color="auto"/>
            <w:left w:val="none" w:sz="0" w:space="0" w:color="auto"/>
            <w:bottom w:val="none" w:sz="0" w:space="0" w:color="auto"/>
            <w:right w:val="none" w:sz="0" w:space="0" w:color="auto"/>
          </w:divBdr>
        </w:div>
        <w:div w:id="1586378047">
          <w:marLeft w:val="0"/>
          <w:marRight w:val="0"/>
          <w:marTop w:val="0"/>
          <w:marBottom w:val="0"/>
          <w:divBdr>
            <w:top w:val="none" w:sz="0" w:space="0" w:color="auto"/>
            <w:left w:val="none" w:sz="0" w:space="0" w:color="auto"/>
            <w:bottom w:val="none" w:sz="0" w:space="0" w:color="auto"/>
            <w:right w:val="none" w:sz="0" w:space="0" w:color="auto"/>
          </w:divBdr>
        </w:div>
        <w:div w:id="1595430015">
          <w:marLeft w:val="0"/>
          <w:marRight w:val="0"/>
          <w:marTop w:val="0"/>
          <w:marBottom w:val="0"/>
          <w:divBdr>
            <w:top w:val="none" w:sz="0" w:space="0" w:color="auto"/>
            <w:left w:val="none" w:sz="0" w:space="0" w:color="auto"/>
            <w:bottom w:val="none" w:sz="0" w:space="0" w:color="auto"/>
            <w:right w:val="none" w:sz="0" w:space="0" w:color="auto"/>
          </w:divBdr>
        </w:div>
        <w:div w:id="1616598136">
          <w:marLeft w:val="0"/>
          <w:marRight w:val="0"/>
          <w:marTop w:val="0"/>
          <w:marBottom w:val="0"/>
          <w:divBdr>
            <w:top w:val="none" w:sz="0" w:space="0" w:color="auto"/>
            <w:left w:val="none" w:sz="0" w:space="0" w:color="auto"/>
            <w:bottom w:val="none" w:sz="0" w:space="0" w:color="auto"/>
            <w:right w:val="none" w:sz="0" w:space="0" w:color="auto"/>
          </w:divBdr>
        </w:div>
        <w:div w:id="1620918439">
          <w:marLeft w:val="0"/>
          <w:marRight w:val="0"/>
          <w:marTop w:val="0"/>
          <w:marBottom w:val="0"/>
          <w:divBdr>
            <w:top w:val="none" w:sz="0" w:space="0" w:color="auto"/>
            <w:left w:val="none" w:sz="0" w:space="0" w:color="auto"/>
            <w:bottom w:val="none" w:sz="0" w:space="0" w:color="auto"/>
            <w:right w:val="none" w:sz="0" w:space="0" w:color="auto"/>
          </w:divBdr>
        </w:div>
        <w:div w:id="1631671947">
          <w:marLeft w:val="0"/>
          <w:marRight w:val="0"/>
          <w:marTop w:val="0"/>
          <w:marBottom w:val="0"/>
          <w:divBdr>
            <w:top w:val="none" w:sz="0" w:space="0" w:color="auto"/>
            <w:left w:val="none" w:sz="0" w:space="0" w:color="auto"/>
            <w:bottom w:val="none" w:sz="0" w:space="0" w:color="auto"/>
            <w:right w:val="none" w:sz="0" w:space="0" w:color="auto"/>
          </w:divBdr>
        </w:div>
        <w:div w:id="1667054865">
          <w:marLeft w:val="0"/>
          <w:marRight w:val="0"/>
          <w:marTop w:val="0"/>
          <w:marBottom w:val="0"/>
          <w:divBdr>
            <w:top w:val="none" w:sz="0" w:space="0" w:color="auto"/>
            <w:left w:val="none" w:sz="0" w:space="0" w:color="auto"/>
            <w:bottom w:val="none" w:sz="0" w:space="0" w:color="auto"/>
            <w:right w:val="none" w:sz="0" w:space="0" w:color="auto"/>
          </w:divBdr>
        </w:div>
        <w:div w:id="1669746879">
          <w:marLeft w:val="0"/>
          <w:marRight w:val="0"/>
          <w:marTop w:val="0"/>
          <w:marBottom w:val="0"/>
          <w:divBdr>
            <w:top w:val="none" w:sz="0" w:space="0" w:color="auto"/>
            <w:left w:val="none" w:sz="0" w:space="0" w:color="auto"/>
            <w:bottom w:val="none" w:sz="0" w:space="0" w:color="auto"/>
            <w:right w:val="none" w:sz="0" w:space="0" w:color="auto"/>
          </w:divBdr>
        </w:div>
        <w:div w:id="1704280256">
          <w:marLeft w:val="0"/>
          <w:marRight w:val="0"/>
          <w:marTop w:val="0"/>
          <w:marBottom w:val="0"/>
          <w:divBdr>
            <w:top w:val="none" w:sz="0" w:space="0" w:color="auto"/>
            <w:left w:val="none" w:sz="0" w:space="0" w:color="auto"/>
            <w:bottom w:val="none" w:sz="0" w:space="0" w:color="auto"/>
            <w:right w:val="none" w:sz="0" w:space="0" w:color="auto"/>
          </w:divBdr>
        </w:div>
        <w:div w:id="1849177534">
          <w:marLeft w:val="0"/>
          <w:marRight w:val="0"/>
          <w:marTop w:val="0"/>
          <w:marBottom w:val="0"/>
          <w:divBdr>
            <w:top w:val="none" w:sz="0" w:space="0" w:color="auto"/>
            <w:left w:val="none" w:sz="0" w:space="0" w:color="auto"/>
            <w:bottom w:val="none" w:sz="0" w:space="0" w:color="auto"/>
            <w:right w:val="none" w:sz="0" w:space="0" w:color="auto"/>
          </w:divBdr>
        </w:div>
        <w:div w:id="1921715306">
          <w:marLeft w:val="0"/>
          <w:marRight w:val="0"/>
          <w:marTop w:val="0"/>
          <w:marBottom w:val="0"/>
          <w:divBdr>
            <w:top w:val="none" w:sz="0" w:space="0" w:color="auto"/>
            <w:left w:val="none" w:sz="0" w:space="0" w:color="auto"/>
            <w:bottom w:val="none" w:sz="0" w:space="0" w:color="auto"/>
            <w:right w:val="none" w:sz="0" w:space="0" w:color="auto"/>
          </w:divBdr>
        </w:div>
        <w:div w:id="1925261159">
          <w:marLeft w:val="0"/>
          <w:marRight w:val="0"/>
          <w:marTop w:val="0"/>
          <w:marBottom w:val="0"/>
          <w:divBdr>
            <w:top w:val="none" w:sz="0" w:space="0" w:color="auto"/>
            <w:left w:val="none" w:sz="0" w:space="0" w:color="auto"/>
            <w:bottom w:val="none" w:sz="0" w:space="0" w:color="auto"/>
            <w:right w:val="none" w:sz="0" w:space="0" w:color="auto"/>
          </w:divBdr>
        </w:div>
        <w:div w:id="1943830116">
          <w:marLeft w:val="0"/>
          <w:marRight w:val="0"/>
          <w:marTop w:val="0"/>
          <w:marBottom w:val="0"/>
          <w:divBdr>
            <w:top w:val="none" w:sz="0" w:space="0" w:color="auto"/>
            <w:left w:val="none" w:sz="0" w:space="0" w:color="auto"/>
            <w:bottom w:val="none" w:sz="0" w:space="0" w:color="auto"/>
            <w:right w:val="none" w:sz="0" w:space="0" w:color="auto"/>
          </w:divBdr>
        </w:div>
        <w:div w:id="1991785772">
          <w:marLeft w:val="0"/>
          <w:marRight w:val="0"/>
          <w:marTop w:val="0"/>
          <w:marBottom w:val="0"/>
          <w:divBdr>
            <w:top w:val="none" w:sz="0" w:space="0" w:color="auto"/>
            <w:left w:val="none" w:sz="0" w:space="0" w:color="auto"/>
            <w:bottom w:val="none" w:sz="0" w:space="0" w:color="auto"/>
            <w:right w:val="none" w:sz="0" w:space="0" w:color="auto"/>
          </w:divBdr>
        </w:div>
        <w:div w:id="2001495040">
          <w:marLeft w:val="0"/>
          <w:marRight w:val="0"/>
          <w:marTop w:val="0"/>
          <w:marBottom w:val="0"/>
          <w:divBdr>
            <w:top w:val="none" w:sz="0" w:space="0" w:color="auto"/>
            <w:left w:val="none" w:sz="0" w:space="0" w:color="auto"/>
            <w:bottom w:val="none" w:sz="0" w:space="0" w:color="auto"/>
            <w:right w:val="none" w:sz="0" w:space="0" w:color="auto"/>
          </w:divBdr>
        </w:div>
        <w:div w:id="2064137899">
          <w:marLeft w:val="0"/>
          <w:marRight w:val="0"/>
          <w:marTop w:val="0"/>
          <w:marBottom w:val="0"/>
          <w:divBdr>
            <w:top w:val="none" w:sz="0" w:space="0" w:color="auto"/>
            <w:left w:val="none" w:sz="0" w:space="0" w:color="auto"/>
            <w:bottom w:val="none" w:sz="0" w:space="0" w:color="auto"/>
            <w:right w:val="none" w:sz="0" w:space="0" w:color="auto"/>
          </w:divBdr>
        </w:div>
        <w:div w:id="2098862269">
          <w:marLeft w:val="0"/>
          <w:marRight w:val="0"/>
          <w:marTop w:val="0"/>
          <w:marBottom w:val="0"/>
          <w:divBdr>
            <w:top w:val="none" w:sz="0" w:space="0" w:color="auto"/>
            <w:left w:val="none" w:sz="0" w:space="0" w:color="auto"/>
            <w:bottom w:val="none" w:sz="0" w:space="0" w:color="auto"/>
            <w:right w:val="none" w:sz="0" w:space="0" w:color="auto"/>
          </w:divBdr>
        </w:div>
      </w:divsChild>
    </w:div>
    <w:div w:id="382409653">
      <w:bodyDiv w:val="1"/>
      <w:marLeft w:val="0"/>
      <w:marRight w:val="0"/>
      <w:marTop w:val="0"/>
      <w:marBottom w:val="0"/>
      <w:divBdr>
        <w:top w:val="none" w:sz="0" w:space="0" w:color="auto"/>
        <w:left w:val="none" w:sz="0" w:space="0" w:color="auto"/>
        <w:bottom w:val="none" w:sz="0" w:space="0" w:color="auto"/>
        <w:right w:val="none" w:sz="0" w:space="0" w:color="auto"/>
      </w:divBdr>
      <w:divsChild>
        <w:div w:id="1994942014">
          <w:marLeft w:val="0"/>
          <w:marRight w:val="0"/>
          <w:marTop w:val="0"/>
          <w:marBottom w:val="0"/>
          <w:divBdr>
            <w:top w:val="none" w:sz="0" w:space="0" w:color="auto"/>
            <w:left w:val="none" w:sz="0" w:space="0" w:color="auto"/>
            <w:bottom w:val="none" w:sz="0" w:space="0" w:color="auto"/>
            <w:right w:val="none" w:sz="0" w:space="0" w:color="auto"/>
          </w:divBdr>
        </w:div>
        <w:div w:id="45877583">
          <w:marLeft w:val="0"/>
          <w:marRight w:val="0"/>
          <w:marTop w:val="0"/>
          <w:marBottom w:val="0"/>
          <w:divBdr>
            <w:top w:val="none" w:sz="0" w:space="0" w:color="auto"/>
            <w:left w:val="none" w:sz="0" w:space="0" w:color="auto"/>
            <w:bottom w:val="none" w:sz="0" w:space="0" w:color="auto"/>
            <w:right w:val="none" w:sz="0" w:space="0" w:color="auto"/>
          </w:divBdr>
        </w:div>
      </w:divsChild>
    </w:div>
    <w:div w:id="384183450">
      <w:bodyDiv w:val="1"/>
      <w:marLeft w:val="0"/>
      <w:marRight w:val="0"/>
      <w:marTop w:val="0"/>
      <w:marBottom w:val="0"/>
      <w:divBdr>
        <w:top w:val="none" w:sz="0" w:space="0" w:color="auto"/>
        <w:left w:val="none" w:sz="0" w:space="0" w:color="auto"/>
        <w:bottom w:val="none" w:sz="0" w:space="0" w:color="auto"/>
        <w:right w:val="none" w:sz="0" w:space="0" w:color="auto"/>
      </w:divBdr>
      <w:divsChild>
        <w:div w:id="280117796">
          <w:marLeft w:val="0"/>
          <w:marRight w:val="0"/>
          <w:marTop w:val="0"/>
          <w:marBottom w:val="0"/>
          <w:divBdr>
            <w:top w:val="none" w:sz="0" w:space="0" w:color="auto"/>
            <w:left w:val="none" w:sz="0" w:space="0" w:color="auto"/>
            <w:bottom w:val="none" w:sz="0" w:space="0" w:color="auto"/>
            <w:right w:val="none" w:sz="0" w:space="0" w:color="auto"/>
          </w:divBdr>
        </w:div>
        <w:div w:id="1762798332">
          <w:marLeft w:val="0"/>
          <w:marRight w:val="0"/>
          <w:marTop w:val="0"/>
          <w:marBottom w:val="0"/>
          <w:divBdr>
            <w:top w:val="none" w:sz="0" w:space="0" w:color="auto"/>
            <w:left w:val="none" w:sz="0" w:space="0" w:color="auto"/>
            <w:bottom w:val="none" w:sz="0" w:space="0" w:color="auto"/>
            <w:right w:val="none" w:sz="0" w:space="0" w:color="auto"/>
          </w:divBdr>
        </w:div>
      </w:divsChild>
    </w:div>
    <w:div w:id="390083540">
      <w:bodyDiv w:val="1"/>
      <w:marLeft w:val="0"/>
      <w:marRight w:val="0"/>
      <w:marTop w:val="0"/>
      <w:marBottom w:val="0"/>
      <w:divBdr>
        <w:top w:val="none" w:sz="0" w:space="0" w:color="auto"/>
        <w:left w:val="none" w:sz="0" w:space="0" w:color="auto"/>
        <w:bottom w:val="none" w:sz="0" w:space="0" w:color="auto"/>
        <w:right w:val="none" w:sz="0" w:space="0" w:color="auto"/>
      </w:divBdr>
      <w:divsChild>
        <w:div w:id="47723775">
          <w:marLeft w:val="0"/>
          <w:marRight w:val="0"/>
          <w:marTop w:val="0"/>
          <w:marBottom w:val="0"/>
          <w:divBdr>
            <w:top w:val="none" w:sz="0" w:space="0" w:color="auto"/>
            <w:left w:val="none" w:sz="0" w:space="0" w:color="auto"/>
            <w:bottom w:val="none" w:sz="0" w:space="0" w:color="auto"/>
            <w:right w:val="none" w:sz="0" w:space="0" w:color="auto"/>
          </w:divBdr>
        </w:div>
        <w:div w:id="146946398">
          <w:marLeft w:val="0"/>
          <w:marRight w:val="0"/>
          <w:marTop w:val="0"/>
          <w:marBottom w:val="0"/>
          <w:divBdr>
            <w:top w:val="none" w:sz="0" w:space="0" w:color="auto"/>
            <w:left w:val="none" w:sz="0" w:space="0" w:color="auto"/>
            <w:bottom w:val="none" w:sz="0" w:space="0" w:color="auto"/>
            <w:right w:val="none" w:sz="0" w:space="0" w:color="auto"/>
          </w:divBdr>
        </w:div>
        <w:div w:id="148980771">
          <w:marLeft w:val="0"/>
          <w:marRight w:val="0"/>
          <w:marTop w:val="0"/>
          <w:marBottom w:val="0"/>
          <w:divBdr>
            <w:top w:val="none" w:sz="0" w:space="0" w:color="auto"/>
            <w:left w:val="none" w:sz="0" w:space="0" w:color="auto"/>
            <w:bottom w:val="none" w:sz="0" w:space="0" w:color="auto"/>
            <w:right w:val="none" w:sz="0" w:space="0" w:color="auto"/>
          </w:divBdr>
        </w:div>
        <w:div w:id="151874709">
          <w:marLeft w:val="0"/>
          <w:marRight w:val="0"/>
          <w:marTop w:val="0"/>
          <w:marBottom w:val="0"/>
          <w:divBdr>
            <w:top w:val="none" w:sz="0" w:space="0" w:color="auto"/>
            <w:left w:val="none" w:sz="0" w:space="0" w:color="auto"/>
            <w:bottom w:val="none" w:sz="0" w:space="0" w:color="auto"/>
            <w:right w:val="none" w:sz="0" w:space="0" w:color="auto"/>
          </w:divBdr>
        </w:div>
        <w:div w:id="245114055">
          <w:marLeft w:val="0"/>
          <w:marRight w:val="0"/>
          <w:marTop w:val="0"/>
          <w:marBottom w:val="0"/>
          <w:divBdr>
            <w:top w:val="none" w:sz="0" w:space="0" w:color="auto"/>
            <w:left w:val="none" w:sz="0" w:space="0" w:color="auto"/>
            <w:bottom w:val="none" w:sz="0" w:space="0" w:color="auto"/>
            <w:right w:val="none" w:sz="0" w:space="0" w:color="auto"/>
          </w:divBdr>
        </w:div>
        <w:div w:id="265160378">
          <w:marLeft w:val="0"/>
          <w:marRight w:val="0"/>
          <w:marTop w:val="0"/>
          <w:marBottom w:val="0"/>
          <w:divBdr>
            <w:top w:val="none" w:sz="0" w:space="0" w:color="auto"/>
            <w:left w:val="none" w:sz="0" w:space="0" w:color="auto"/>
            <w:bottom w:val="none" w:sz="0" w:space="0" w:color="auto"/>
            <w:right w:val="none" w:sz="0" w:space="0" w:color="auto"/>
          </w:divBdr>
        </w:div>
        <w:div w:id="376469009">
          <w:marLeft w:val="0"/>
          <w:marRight w:val="0"/>
          <w:marTop w:val="0"/>
          <w:marBottom w:val="0"/>
          <w:divBdr>
            <w:top w:val="none" w:sz="0" w:space="0" w:color="auto"/>
            <w:left w:val="none" w:sz="0" w:space="0" w:color="auto"/>
            <w:bottom w:val="none" w:sz="0" w:space="0" w:color="auto"/>
            <w:right w:val="none" w:sz="0" w:space="0" w:color="auto"/>
          </w:divBdr>
        </w:div>
        <w:div w:id="398871779">
          <w:marLeft w:val="0"/>
          <w:marRight w:val="0"/>
          <w:marTop w:val="0"/>
          <w:marBottom w:val="0"/>
          <w:divBdr>
            <w:top w:val="none" w:sz="0" w:space="0" w:color="auto"/>
            <w:left w:val="none" w:sz="0" w:space="0" w:color="auto"/>
            <w:bottom w:val="none" w:sz="0" w:space="0" w:color="auto"/>
            <w:right w:val="none" w:sz="0" w:space="0" w:color="auto"/>
          </w:divBdr>
        </w:div>
        <w:div w:id="472259457">
          <w:marLeft w:val="0"/>
          <w:marRight w:val="0"/>
          <w:marTop w:val="0"/>
          <w:marBottom w:val="0"/>
          <w:divBdr>
            <w:top w:val="none" w:sz="0" w:space="0" w:color="auto"/>
            <w:left w:val="none" w:sz="0" w:space="0" w:color="auto"/>
            <w:bottom w:val="none" w:sz="0" w:space="0" w:color="auto"/>
            <w:right w:val="none" w:sz="0" w:space="0" w:color="auto"/>
          </w:divBdr>
        </w:div>
        <w:div w:id="568152403">
          <w:marLeft w:val="0"/>
          <w:marRight w:val="0"/>
          <w:marTop w:val="0"/>
          <w:marBottom w:val="0"/>
          <w:divBdr>
            <w:top w:val="none" w:sz="0" w:space="0" w:color="auto"/>
            <w:left w:val="none" w:sz="0" w:space="0" w:color="auto"/>
            <w:bottom w:val="none" w:sz="0" w:space="0" w:color="auto"/>
            <w:right w:val="none" w:sz="0" w:space="0" w:color="auto"/>
          </w:divBdr>
        </w:div>
        <w:div w:id="580598489">
          <w:marLeft w:val="0"/>
          <w:marRight w:val="0"/>
          <w:marTop w:val="0"/>
          <w:marBottom w:val="0"/>
          <w:divBdr>
            <w:top w:val="none" w:sz="0" w:space="0" w:color="auto"/>
            <w:left w:val="none" w:sz="0" w:space="0" w:color="auto"/>
            <w:bottom w:val="none" w:sz="0" w:space="0" w:color="auto"/>
            <w:right w:val="none" w:sz="0" w:space="0" w:color="auto"/>
          </w:divBdr>
        </w:div>
        <w:div w:id="646251768">
          <w:marLeft w:val="0"/>
          <w:marRight w:val="0"/>
          <w:marTop w:val="0"/>
          <w:marBottom w:val="0"/>
          <w:divBdr>
            <w:top w:val="none" w:sz="0" w:space="0" w:color="auto"/>
            <w:left w:val="none" w:sz="0" w:space="0" w:color="auto"/>
            <w:bottom w:val="none" w:sz="0" w:space="0" w:color="auto"/>
            <w:right w:val="none" w:sz="0" w:space="0" w:color="auto"/>
          </w:divBdr>
        </w:div>
        <w:div w:id="667516673">
          <w:marLeft w:val="0"/>
          <w:marRight w:val="0"/>
          <w:marTop w:val="0"/>
          <w:marBottom w:val="0"/>
          <w:divBdr>
            <w:top w:val="none" w:sz="0" w:space="0" w:color="auto"/>
            <w:left w:val="none" w:sz="0" w:space="0" w:color="auto"/>
            <w:bottom w:val="none" w:sz="0" w:space="0" w:color="auto"/>
            <w:right w:val="none" w:sz="0" w:space="0" w:color="auto"/>
          </w:divBdr>
        </w:div>
        <w:div w:id="677578121">
          <w:marLeft w:val="0"/>
          <w:marRight w:val="0"/>
          <w:marTop w:val="0"/>
          <w:marBottom w:val="0"/>
          <w:divBdr>
            <w:top w:val="none" w:sz="0" w:space="0" w:color="auto"/>
            <w:left w:val="none" w:sz="0" w:space="0" w:color="auto"/>
            <w:bottom w:val="none" w:sz="0" w:space="0" w:color="auto"/>
            <w:right w:val="none" w:sz="0" w:space="0" w:color="auto"/>
          </w:divBdr>
        </w:div>
        <w:div w:id="682128876">
          <w:marLeft w:val="0"/>
          <w:marRight w:val="0"/>
          <w:marTop w:val="0"/>
          <w:marBottom w:val="0"/>
          <w:divBdr>
            <w:top w:val="none" w:sz="0" w:space="0" w:color="auto"/>
            <w:left w:val="none" w:sz="0" w:space="0" w:color="auto"/>
            <w:bottom w:val="none" w:sz="0" w:space="0" w:color="auto"/>
            <w:right w:val="none" w:sz="0" w:space="0" w:color="auto"/>
          </w:divBdr>
        </w:div>
        <w:div w:id="852184934">
          <w:marLeft w:val="0"/>
          <w:marRight w:val="0"/>
          <w:marTop w:val="0"/>
          <w:marBottom w:val="0"/>
          <w:divBdr>
            <w:top w:val="none" w:sz="0" w:space="0" w:color="auto"/>
            <w:left w:val="none" w:sz="0" w:space="0" w:color="auto"/>
            <w:bottom w:val="none" w:sz="0" w:space="0" w:color="auto"/>
            <w:right w:val="none" w:sz="0" w:space="0" w:color="auto"/>
          </w:divBdr>
        </w:div>
        <w:div w:id="919753334">
          <w:marLeft w:val="0"/>
          <w:marRight w:val="0"/>
          <w:marTop w:val="0"/>
          <w:marBottom w:val="0"/>
          <w:divBdr>
            <w:top w:val="none" w:sz="0" w:space="0" w:color="auto"/>
            <w:left w:val="none" w:sz="0" w:space="0" w:color="auto"/>
            <w:bottom w:val="none" w:sz="0" w:space="0" w:color="auto"/>
            <w:right w:val="none" w:sz="0" w:space="0" w:color="auto"/>
          </w:divBdr>
        </w:div>
        <w:div w:id="972834612">
          <w:marLeft w:val="0"/>
          <w:marRight w:val="0"/>
          <w:marTop w:val="0"/>
          <w:marBottom w:val="0"/>
          <w:divBdr>
            <w:top w:val="none" w:sz="0" w:space="0" w:color="auto"/>
            <w:left w:val="none" w:sz="0" w:space="0" w:color="auto"/>
            <w:bottom w:val="none" w:sz="0" w:space="0" w:color="auto"/>
            <w:right w:val="none" w:sz="0" w:space="0" w:color="auto"/>
          </w:divBdr>
        </w:div>
        <w:div w:id="979462806">
          <w:marLeft w:val="0"/>
          <w:marRight w:val="0"/>
          <w:marTop w:val="0"/>
          <w:marBottom w:val="0"/>
          <w:divBdr>
            <w:top w:val="none" w:sz="0" w:space="0" w:color="auto"/>
            <w:left w:val="none" w:sz="0" w:space="0" w:color="auto"/>
            <w:bottom w:val="none" w:sz="0" w:space="0" w:color="auto"/>
            <w:right w:val="none" w:sz="0" w:space="0" w:color="auto"/>
          </w:divBdr>
        </w:div>
        <w:div w:id="1099519515">
          <w:marLeft w:val="0"/>
          <w:marRight w:val="0"/>
          <w:marTop w:val="0"/>
          <w:marBottom w:val="0"/>
          <w:divBdr>
            <w:top w:val="none" w:sz="0" w:space="0" w:color="auto"/>
            <w:left w:val="none" w:sz="0" w:space="0" w:color="auto"/>
            <w:bottom w:val="none" w:sz="0" w:space="0" w:color="auto"/>
            <w:right w:val="none" w:sz="0" w:space="0" w:color="auto"/>
          </w:divBdr>
        </w:div>
        <w:div w:id="1101146268">
          <w:marLeft w:val="0"/>
          <w:marRight w:val="0"/>
          <w:marTop w:val="0"/>
          <w:marBottom w:val="0"/>
          <w:divBdr>
            <w:top w:val="none" w:sz="0" w:space="0" w:color="auto"/>
            <w:left w:val="none" w:sz="0" w:space="0" w:color="auto"/>
            <w:bottom w:val="none" w:sz="0" w:space="0" w:color="auto"/>
            <w:right w:val="none" w:sz="0" w:space="0" w:color="auto"/>
          </w:divBdr>
        </w:div>
        <w:div w:id="1451053395">
          <w:marLeft w:val="0"/>
          <w:marRight w:val="0"/>
          <w:marTop w:val="0"/>
          <w:marBottom w:val="0"/>
          <w:divBdr>
            <w:top w:val="none" w:sz="0" w:space="0" w:color="auto"/>
            <w:left w:val="none" w:sz="0" w:space="0" w:color="auto"/>
            <w:bottom w:val="none" w:sz="0" w:space="0" w:color="auto"/>
            <w:right w:val="none" w:sz="0" w:space="0" w:color="auto"/>
          </w:divBdr>
        </w:div>
        <w:div w:id="1527137034">
          <w:marLeft w:val="0"/>
          <w:marRight w:val="0"/>
          <w:marTop w:val="0"/>
          <w:marBottom w:val="0"/>
          <w:divBdr>
            <w:top w:val="none" w:sz="0" w:space="0" w:color="auto"/>
            <w:left w:val="none" w:sz="0" w:space="0" w:color="auto"/>
            <w:bottom w:val="none" w:sz="0" w:space="0" w:color="auto"/>
            <w:right w:val="none" w:sz="0" w:space="0" w:color="auto"/>
          </w:divBdr>
        </w:div>
        <w:div w:id="1597060596">
          <w:marLeft w:val="0"/>
          <w:marRight w:val="0"/>
          <w:marTop w:val="0"/>
          <w:marBottom w:val="0"/>
          <w:divBdr>
            <w:top w:val="none" w:sz="0" w:space="0" w:color="auto"/>
            <w:left w:val="none" w:sz="0" w:space="0" w:color="auto"/>
            <w:bottom w:val="none" w:sz="0" w:space="0" w:color="auto"/>
            <w:right w:val="none" w:sz="0" w:space="0" w:color="auto"/>
          </w:divBdr>
        </w:div>
        <w:div w:id="1663852623">
          <w:marLeft w:val="0"/>
          <w:marRight w:val="0"/>
          <w:marTop w:val="0"/>
          <w:marBottom w:val="0"/>
          <w:divBdr>
            <w:top w:val="none" w:sz="0" w:space="0" w:color="auto"/>
            <w:left w:val="none" w:sz="0" w:space="0" w:color="auto"/>
            <w:bottom w:val="none" w:sz="0" w:space="0" w:color="auto"/>
            <w:right w:val="none" w:sz="0" w:space="0" w:color="auto"/>
          </w:divBdr>
        </w:div>
        <w:div w:id="1716659709">
          <w:marLeft w:val="0"/>
          <w:marRight w:val="0"/>
          <w:marTop w:val="0"/>
          <w:marBottom w:val="0"/>
          <w:divBdr>
            <w:top w:val="none" w:sz="0" w:space="0" w:color="auto"/>
            <w:left w:val="none" w:sz="0" w:space="0" w:color="auto"/>
            <w:bottom w:val="none" w:sz="0" w:space="0" w:color="auto"/>
            <w:right w:val="none" w:sz="0" w:space="0" w:color="auto"/>
          </w:divBdr>
        </w:div>
        <w:div w:id="1797987732">
          <w:marLeft w:val="0"/>
          <w:marRight w:val="0"/>
          <w:marTop w:val="0"/>
          <w:marBottom w:val="0"/>
          <w:divBdr>
            <w:top w:val="none" w:sz="0" w:space="0" w:color="auto"/>
            <w:left w:val="none" w:sz="0" w:space="0" w:color="auto"/>
            <w:bottom w:val="none" w:sz="0" w:space="0" w:color="auto"/>
            <w:right w:val="none" w:sz="0" w:space="0" w:color="auto"/>
          </w:divBdr>
        </w:div>
        <w:div w:id="1800877347">
          <w:marLeft w:val="0"/>
          <w:marRight w:val="0"/>
          <w:marTop w:val="0"/>
          <w:marBottom w:val="0"/>
          <w:divBdr>
            <w:top w:val="none" w:sz="0" w:space="0" w:color="auto"/>
            <w:left w:val="none" w:sz="0" w:space="0" w:color="auto"/>
            <w:bottom w:val="none" w:sz="0" w:space="0" w:color="auto"/>
            <w:right w:val="none" w:sz="0" w:space="0" w:color="auto"/>
          </w:divBdr>
        </w:div>
        <w:div w:id="1856916413">
          <w:marLeft w:val="0"/>
          <w:marRight w:val="0"/>
          <w:marTop w:val="0"/>
          <w:marBottom w:val="0"/>
          <w:divBdr>
            <w:top w:val="none" w:sz="0" w:space="0" w:color="auto"/>
            <w:left w:val="none" w:sz="0" w:space="0" w:color="auto"/>
            <w:bottom w:val="none" w:sz="0" w:space="0" w:color="auto"/>
            <w:right w:val="none" w:sz="0" w:space="0" w:color="auto"/>
          </w:divBdr>
        </w:div>
        <w:div w:id="1959876657">
          <w:marLeft w:val="0"/>
          <w:marRight w:val="0"/>
          <w:marTop w:val="0"/>
          <w:marBottom w:val="0"/>
          <w:divBdr>
            <w:top w:val="none" w:sz="0" w:space="0" w:color="auto"/>
            <w:left w:val="none" w:sz="0" w:space="0" w:color="auto"/>
            <w:bottom w:val="none" w:sz="0" w:space="0" w:color="auto"/>
            <w:right w:val="none" w:sz="0" w:space="0" w:color="auto"/>
          </w:divBdr>
        </w:div>
        <w:div w:id="1990091924">
          <w:marLeft w:val="0"/>
          <w:marRight w:val="0"/>
          <w:marTop w:val="0"/>
          <w:marBottom w:val="0"/>
          <w:divBdr>
            <w:top w:val="none" w:sz="0" w:space="0" w:color="auto"/>
            <w:left w:val="none" w:sz="0" w:space="0" w:color="auto"/>
            <w:bottom w:val="none" w:sz="0" w:space="0" w:color="auto"/>
            <w:right w:val="none" w:sz="0" w:space="0" w:color="auto"/>
          </w:divBdr>
        </w:div>
        <w:div w:id="2007006922">
          <w:marLeft w:val="0"/>
          <w:marRight w:val="0"/>
          <w:marTop w:val="0"/>
          <w:marBottom w:val="0"/>
          <w:divBdr>
            <w:top w:val="none" w:sz="0" w:space="0" w:color="auto"/>
            <w:left w:val="none" w:sz="0" w:space="0" w:color="auto"/>
            <w:bottom w:val="none" w:sz="0" w:space="0" w:color="auto"/>
            <w:right w:val="none" w:sz="0" w:space="0" w:color="auto"/>
          </w:divBdr>
        </w:div>
        <w:div w:id="2040860205">
          <w:marLeft w:val="0"/>
          <w:marRight w:val="0"/>
          <w:marTop w:val="0"/>
          <w:marBottom w:val="0"/>
          <w:divBdr>
            <w:top w:val="none" w:sz="0" w:space="0" w:color="auto"/>
            <w:left w:val="none" w:sz="0" w:space="0" w:color="auto"/>
            <w:bottom w:val="none" w:sz="0" w:space="0" w:color="auto"/>
            <w:right w:val="none" w:sz="0" w:space="0" w:color="auto"/>
          </w:divBdr>
        </w:div>
      </w:divsChild>
    </w:div>
    <w:div w:id="393740650">
      <w:bodyDiv w:val="1"/>
      <w:marLeft w:val="0"/>
      <w:marRight w:val="0"/>
      <w:marTop w:val="0"/>
      <w:marBottom w:val="0"/>
      <w:divBdr>
        <w:top w:val="none" w:sz="0" w:space="0" w:color="auto"/>
        <w:left w:val="none" w:sz="0" w:space="0" w:color="auto"/>
        <w:bottom w:val="none" w:sz="0" w:space="0" w:color="auto"/>
        <w:right w:val="none" w:sz="0" w:space="0" w:color="auto"/>
      </w:divBdr>
    </w:div>
    <w:div w:id="401611071">
      <w:bodyDiv w:val="1"/>
      <w:marLeft w:val="0"/>
      <w:marRight w:val="0"/>
      <w:marTop w:val="0"/>
      <w:marBottom w:val="0"/>
      <w:divBdr>
        <w:top w:val="none" w:sz="0" w:space="0" w:color="auto"/>
        <w:left w:val="none" w:sz="0" w:space="0" w:color="auto"/>
        <w:bottom w:val="none" w:sz="0" w:space="0" w:color="auto"/>
        <w:right w:val="none" w:sz="0" w:space="0" w:color="auto"/>
      </w:divBdr>
    </w:div>
    <w:div w:id="422844546">
      <w:bodyDiv w:val="1"/>
      <w:marLeft w:val="0"/>
      <w:marRight w:val="0"/>
      <w:marTop w:val="0"/>
      <w:marBottom w:val="0"/>
      <w:divBdr>
        <w:top w:val="none" w:sz="0" w:space="0" w:color="auto"/>
        <w:left w:val="none" w:sz="0" w:space="0" w:color="auto"/>
        <w:bottom w:val="none" w:sz="0" w:space="0" w:color="auto"/>
        <w:right w:val="none" w:sz="0" w:space="0" w:color="auto"/>
      </w:divBdr>
      <w:divsChild>
        <w:div w:id="2084911523">
          <w:marLeft w:val="547"/>
          <w:marRight w:val="0"/>
          <w:marTop w:val="0"/>
          <w:marBottom w:val="0"/>
          <w:divBdr>
            <w:top w:val="none" w:sz="0" w:space="0" w:color="auto"/>
            <w:left w:val="none" w:sz="0" w:space="0" w:color="auto"/>
            <w:bottom w:val="none" w:sz="0" w:space="0" w:color="auto"/>
            <w:right w:val="none" w:sz="0" w:space="0" w:color="auto"/>
          </w:divBdr>
        </w:div>
        <w:div w:id="826558893">
          <w:marLeft w:val="547"/>
          <w:marRight w:val="0"/>
          <w:marTop w:val="0"/>
          <w:marBottom w:val="0"/>
          <w:divBdr>
            <w:top w:val="none" w:sz="0" w:space="0" w:color="auto"/>
            <w:left w:val="none" w:sz="0" w:space="0" w:color="auto"/>
            <w:bottom w:val="none" w:sz="0" w:space="0" w:color="auto"/>
            <w:right w:val="none" w:sz="0" w:space="0" w:color="auto"/>
          </w:divBdr>
        </w:div>
        <w:div w:id="2059350771">
          <w:marLeft w:val="547"/>
          <w:marRight w:val="0"/>
          <w:marTop w:val="0"/>
          <w:marBottom w:val="0"/>
          <w:divBdr>
            <w:top w:val="none" w:sz="0" w:space="0" w:color="auto"/>
            <w:left w:val="none" w:sz="0" w:space="0" w:color="auto"/>
            <w:bottom w:val="none" w:sz="0" w:space="0" w:color="auto"/>
            <w:right w:val="none" w:sz="0" w:space="0" w:color="auto"/>
          </w:divBdr>
        </w:div>
      </w:divsChild>
    </w:div>
    <w:div w:id="423112974">
      <w:bodyDiv w:val="1"/>
      <w:marLeft w:val="0"/>
      <w:marRight w:val="0"/>
      <w:marTop w:val="0"/>
      <w:marBottom w:val="0"/>
      <w:divBdr>
        <w:top w:val="none" w:sz="0" w:space="0" w:color="auto"/>
        <w:left w:val="none" w:sz="0" w:space="0" w:color="auto"/>
        <w:bottom w:val="none" w:sz="0" w:space="0" w:color="auto"/>
        <w:right w:val="none" w:sz="0" w:space="0" w:color="auto"/>
      </w:divBdr>
      <w:divsChild>
        <w:div w:id="189148487">
          <w:marLeft w:val="0"/>
          <w:marRight w:val="0"/>
          <w:marTop w:val="0"/>
          <w:marBottom w:val="0"/>
          <w:divBdr>
            <w:top w:val="none" w:sz="0" w:space="0" w:color="auto"/>
            <w:left w:val="none" w:sz="0" w:space="0" w:color="auto"/>
            <w:bottom w:val="none" w:sz="0" w:space="0" w:color="auto"/>
            <w:right w:val="none" w:sz="0" w:space="0" w:color="auto"/>
          </w:divBdr>
          <w:divsChild>
            <w:div w:id="497159179">
              <w:marLeft w:val="0"/>
              <w:marRight w:val="0"/>
              <w:marTop w:val="0"/>
              <w:marBottom w:val="0"/>
              <w:divBdr>
                <w:top w:val="none" w:sz="0" w:space="0" w:color="auto"/>
                <w:left w:val="none" w:sz="0" w:space="0" w:color="auto"/>
                <w:bottom w:val="none" w:sz="0" w:space="0" w:color="auto"/>
                <w:right w:val="none" w:sz="0" w:space="0" w:color="auto"/>
              </w:divBdr>
            </w:div>
            <w:div w:id="957639952">
              <w:marLeft w:val="0"/>
              <w:marRight w:val="0"/>
              <w:marTop w:val="0"/>
              <w:marBottom w:val="0"/>
              <w:divBdr>
                <w:top w:val="none" w:sz="0" w:space="0" w:color="auto"/>
                <w:left w:val="none" w:sz="0" w:space="0" w:color="auto"/>
                <w:bottom w:val="none" w:sz="0" w:space="0" w:color="auto"/>
                <w:right w:val="none" w:sz="0" w:space="0" w:color="auto"/>
              </w:divBdr>
            </w:div>
          </w:divsChild>
        </w:div>
        <w:div w:id="1626233115">
          <w:marLeft w:val="0"/>
          <w:marRight w:val="0"/>
          <w:marTop w:val="0"/>
          <w:marBottom w:val="0"/>
          <w:divBdr>
            <w:top w:val="none" w:sz="0" w:space="0" w:color="auto"/>
            <w:left w:val="none" w:sz="0" w:space="0" w:color="auto"/>
            <w:bottom w:val="none" w:sz="0" w:space="0" w:color="auto"/>
            <w:right w:val="none" w:sz="0" w:space="0" w:color="auto"/>
          </w:divBdr>
          <w:divsChild>
            <w:div w:id="111675328">
              <w:marLeft w:val="0"/>
              <w:marRight w:val="0"/>
              <w:marTop w:val="0"/>
              <w:marBottom w:val="0"/>
              <w:divBdr>
                <w:top w:val="none" w:sz="0" w:space="0" w:color="auto"/>
                <w:left w:val="none" w:sz="0" w:space="0" w:color="auto"/>
                <w:bottom w:val="none" w:sz="0" w:space="0" w:color="auto"/>
                <w:right w:val="none" w:sz="0" w:space="0" w:color="auto"/>
              </w:divBdr>
            </w:div>
            <w:div w:id="1413546208">
              <w:marLeft w:val="0"/>
              <w:marRight w:val="0"/>
              <w:marTop w:val="0"/>
              <w:marBottom w:val="0"/>
              <w:divBdr>
                <w:top w:val="none" w:sz="0" w:space="0" w:color="auto"/>
                <w:left w:val="none" w:sz="0" w:space="0" w:color="auto"/>
                <w:bottom w:val="none" w:sz="0" w:space="0" w:color="auto"/>
                <w:right w:val="none" w:sz="0" w:space="0" w:color="auto"/>
              </w:divBdr>
            </w:div>
          </w:divsChild>
        </w:div>
        <w:div w:id="1775515767">
          <w:marLeft w:val="0"/>
          <w:marRight w:val="0"/>
          <w:marTop w:val="0"/>
          <w:marBottom w:val="0"/>
          <w:divBdr>
            <w:top w:val="none" w:sz="0" w:space="0" w:color="auto"/>
            <w:left w:val="none" w:sz="0" w:space="0" w:color="auto"/>
            <w:bottom w:val="none" w:sz="0" w:space="0" w:color="auto"/>
            <w:right w:val="none" w:sz="0" w:space="0" w:color="auto"/>
          </w:divBdr>
          <w:divsChild>
            <w:div w:id="299112378">
              <w:marLeft w:val="0"/>
              <w:marRight w:val="0"/>
              <w:marTop w:val="0"/>
              <w:marBottom w:val="0"/>
              <w:divBdr>
                <w:top w:val="none" w:sz="0" w:space="0" w:color="auto"/>
                <w:left w:val="none" w:sz="0" w:space="0" w:color="auto"/>
                <w:bottom w:val="none" w:sz="0" w:space="0" w:color="auto"/>
                <w:right w:val="none" w:sz="0" w:space="0" w:color="auto"/>
              </w:divBdr>
            </w:div>
            <w:div w:id="1433280146">
              <w:marLeft w:val="0"/>
              <w:marRight w:val="0"/>
              <w:marTop w:val="0"/>
              <w:marBottom w:val="0"/>
              <w:divBdr>
                <w:top w:val="none" w:sz="0" w:space="0" w:color="auto"/>
                <w:left w:val="none" w:sz="0" w:space="0" w:color="auto"/>
                <w:bottom w:val="none" w:sz="0" w:space="0" w:color="auto"/>
                <w:right w:val="none" w:sz="0" w:space="0" w:color="auto"/>
              </w:divBdr>
            </w:div>
          </w:divsChild>
        </w:div>
        <w:div w:id="1959944022">
          <w:marLeft w:val="0"/>
          <w:marRight w:val="0"/>
          <w:marTop w:val="0"/>
          <w:marBottom w:val="0"/>
          <w:divBdr>
            <w:top w:val="none" w:sz="0" w:space="0" w:color="auto"/>
            <w:left w:val="none" w:sz="0" w:space="0" w:color="auto"/>
            <w:bottom w:val="none" w:sz="0" w:space="0" w:color="auto"/>
            <w:right w:val="none" w:sz="0" w:space="0" w:color="auto"/>
          </w:divBdr>
          <w:divsChild>
            <w:div w:id="1400790763">
              <w:marLeft w:val="0"/>
              <w:marRight w:val="0"/>
              <w:marTop w:val="0"/>
              <w:marBottom w:val="0"/>
              <w:divBdr>
                <w:top w:val="none" w:sz="0" w:space="0" w:color="auto"/>
                <w:left w:val="none" w:sz="0" w:space="0" w:color="auto"/>
                <w:bottom w:val="none" w:sz="0" w:space="0" w:color="auto"/>
                <w:right w:val="none" w:sz="0" w:space="0" w:color="auto"/>
              </w:divBdr>
            </w:div>
            <w:div w:id="1993942554">
              <w:marLeft w:val="0"/>
              <w:marRight w:val="0"/>
              <w:marTop w:val="0"/>
              <w:marBottom w:val="0"/>
              <w:divBdr>
                <w:top w:val="none" w:sz="0" w:space="0" w:color="auto"/>
                <w:left w:val="none" w:sz="0" w:space="0" w:color="auto"/>
                <w:bottom w:val="none" w:sz="0" w:space="0" w:color="auto"/>
                <w:right w:val="none" w:sz="0" w:space="0" w:color="auto"/>
              </w:divBdr>
            </w:div>
          </w:divsChild>
        </w:div>
        <w:div w:id="2090347148">
          <w:marLeft w:val="0"/>
          <w:marRight w:val="0"/>
          <w:marTop w:val="0"/>
          <w:marBottom w:val="0"/>
          <w:divBdr>
            <w:top w:val="none" w:sz="0" w:space="0" w:color="auto"/>
            <w:left w:val="none" w:sz="0" w:space="0" w:color="auto"/>
            <w:bottom w:val="none" w:sz="0" w:space="0" w:color="auto"/>
            <w:right w:val="none" w:sz="0" w:space="0" w:color="auto"/>
          </w:divBdr>
          <w:divsChild>
            <w:div w:id="943801218">
              <w:marLeft w:val="0"/>
              <w:marRight w:val="0"/>
              <w:marTop w:val="0"/>
              <w:marBottom w:val="0"/>
              <w:divBdr>
                <w:top w:val="none" w:sz="0" w:space="0" w:color="auto"/>
                <w:left w:val="none" w:sz="0" w:space="0" w:color="auto"/>
                <w:bottom w:val="none" w:sz="0" w:space="0" w:color="auto"/>
                <w:right w:val="none" w:sz="0" w:space="0" w:color="auto"/>
              </w:divBdr>
            </w:div>
            <w:div w:id="1635216166">
              <w:marLeft w:val="0"/>
              <w:marRight w:val="0"/>
              <w:marTop w:val="0"/>
              <w:marBottom w:val="0"/>
              <w:divBdr>
                <w:top w:val="none" w:sz="0" w:space="0" w:color="auto"/>
                <w:left w:val="none" w:sz="0" w:space="0" w:color="auto"/>
                <w:bottom w:val="none" w:sz="0" w:space="0" w:color="auto"/>
                <w:right w:val="none" w:sz="0" w:space="0" w:color="auto"/>
              </w:divBdr>
            </w:div>
            <w:div w:id="172452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391631">
      <w:bodyDiv w:val="1"/>
      <w:marLeft w:val="0"/>
      <w:marRight w:val="0"/>
      <w:marTop w:val="0"/>
      <w:marBottom w:val="0"/>
      <w:divBdr>
        <w:top w:val="none" w:sz="0" w:space="0" w:color="auto"/>
        <w:left w:val="none" w:sz="0" w:space="0" w:color="auto"/>
        <w:bottom w:val="none" w:sz="0" w:space="0" w:color="auto"/>
        <w:right w:val="none" w:sz="0" w:space="0" w:color="auto"/>
      </w:divBdr>
      <w:divsChild>
        <w:div w:id="635374940">
          <w:marLeft w:val="0"/>
          <w:marRight w:val="0"/>
          <w:marTop w:val="0"/>
          <w:marBottom w:val="0"/>
          <w:divBdr>
            <w:top w:val="none" w:sz="0" w:space="0" w:color="auto"/>
            <w:left w:val="none" w:sz="0" w:space="0" w:color="auto"/>
            <w:bottom w:val="none" w:sz="0" w:space="0" w:color="auto"/>
            <w:right w:val="none" w:sz="0" w:space="0" w:color="auto"/>
          </w:divBdr>
          <w:divsChild>
            <w:div w:id="696123716">
              <w:marLeft w:val="0"/>
              <w:marRight w:val="0"/>
              <w:marTop w:val="0"/>
              <w:marBottom w:val="0"/>
              <w:divBdr>
                <w:top w:val="none" w:sz="0" w:space="0" w:color="auto"/>
                <w:left w:val="none" w:sz="0" w:space="0" w:color="auto"/>
                <w:bottom w:val="none" w:sz="0" w:space="0" w:color="auto"/>
                <w:right w:val="none" w:sz="0" w:space="0" w:color="auto"/>
              </w:divBdr>
              <w:divsChild>
                <w:div w:id="847449744">
                  <w:marLeft w:val="0"/>
                  <w:marRight w:val="0"/>
                  <w:marTop w:val="0"/>
                  <w:marBottom w:val="0"/>
                  <w:divBdr>
                    <w:top w:val="none" w:sz="0" w:space="0" w:color="auto"/>
                    <w:left w:val="none" w:sz="0" w:space="0" w:color="auto"/>
                    <w:bottom w:val="none" w:sz="0" w:space="0" w:color="auto"/>
                    <w:right w:val="none" w:sz="0" w:space="0" w:color="auto"/>
                  </w:divBdr>
                  <w:divsChild>
                    <w:div w:id="2049790249">
                      <w:marLeft w:val="0"/>
                      <w:marRight w:val="0"/>
                      <w:marTop w:val="0"/>
                      <w:marBottom w:val="0"/>
                      <w:divBdr>
                        <w:top w:val="none" w:sz="0" w:space="0" w:color="auto"/>
                        <w:left w:val="none" w:sz="0" w:space="0" w:color="auto"/>
                        <w:bottom w:val="none" w:sz="0" w:space="0" w:color="auto"/>
                        <w:right w:val="none" w:sz="0" w:space="0" w:color="auto"/>
                      </w:divBdr>
                      <w:divsChild>
                        <w:div w:id="1453548724">
                          <w:marLeft w:val="0"/>
                          <w:marRight w:val="0"/>
                          <w:marTop w:val="0"/>
                          <w:marBottom w:val="0"/>
                          <w:divBdr>
                            <w:top w:val="none" w:sz="0" w:space="0" w:color="auto"/>
                            <w:left w:val="none" w:sz="0" w:space="0" w:color="auto"/>
                            <w:bottom w:val="none" w:sz="0" w:space="0" w:color="auto"/>
                            <w:right w:val="none" w:sz="0" w:space="0" w:color="auto"/>
                          </w:divBdr>
                          <w:divsChild>
                            <w:div w:id="185556717">
                              <w:marLeft w:val="0"/>
                              <w:marRight w:val="0"/>
                              <w:marTop w:val="0"/>
                              <w:marBottom w:val="0"/>
                              <w:divBdr>
                                <w:top w:val="none" w:sz="0" w:space="0" w:color="auto"/>
                                <w:left w:val="none" w:sz="0" w:space="0" w:color="auto"/>
                                <w:bottom w:val="none" w:sz="0" w:space="0" w:color="auto"/>
                                <w:right w:val="none" w:sz="0" w:space="0" w:color="auto"/>
                              </w:divBdr>
                            </w:div>
                            <w:div w:id="21396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7121434">
      <w:bodyDiv w:val="1"/>
      <w:marLeft w:val="0"/>
      <w:marRight w:val="0"/>
      <w:marTop w:val="0"/>
      <w:marBottom w:val="0"/>
      <w:divBdr>
        <w:top w:val="none" w:sz="0" w:space="0" w:color="auto"/>
        <w:left w:val="none" w:sz="0" w:space="0" w:color="auto"/>
        <w:bottom w:val="none" w:sz="0" w:space="0" w:color="auto"/>
        <w:right w:val="none" w:sz="0" w:space="0" w:color="auto"/>
      </w:divBdr>
    </w:div>
    <w:div w:id="430971535">
      <w:bodyDiv w:val="1"/>
      <w:marLeft w:val="0"/>
      <w:marRight w:val="0"/>
      <w:marTop w:val="0"/>
      <w:marBottom w:val="0"/>
      <w:divBdr>
        <w:top w:val="none" w:sz="0" w:space="0" w:color="auto"/>
        <w:left w:val="none" w:sz="0" w:space="0" w:color="auto"/>
        <w:bottom w:val="none" w:sz="0" w:space="0" w:color="auto"/>
        <w:right w:val="none" w:sz="0" w:space="0" w:color="auto"/>
      </w:divBdr>
    </w:div>
    <w:div w:id="434399459">
      <w:bodyDiv w:val="1"/>
      <w:marLeft w:val="0"/>
      <w:marRight w:val="0"/>
      <w:marTop w:val="0"/>
      <w:marBottom w:val="0"/>
      <w:divBdr>
        <w:top w:val="none" w:sz="0" w:space="0" w:color="auto"/>
        <w:left w:val="none" w:sz="0" w:space="0" w:color="auto"/>
        <w:bottom w:val="none" w:sz="0" w:space="0" w:color="auto"/>
        <w:right w:val="none" w:sz="0" w:space="0" w:color="auto"/>
      </w:divBdr>
    </w:div>
    <w:div w:id="448815936">
      <w:bodyDiv w:val="1"/>
      <w:marLeft w:val="0"/>
      <w:marRight w:val="0"/>
      <w:marTop w:val="0"/>
      <w:marBottom w:val="0"/>
      <w:divBdr>
        <w:top w:val="none" w:sz="0" w:space="0" w:color="auto"/>
        <w:left w:val="none" w:sz="0" w:space="0" w:color="auto"/>
        <w:bottom w:val="none" w:sz="0" w:space="0" w:color="auto"/>
        <w:right w:val="none" w:sz="0" w:space="0" w:color="auto"/>
      </w:divBdr>
      <w:divsChild>
        <w:div w:id="942497512">
          <w:marLeft w:val="0"/>
          <w:marRight w:val="0"/>
          <w:marTop w:val="0"/>
          <w:marBottom w:val="0"/>
          <w:divBdr>
            <w:top w:val="none" w:sz="0" w:space="0" w:color="auto"/>
            <w:left w:val="none" w:sz="0" w:space="0" w:color="auto"/>
            <w:bottom w:val="none" w:sz="0" w:space="0" w:color="auto"/>
            <w:right w:val="none" w:sz="0" w:space="0" w:color="auto"/>
          </w:divBdr>
          <w:divsChild>
            <w:div w:id="1961376066">
              <w:marLeft w:val="0"/>
              <w:marRight w:val="0"/>
              <w:marTop w:val="0"/>
              <w:marBottom w:val="0"/>
              <w:divBdr>
                <w:top w:val="none" w:sz="0" w:space="0" w:color="auto"/>
                <w:left w:val="none" w:sz="0" w:space="0" w:color="auto"/>
                <w:bottom w:val="none" w:sz="0" w:space="0" w:color="auto"/>
                <w:right w:val="none" w:sz="0" w:space="0" w:color="auto"/>
              </w:divBdr>
              <w:divsChild>
                <w:div w:id="1293630895">
                  <w:marLeft w:val="0"/>
                  <w:marRight w:val="0"/>
                  <w:marTop w:val="0"/>
                  <w:marBottom w:val="0"/>
                  <w:divBdr>
                    <w:top w:val="none" w:sz="0" w:space="0" w:color="auto"/>
                    <w:left w:val="none" w:sz="0" w:space="0" w:color="auto"/>
                    <w:bottom w:val="none" w:sz="0" w:space="0" w:color="auto"/>
                    <w:right w:val="none" w:sz="0" w:space="0" w:color="auto"/>
                  </w:divBdr>
                  <w:divsChild>
                    <w:div w:id="1366830846">
                      <w:marLeft w:val="0"/>
                      <w:marRight w:val="0"/>
                      <w:marTop w:val="0"/>
                      <w:marBottom w:val="0"/>
                      <w:divBdr>
                        <w:top w:val="none" w:sz="0" w:space="0" w:color="auto"/>
                        <w:left w:val="none" w:sz="0" w:space="0" w:color="auto"/>
                        <w:bottom w:val="none" w:sz="0" w:space="0" w:color="auto"/>
                        <w:right w:val="none" w:sz="0" w:space="0" w:color="auto"/>
                      </w:divBdr>
                      <w:divsChild>
                        <w:div w:id="549652352">
                          <w:marLeft w:val="0"/>
                          <w:marRight w:val="0"/>
                          <w:marTop w:val="0"/>
                          <w:marBottom w:val="0"/>
                          <w:divBdr>
                            <w:top w:val="none" w:sz="0" w:space="0" w:color="auto"/>
                            <w:left w:val="none" w:sz="0" w:space="0" w:color="auto"/>
                            <w:bottom w:val="none" w:sz="0" w:space="0" w:color="auto"/>
                            <w:right w:val="none" w:sz="0" w:space="0" w:color="auto"/>
                          </w:divBdr>
                          <w:divsChild>
                            <w:div w:id="751971840">
                              <w:marLeft w:val="0"/>
                              <w:marRight w:val="0"/>
                              <w:marTop w:val="0"/>
                              <w:marBottom w:val="0"/>
                              <w:divBdr>
                                <w:top w:val="none" w:sz="0" w:space="0" w:color="auto"/>
                                <w:left w:val="none" w:sz="0" w:space="0" w:color="auto"/>
                                <w:bottom w:val="none" w:sz="0" w:space="0" w:color="auto"/>
                                <w:right w:val="none" w:sz="0" w:space="0" w:color="auto"/>
                              </w:divBdr>
                            </w:div>
                            <w:div w:id="1187450783">
                              <w:marLeft w:val="0"/>
                              <w:marRight w:val="0"/>
                              <w:marTop w:val="0"/>
                              <w:marBottom w:val="0"/>
                              <w:divBdr>
                                <w:top w:val="none" w:sz="0" w:space="0" w:color="auto"/>
                                <w:left w:val="none" w:sz="0" w:space="0" w:color="auto"/>
                                <w:bottom w:val="none" w:sz="0" w:space="0" w:color="auto"/>
                                <w:right w:val="none" w:sz="0" w:space="0" w:color="auto"/>
                              </w:divBdr>
                            </w:div>
                            <w:div w:id="124106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9764099">
      <w:bodyDiv w:val="1"/>
      <w:marLeft w:val="0"/>
      <w:marRight w:val="0"/>
      <w:marTop w:val="0"/>
      <w:marBottom w:val="0"/>
      <w:divBdr>
        <w:top w:val="none" w:sz="0" w:space="0" w:color="auto"/>
        <w:left w:val="none" w:sz="0" w:space="0" w:color="auto"/>
        <w:bottom w:val="none" w:sz="0" w:space="0" w:color="auto"/>
        <w:right w:val="none" w:sz="0" w:space="0" w:color="auto"/>
      </w:divBdr>
      <w:divsChild>
        <w:div w:id="253516151">
          <w:marLeft w:val="547"/>
          <w:marRight w:val="0"/>
          <w:marTop w:val="60"/>
          <w:marBottom w:val="60"/>
          <w:divBdr>
            <w:top w:val="none" w:sz="0" w:space="0" w:color="auto"/>
            <w:left w:val="none" w:sz="0" w:space="0" w:color="auto"/>
            <w:bottom w:val="none" w:sz="0" w:space="0" w:color="auto"/>
            <w:right w:val="none" w:sz="0" w:space="0" w:color="auto"/>
          </w:divBdr>
        </w:div>
        <w:div w:id="651452244">
          <w:marLeft w:val="547"/>
          <w:marRight w:val="0"/>
          <w:marTop w:val="60"/>
          <w:marBottom w:val="60"/>
          <w:divBdr>
            <w:top w:val="none" w:sz="0" w:space="0" w:color="auto"/>
            <w:left w:val="none" w:sz="0" w:space="0" w:color="auto"/>
            <w:bottom w:val="none" w:sz="0" w:space="0" w:color="auto"/>
            <w:right w:val="none" w:sz="0" w:space="0" w:color="auto"/>
          </w:divBdr>
        </w:div>
        <w:div w:id="1077871360">
          <w:marLeft w:val="547"/>
          <w:marRight w:val="0"/>
          <w:marTop w:val="60"/>
          <w:marBottom w:val="60"/>
          <w:divBdr>
            <w:top w:val="none" w:sz="0" w:space="0" w:color="auto"/>
            <w:left w:val="none" w:sz="0" w:space="0" w:color="auto"/>
            <w:bottom w:val="none" w:sz="0" w:space="0" w:color="auto"/>
            <w:right w:val="none" w:sz="0" w:space="0" w:color="auto"/>
          </w:divBdr>
        </w:div>
        <w:div w:id="1349213775">
          <w:marLeft w:val="547"/>
          <w:marRight w:val="0"/>
          <w:marTop w:val="60"/>
          <w:marBottom w:val="60"/>
          <w:divBdr>
            <w:top w:val="none" w:sz="0" w:space="0" w:color="auto"/>
            <w:left w:val="none" w:sz="0" w:space="0" w:color="auto"/>
            <w:bottom w:val="none" w:sz="0" w:space="0" w:color="auto"/>
            <w:right w:val="none" w:sz="0" w:space="0" w:color="auto"/>
          </w:divBdr>
        </w:div>
      </w:divsChild>
    </w:div>
    <w:div w:id="460344972">
      <w:bodyDiv w:val="1"/>
      <w:marLeft w:val="0"/>
      <w:marRight w:val="0"/>
      <w:marTop w:val="0"/>
      <w:marBottom w:val="0"/>
      <w:divBdr>
        <w:top w:val="none" w:sz="0" w:space="0" w:color="auto"/>
        <w:left w:val="none" w:sz="0" w:space="0" w:color="auto"/>
        <w:bottom w:val="none" w:sz="0" w:space="0" w:color="auto"/>
        <w:right w:val="none" w:sz="0" w:space="0" w:color="auto"/>
      </w:divBdr>
    </w:div>
    <w:div w:id="466165214">
      <w:bodyDiv w:val="1"/>
      <w:marLeft w:val="0"/>
      <w:marRight w:val="0"/>
      <w:marTop w:val="0"/>
      <w:marBottom w:val="0"/>
      <w:divBdr>
        <w:top w:val="none" w:sz="0" w:space="0" w:color="auto"/>
        <w:left w:val="none" w:sz="0" w:space="0" w:color="auto"/>
        <w:bottom w:val="none" w:sz="0" w:space="0" w:color="auto"/>
        <w:right w:val="none" w:sz="0" w:space="0" w:color="auto"/>
      </w:divBdr>
    </w:div>
    <w:div w:id="485903884">
      <w:bodyDiv w:val="1"/>
      <w:marLeft w:val="0"/>
      <w:marRight w:val="0"/>
      <w:marTop w:val="0"/>
      <w:marBottom w:val="0"/>
      <w:divBdr>
        <w:top w:val="none" w:sz="0" w:space="0" w:color="auto"/>
        <w:left w:val="none" w:sz="0" w:space="0" w:color="auto"/>
        <w:bottom w:val="none" w:sz="0" w:space="0" w:color="auto"/>
        <w:right w:val="none" w:sz="0" w:space="0" w:color="auto"/>
      </w:divBdr>
      <w:divsChild>
        <w:div w:id="54623718">
          <w:marLeft w:val="0"/>
          <w:marRight w:val="0"/>
          <w:marTop w:val="0"/>
          <w:marBottom w:val="0"/>
          <w:divBdr>
            <w:top w:val="none" w:sz="0" w:space="0" w:color="auto"/>
            <w:left w:val="none" w:sz="0" w:space="0" w:color="auto"/>
            <w:bottom w:val="none" w:sz="0" w:space="0" w:color="auto"/>
            <w:right w:val="none" w:sz="0" w:space="0" w:color="auto"/>
          </w:divBdr>
          <w:divsChild>
            <w:div w:id="1194542558">
              <w:marLeft w:val="0"/>
              <w:marRight w:val="0"/>
              <w:marTop w:val="0"/>
              <w:marBottom w:val="0"/>
              <w:divBdr>
                <w:top w:val="none" w:sz="0" w:space="0" w:color="auto"/>
                <w:left w:val="none" w:sz="0" w:space="0" w:color="auto"/>
                <w:bottom w:val="none" w:sz="0" w:space="0" w:color="auto"/>
                <w:right w:val="none" w:sz="0" w:space="0" w:color="auto"/>
              </w:divBdr>
              <w:divsChild>
                <w:div w:id="110251162">
                  <w:marLeft w:val="0"/>
                  <w:marRight w:val="0"/>
                  <w:marTop w:val="0"/>
                  <w:marBottom w:val="0"/>
                  <w:divBdr>
                    <w:top w:val="none" w:sz="0" w:space="0" w:color="auto"/>
                    <w:left w:val="none" w:sz="0" w:space="0" w:color="auto"/>
                    <w:bottom w:val="none" w:sz="0" w:space="0" w:color="auto"/>
                    <w:right w:val="none" w:sz="0" w:space="0" w:color="auto"/>
                  </w:divBdr>
                </w:div>
                <w:div w:id="274677680">
                  <w:marLeft w:val="0"/>
                  <w:marRight w:val="0"/>
                  <w:marTop w:val="0"/>
                  <w:marBottom w:val="0"/>
                  <w:divBdr>
                    <w:top w:val="none" w:sz="0" w:space="0" w:color="auto"/>
                    <w:left w:val="none" w:sz="0" w:space="0" w:color="auto"/>
                    <w:bottom w:val="none" w:sz="0" w:space="0" w:color="auto"/>
                    <w:right w:val="none" w:sz="0" w:space="0" w:color="auto"/>
                  </w:divBdr>
                </w:div>
                <w:div w:id="354353552">
                  <w:marLeft w:val="0"/>
                  <w:marRight w:val="0"/>
                  <w:marTop w:val="0"/>
                  <w:marBottom w:val="0"/>
                  <w:divBdr>
                    <w:top w:val="none" w:sz="0" w:space="0" w:color="auto"/>
                    <w:left w:val="none" w:sz="0" w:space="0" w:color="auto"/>
                    <w:bottom w:val="none" w:sz="0" w:space="0" w:color="auto"/>
                    <w:right w:val="none" w:sz="0" w:space="0" w:color="auto"/>
                  </w:divBdr>
                </w:div>
                <w:div w:id="896236363">
                  <w:marLeft w:val="0"/>
                  <w:marRight w:val="0"/>
                  <w:marTop w:val="0"/>
                  <w:marBottom w:val="0"/>
                  <w:divBdr>
                    <w:top w:val="none" w:sz="0" w:space="0" w:color="auto"/>
                    <w:left w:val="none" w:sz="0" w:space="0" w:color="auto"/>
                    <w:bottom w:val="none" w:sz="0" w:space="0" w:color="auto"/>
                    <w:right w:val="none" w:sz="0" w:space="0" w:color="auto"/>
                  </w:divBdr>
                </w:div>
                <w:div w:id="1093470721">
                  <w:marLeft w:val="0"/>
                  <w:marRight w:val="0"/>
                  <w:marTop w:val="0"/>
                  <w:marBottom w:val="0"/>
                  <w:divBdr>
                    <w:top w:val="none" w:sz="0" w:space="0" w:color="auto"/>
                    <w:left w:val="none" w:sz="0" w:space="0" w:color="auto"/>
                    <w:bottom w:val="none" w:sz="0" w:space="0" w:color="auto"/>
                    <w:right w:val="none" w:sz="0" w:space="0" w:color="auto"/>
                  </w:divBdr>
                </w:div>
                <w:div w:id="1431732205">
                  <w:marLeft w:val="0"/>
                  <w:marRight w:val="0"/>
                  <w:marTop w:val="0"/>
                  <w:marBottom w:val="0"/>
                  <w:divBdr>
                    <w:top w:val="none" w:sz="0" w:space="0" w:color="auto"/>
                    <w:left w:val="none" w:sz="0" w:space="0" w:color="auto"/>
                    <w:bottom w:val="none" w:sz="0" w:space="0" w:color="auto"/>
                    <w:right w:val="none" w:sz="0" w:space="0" w:color="auto"/>
                  </w:divBdr>
                </w:div>
                <w:div w:id="1438795840">
                  <w:marLeft w:val="0"/>
                  <w:marRight w:val="0"/>
                  <w:marTop w:val="0"/>
                  <w:marBottom w:val="0"/>
                  <w:divBdr>
                    <w:top w:val="none" w:sz="0" w:space="0" w:color="auto"/>
                    <w:left w:val="none" w:sz="0" w:space="0" w:color="auto"/>
                    <w:bottom w:val="none" w:sz="0" w:space="0" w:color="auto"/>
                    <w:right w:val="none" w:sz="0" w:space="0" w:color="auto"/>
                  </w:divBdr>
                </w:div>
                <w:div w:id="1449080676">
                  <w:marLeft w:val="0"/>
                  <w:marRight w:val="0"/>
                  <w:marTop w:val="0"/>
                  <w:marBottom w:val="0"/>
                  <w:divBdr>
                    <w:top w:val="none" w:sz="0" w:space="0" w:color="auto"/>
                    <w:left w:val="none" w:sz="0" w:space="0" w:color="auto"/>
                    <w:bottom w:val="none" w:sz="0" w:space="0" w:color="auto"/>
                    <w:right w:val="none" w:sz="0" w:space="0" w:color="auto"/>
                  </w:divBdr>
                </w:div>
                <w:div w:id="1622884339">
                  <w:marLeft w:val="0"/>
                  <w:marRight w:val="0"/>
                  <w:marTop w:val="0"/>
                  <w:marBottom w:val="0"/>
                  <w:divBdr>
                    <w:top w:val="none" w:sz="0" w:space="0" w:color="auto"/>
                    <w:left w:val="none" w:sz="0" w:space="0" w:color="auto"/>
                    <w:bottom w:val="none" w:sz="0" w:space="0" w:color="auto"/>
                    <w:right w:val="none" w:sz="0" w:space="0" w:color="auto"/>
                  </w:divBdr>
                </w:div>
                <w:div w:id="1778715361">
                  <w:marLeft w:val="0"/>
                  <w:marRight w:val="0"/>
                  <w:marTop w:val="0"/>
                  <w:marBottom w:val="0"/>
                  <w:divBdr>
                    <w:top w:val="none" w:sz="0" w:space="0" w:color="auto"/>
                    <w:left w:val="none" w:sz="0" w:space="0" w:color="auto"/>
                    <w:bottom w:val="none" w:sz="0" w:space="0" w:color="auto"/>
                    <w:right w:val="none" w:sz="0" w:space="0" w:color="auto"/>
                  </w:divBdr>
                </w:div>
                <w:div w:id="1942565486">
                  <w:marLeft w:val="0"/>
                  <w:marRight w:val="0"/>
                  <w:marTop w:val="0"/>
                  <w:marBottom w:val="0"/>
                  <w:divBdr>
                    <w:top w:val="none" w:sz="0" w:space="0" w:color="auto"/>
                    <w:left w:val="none" w:sz="0" w:space="0" w:color="auto"/>
                    <w:bottom w:val="none" w:sz="0" w:space="0" w:color="auto"/>
                    <w:right w:val="none" w:sz="0" w:space="0" w:color="auto"/>
                  </w:divBdr>
                </w:div>
                <w:div w:id="210692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88139">
          <w:marLeft w:val="0"/>
          <w:marRight w:val="0"/>
          <w:marTop w:val="0"/>
          <w:marBottom w:val="0"/>
          <w:divBdr>
            <w:top w:val="none" w:sz="0" w:space="0" w:color="auto"/>
            <w:left w:val="none" w:sz="0" w:space="0" w:color="auto"/>
            <w:bottom w:val="none" w:sz="0" w:space="0" w:color="auto"/>
            <w:right w:val="none" w:sz="0" w:space="0" w:color="auto"/>
          </w:divBdr>
          <w:divsChild>
            <w:div w:id="585381758">
              <w:marLeft w:val="0"/>
              <w:marRight w:val="0"/>
              <w:marTop w:val="0"/>
              <w:marBottom w:val="0"/>
              <w:divBdr>
                <w:top w:val="none" w:sz="0" w:space="0" w:color="auto"/>
                <w:left w:val="none" w:sz="0" w:space="0" w:color="auto"/>
                <w:bottom w:val="none" w:sz="0" w:space="0" w:color="auto"/>
                <w:right w:val="none" w:sz="0" w:space="0" w:color="auto"/>
              </w:divBdr>
              <w:divsChild>
                <w:div w:id="244996543">
                  <w:marLeft w:val="0"/>
                  <w:marRight w:val="0"/>
                  <w:marTop w:val="0"/>
                  <w:marBottom w:val="0"/>
                  <w:divBdr>
                    <w:top w:val="none" w:sz="0" w:space="0" w:color="auto"/>
                    <w:left w:val="none" w:sz="0" w:space="0" w:color="auto"/>
                    <w:bottom w:val="none" w:sz="0" w:space="0" w:color="auto"/>
                    <w:right w:val="none" w:sz="0" w:space="0" w:color="auto"/>
                  </w:divBdr>
                </w:div>
                <w:div w:id="251670778">
                  <w:marLeft w:val="0"/>
                  <w:marRight w:val="0"/>
                  <w:marTop w:val="0"/>
                  <w:marBottom w:val="0"/>
                  <w:divBdr>
                    <w:top w:val="none" w:sz="0" w:space="0" w:color="auto"/>
                    <w:left w:val="none" w:sz="0" w:space="0" w:color="auto"/>
                    <w:bottom w:val="none" w:sz="0" w:space="0" w:color="auto"/>
                    <w:right w:val="none" w:sz="0" w:space="0" w:color="auto"/>
                  </w:divBdr>
                </w:div>
                <w:div w:id="304353394">
                  <w:marLeft w:val="0"/>
                  <w:marRight w:val="0"/>
                  <w:marTop w:val="0"/>
                  <w:marBottom w:val="0"/>
                  <w:divBdr>
                    <w:top w:val="none" w:sz="0" w:space="0" w:color="auto"/>
                    <w:left w:val="none" w:sz="0" w:space="0" w:color="auto"/>
                    <w:bottom w:val="none" w:sz="0" w:space="0" w:color="auto"/>
                    <w:right w:val="none" w:sz="0" w:space="0" w:color="auto"/>
                  </w:divBdr>
                </w:div>
                <w:div w:id="323515173">
                  <w:marLeft w:val="0"/>
                  <w:marRight w:val="0"/>
                  <w:marTop w:val="0"/>
                  <w:marBottom w:val="0"/>
                  <w:divBdr>
                    <w:top w:val="none" w:sz="0" w:space="0" w:color="auto"/>
                    <w:left w:val="none" w:sz="0" w:space="0" w:color="auto"/>
                    <w:bottom w:val="none" w:sz="0" w:space="0" w:color="auto"/>
                    <w:right w:val="none" w:sz="0" w:space="0" w:color="auto"/>
                  </w:divBdr>
                </w:div>
                <w:div w:id="365641399">
                  <w:marLeft w:val="0"/>
                  <w:marRight w:val="0"/>
                  <w:marTop w:val="0"/>
                  <w:marBottom w:val="0"/>
                  <w:divBdr>
                    <w:top w:val="none" w:sz="0" w:space="0" w:color="auto"/>
                    <w:left w:val="none" w:sz="0" w:space="0" w:color="auto"/>
                    <w:bottom w:val="none" w:sz="0" w:space="0" w:color="auto"/>
                    <w:right w:val="none" w:sz="0" w:space="0" w:color="auto"/>
                  </w:divBdr>
                </w:div>
                <w:div w:id="391392407">
                  <w:marLeft w:val="0"/>
                  <w:marRight w:val="0"/>
                  <w:marTop w:val="0"/>
                  <w:marBottom w:val="0"/>
                  <w:divBdr>
                    <w:top w:val="none" w:sz="0" w:space="0" w:color="auto"/>
                    <w:left w:val="none" w:sz="0" w:space="0" w:color="auto"/>
                    <w:bottom w:val="none" w:sz="0" w:space="0" w:color="auto"/>
                    <w:right w:val="none" w:sz="0" w:space="0" w:color="auto"/>
                  </w:divBdr>
                </w:div>
                <w:div w:id="523175813">
                  <w:marLeft w:val="0"/>
                  <w:marRight w:val="0"/>
                  <w:marTop w:val="0"/>
                  <w:marBottom w:val="0"/>
                  <w:divBdr>
                    <w:top w:val="none" w:sz="0" w:space="0" w:color="auto"/>
                    <w:left w:val="none" w:sz="0" w:space="0" w:color="auto"/>
                    <w:bottom w:val="none" w:sz="0" w:space="0" w:color="auto"/>
                    <w:right w:val="none" w:sz="0" w:space="0" w:color="auto"/>
                  </w:divBdr>
                </w:div>
                <w:div w:id="721904961">
                  <w:marLeft w:val="0"/>
                  <w:marRight w:val="0"/>
                  <w:marTop w:val="0"/>
                  <w:marBottom w:val="0"/>
                  <w:divBdr>
                    <w:top w:val="none" w:sz="0" w:space="0" w:color="auto"/>
                    <w:left w:val="none" w:sz="0" w:space="0" w:color="auto"/>
                    <w:bottom w:val="none" w:sz="0" w:space="0" w:color="auto"/>
                    <w:right w:val="none" w:sz="0" w:space="0" w:color="auto"/>
                  </w:divBdr>
                </w:div>
                <w:div w:id="951129470">
                  <w:marLeft w:val="0"/>
                  <w:marRight w:val="0"/>
                  <w:marTop w:val="0"/>
                  <w:marBottom w:val="0"/>
                  <w:divBdr>
                    <w:top w:val="none" w:sz="0" w:space="0" w:color="auto"/>
                    <w:left w:val="none" w:sz="0" w:space="0" w:color="auto"/>
                    <w:bottom w:val="none" w:sz="0" w:space="0" w:color="auto"/>
                    <w:right w:val="none" w:sz="0" w:space="0" w:color="auto"/>
                  </w:divBdr>
                </w:div>
                <w:div w:id="1019821329">
                  <w:marLeft w:val="0"/>
                  <w:marRight w:val="0"/>
                  <w:marTop w:val="0"/>
                  <w:marBottom w:val="0"/>
                  <w:divBdr>
                    <w:top w:val="none" w:sz="0" w:space="0" w:color="auto"/>
                    <w:left w:val="none" w:sz="0" w:space="0" w:color="auto"/>
                    <w:bottom w:val="none" w:sz="0" w:space="0" w:color="auto"/>
                    <w:right w:val="none" w:sz="0" w:space="0" w:color="auto"/>
                  </w:divBdr>
                </w:div>
                <w:div w:id="1182089741">
                  <w:marLeft w:val="0"/>
                  <w:marRight w:val="0"/>
                  <w:marTop w:val="0"/>
                  <w:marBottom w:val="0"/>
                  <w:divBdr>
                    <w:top w:val="none" w:sz="0" w:space="0" w:color="auto"/>
                    <w:left w:val="none" w:sz="0" w:space="0" w:color="auto"/>
                    <w:bottom w:val="none" w:sz="0" w:space="0" w:color="auto"/>
                    <w:right w:val="none" w:sz="0" w:space="0" w:color="auto"/>
                  </w:divBdr>
                </w:div>
                <w:div w:id="1288269133">
                  <w:marLeft w:val="0"/>
                  <w:marRight w:val="0"/>
                  <w:marTop w:val="0"/>
                  <w:marBottom w:val="0"/>
                  <w:divBdr>
                    <w:top w:val="none" w:sz="0" w:space="0" w:color="auto"/>
                    <w:left w:val="none" w:sz="0" w:space="0" w:color="auto"/>
                    <w:bottom w:val="none" w:sz="0" w:space="0" w:color="auto"/>
                    <w:right w:val="none" w:sz="0" w:space="0" w:color="auto"/>
                  </w:divBdr>
                </w:div>
                <w:div w:id="1382168838">
                  <w:marLeft w:val="0"/>
                  <w:marRight w:val="0"/>
                  <w:marTop w:val="0"/>
                  <w:marBottom w:val="0"/>
                  <w:divBdr>
                    <w:top w:val="none" w:sz="0" w:space="0" w:color="auto"/>
                    <w:left w:val="none" w:sz="0" w:space="0" w:color="auto"/>
                    <w:bottom w:val="none" w:sz="0" w:space="0" w:color="auto"/>
                    <w:right w:val="none" w:sz="0" w:space="0" w:color="auto"/>
                  </w:divBdr>
                </w:div>
                <w:div w:id="1466703793">
                  <w:marLeft w:val="0"/>
                  <w:marRight w:val="0"/>
                  <w:marTop w:val="0"/>
                  <w:marBottom w:val="0"/>
                  <w:divBdr>
                    <w:top w:val="none" w:sz="0" w:space="0" w:color="auto"/>
                    <w:left w:val="none" w:sz="0" w:space="0" w:color="auto"/>
                    <w:bottom w:val="none" w:sz="0" w:space="0" w:color="auto"/>
                    <w:right w:val="none" w:sz="0" w:space="0" w:color="auto"/>
                  </w:divBdr>
                </w:div>
                <w:div w:id="1641225680">
                  <w:marLeft w:val="0"/>
                  <w:marRight w:val="0"/>
                  <w:marTop w:val="0"/>
                  <w:marBottom w:val="0"/>
                  <w:divBdr>
                    <w:top w:val="none" w:sz="0" w:space="0" w:color="auto"/>
                    <w:left w:val="none" w:sz="0" w:space="0" w:color="auto"/>
                    <w:bottom w:val="none" w:sz="0" w:space="0" w:color="auto"/>
                    <w:right w:val="none" w:sz="0" w:space="0" w:color="auto"/>
                  </w:divBdr>
                </w:div>
                <w:div w:id="1776905124">
                  <w:marLeft w:val="0"/>
                  <w:marRight w:val="0"/>
                  <w:marTop w:val="0"/>
                  <w:marBottom w:val="0"/>
                  <w:divBdr>
                    <w:top w:val="none" w:sz="0" w:space="0" w:color="auto"/>
                    <w:left w:val="none" w:sz="0" w:space="0" w:color="auto"/>
                    <w:bottom w:val="none" w:sz="0" w:space="0" w:color="auto"/>
                    <w:right w:val="none" w:sz="0" w:space="0" w:color="auto"/>
                  </w:divBdr>
                </w:div>
                <w:div w:id="1868059903">
                  <w:marLeft w:val="0"/>
                  <w:marRight w:val="0"/>
                  <w:marTop w:val="0"/>
                  <w:marBottom w:val="0"/>
                  <w:divBdr>
                    <w:top w:val="none" w:sz="0" w:space="0" w:color="auto"/>
                    <w:left w:val="none" w:sz="0" w:space="0" w:color="auto"/>
                    <w:bottom w:val="none" w:sz="0" w:space="0" w:color="auto"/>
                    <w:right w:val="none" w:sz="0" w:space="0" w:color="auto"/>
                  </w:divBdr>
                </w:div>
                <w:div w:id="2011828039">
                  <w:marLeft w:val="0"/>
                  <w:marRight w:val="0"/>
                  <w:marTop w:val="0"/>
                  <w:marBottom w:val="0"/>
                  <w:divBdr>
                    <w:top w:val="none" w:sz="0" w:space="0" w:color="auto"/>
                    <w:left w:val="none" w:sz="0" w:space="0" w:color="auto"/>
                    <w:bottom w:val="none" w:sz="0" w:space="0" w:color="auto"/>
                    <w:right w:val="none" w:sz="0" w:space="0" w:color="auto"/>
                  </w:divBdr>
                </w:div>
                <w:div w:id="213412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758316">
      <w:bodyDiv w:val="1"/>
      <w:marLeft w:val="0"/>
      <w:marRight w:val="0"/>
      <w:marTop w:val="0"/>
      <w:marBottom w:val="0"/>
      <w:divBdr>
        <w:top w:val="none" w:sz="0" w:space="0" w:color="auto"/>
        <w:left w:val="none" w:sz="0" w:space="0" w:color="auto"/>
        <w:bottom w:val="none" w:sz="0" w:space="0" w:color="auto"/>
        <w:right w:val="none" w:sz="0" w:space="0" w:color="auto"/>
      </w:divBdr>
    </w:div>
    <w:div w:id="510217445">
      <w:bodyDiv w:val="1"/>
      <w:marLeft w:val="0"/>
      <w:marRight w:val="0"/>
      <w:marTop w:val="0"/>
      <w:marBottom w:val="0"/>
      <w:divBdr>
        <w:top w:val="none" w:sz="0" w:space="0" w:color="auto"/>
        <w:left w:val="none" w:sz="0" w:space="0" w:color="auto"/>
        <w:bottom w:val="none" w:sz="0" w:space="0" w:color="auto"/>
        <w:right w:val="none" w:sz="0" w:space="0" w:color="auto"/>
      </w:divBdr>
    </w:div>
    <w:div w:id="514809438">
      <w:bodyDiv w:val="1"/>
      <w:marLeft w:val="0"/>
      <w:marRight w:val="0"/>
      <w:marTop w:val="0"/>
      <w:marBottom w:val="0"/>
      <w:divBdr>
        <w:top w:val="none" w:sz="0" w:space="0" w:color="auto"/>
        <w:left w:val="none" w:sz="0" w:space="0" w:color="auto"/>
        <w:bottom w:val="none" w:sz="0" w:space="0" w:color="auto"/>
        <w:right w:val="none" w:sz="0" w:space="0" w:color="auto"/>
      </w:divBdr>
    </w:div>
    <w:div w:id="515585019">
      <w:bodyDiv w:val="1"/>
      <w:marLeft w:val="0"/>
      <w:marRight w:val="0"/>
      <w:marTop w:val="0"/>
      <w:marBottom w:val="0"/>
      <w:divBdr>
        <w:top w:val="none" w:sz="0" w:space="0" w:color="auto"/>
        <w:left w:val="none" w:sz="0" w:space="0" w:color="auto"/>
        <w:bottom w:val="none" w:sz="0" w:space="0" w:color="auto"/>
        <w:right w:val="none" w:sz="0" w:space="0" w:color="auto"/>
      </w:divBdr>
    </w:div>
    <w:div w:id="516314466">
      <w:bodyDiv w:val="1"/>
      <w:marLeft w:val="0"/>
      <w:marRight w:val="0"/>
      <w:marTop w:val="0"/>
      <w:marBottom w:val="0"/>
      <w:divBdr>
        <w:top w:val="none" w:sz="0" w:space="0" w:color="auto"/>
        <w:left w:val="none" w:sz="0" w:space="0" w:color="auto"/>
        <w:bottom w:val="none" w:sz="0" w:space="0" w:color="auto"/>
        <w:right w:val="none" w:sz="0" w:space="0" w:color="auto"/>
      </w:divBdr>
      <w:divsChild>
        <w:div w:id="88233522">
          <w:marLeft w:val="0"/>
          <w:marRight w:val="0"/>
          <w:marTop w:val="0"/>
          <w:marBottom w:val="0"/>
          <w:divBdr>
            <w:top w:val="none" w:sz="0" w:space="0" w:color="auto"/>
            <w:left w:val="none" w:sz="0" w:space="0" w:color="auto"/>
            <w:bottom w:val="none" w:sz="0" w:space="0" w:color="auto"/>
            <w:right w:val="none" w:sz="0" w:space="0" w:color="auto"/>
          </w:divBdr>
        </w:div>
        <w:div w:id="880938305">
          <w:marLeft w:val="0"/>
          <w:marRight w:val="0"/>
          <w:marTop w:val="0"/>
          <w:marBottom w:val="0"/>
          <w:divBdr>
            <w:top w:val="none" w:sz="0" w:space="0" w:color="auto"/>
            <w:left w:val="none" w:sz="0" w:space="0" w:color="auto"/>
            <w:bottom w:val="none" w:sz="0" w:space="0" w:color="auto"/>
            <w:right w:val="none" w:sz="0" w:space="0" w:color="auto"/>
          </w:divBdr>
        </w:div>
        <w:div w:id="1525316060">
          <w:marLeft w:val="0"/>
          <w:marRight w:val="0"/>
          <w:marTop w:val="0"/>
          <w:marBottom w:val="0"/>
          <w:divBdr>
            <w:top w:val="none" w:sz="0" w:space="0" w:color="auto"/>
            <w:left w:val="none" w:sz="0" w:space="0" w:color="auto"/>
            <w:bottom w:val="none" w:sz="0" w:space="0" w:color="auto"/>
            <w:right w:val="none" w:sz="0" w:space="0" w:color="auto"/>
          </w:divBdr>
        </w:div>
      </w:divsChild>
    </w:div>
    <w:div w:id="517894499">
      <w:bodyDiv w:val="1"/>
      <w:marLeft w:val="0"/>
      <w:marRight w:val="0"/>
      <w:marTop w:val="0"/>
      <w:marBottom w:val="0"/>
      <w:divBdr>
        <w:top w:val="none" w:sz="0" w:space="0" w:color="auto"/>
        <w:left w:val="none" w:sz="0" w:space="0" w:color="auto"/>
        <w:bottom w:val="none" w:sz="0" w:space="0" w:color="auto"/>
        <w:right w:val="none" w:sz="0" w:space="0" w:color="auto"/>
      </w:divBdr>
    </w:div>
    <w:div w:id="519005863">
      <w:bodyDiv w:val="1"/>
      <w:marLeft w:val="0"/>
      <w:marRight w:val="0"/>
      <w:marTop w:val="0"/>
      <w:marBottom w:val="0"/>
      <w:divBdr>
        <w:top w:val="none" w:sz="0" w:space="0" w:color="auto"/>
        <w:left w:val="none" w:sz="0" w:space="0" w:color="auto"/>
        <w:bottom w:val="none" w:sz="0" w:space="0" w:color="auto"/>
        <w:right w:val="none" w:sz="0" w:space="0" w:color="auto"/>
      </w:divBdr>
    </w:div>
    <w:div w:id="519243284">
      <w:bodyDiv w:val="1"/>
      <w:marLeft w:val="0"/>
      <w:marRight w:val="0"/>
      <w:marTop w:val="0"/>
      <w:marBottom w:val="0"/>
      <w:divBdr>
        <w:top w:val="none" w:sz="0" w:space="0" w:color="auto"/>
        <w:left w:val="none" w:sz="0" w:space="0" w:color="auto"/>
        <w:bottom w:val="none" w:sz="0" w:space="0" w:color="auto"/>
        <w:right w:val="none" w:sz="0" w:space="0" w:color="auto"/>
      </w:divBdr>
    </w:div>
    <w:div w:id="521208152">
      <w:bodyDiv w:val="1"/>
      <w:marLeft w:val="0"/>
      <w:marRight w:val="0"/>
      <w:marTop w:val="0"/>
      <w:marBottom w:val="0"/>
      <w:divBdr>
        <w:top w:val="none" w:sz="0" w:space="0" w:color="auto"/>
        <w:left w:val="none" w:sz="0" w:space="0" w:color="auto"/>
        <w:bottom w:val="none" w:sz="0" w:space="0" w:color="auto"/>
        <w:right w:val="none" w:sz="0" w:space="0" w:color="auto"/>
      </w:divBdr>
    </w:div>
    <w:div w:id="525950493">
      <w:bodyDiv w:val="1"/>
      <w:marLeft w:val="0"/>
      <w:marRight w:val="0"/>
      <w:marTop w:val="0"/>
      <w:marBottom w:val="0"/>
      <w:divBdr>
        <w:top w:val="none" w:sz="0" w:space="0" w:color="auto"/>
        <w:left w:val="none" w:sz="0" w:space="0" w:color="auto"/>
        <w:bottom w:val="none" w:sz="0" w:space="0" w:color="auto"/>
        <w:right w:val="none" w:sz="0" w:space="0" w:color="auto"/>
      </w:divBdr>
    </w:div>
    <w:div w:id="533999040">
      <w:bodyDiv w:val="1"/>
      <w:marLeft w:val="0"/>
      <w:marRight w:val="0"/>
      <w:marTop w:val="0"/>
      <w:marBottom w:val="0"/>
      <w:divBdr>
        <w:top w:val="none" w:sz="0" w:space="0" w:color="auto"/>
        <w:left w:val="none" w:sz="0" w:space="0" w:color="auto"/>
        <w:bottom w:val="none" w:sz="0" w:space="0" w:color="auto"/>
        <w:right w:val="none" w:sz="0" w:space="0" w:color="auto"/>
      </w:divBdr>
    </w:div>
    <w:div w:id="537158265">
      <w:bodyDiv w:val="1"/>
      <w:marLeft w:val="0"/>
      <w:marRight w:val="0"/>
      <w:marTop w:val="0"/>
      <w:marBottom w:val="0"/>
      <w:divBdr>
        <w:top w:val="none" w:sz="0" w:space="0" w:color="auto"/>
        <w:left w:val="none" w:sz="0" w:space="0" w:color="auto"/>
        <w:bottom w:val="none" w:sz="0" w:space="0" w:color="auto"/>
        <w:right w:val="none" w:sz="0" w:space="0" w:color="auto"/>
      </w:divBdr>
    </w:div>
    <w:div w:id="538202549">
      <w:bodyDiv w:val="1"/>
      <w:marLeft w:val="0"/>
      <w:marRight w:val="0"/>
      <w:marTop w:val="0"/>
      <w:marBottom w:val="0"/>
      <w:divBdr>
        <w:top w:val="none" w:sz="0" w:space="0" w:color="auto"/>
        <w:left w:val="none" w:sz="0" w:space="0" w:color="auto"/>
        <w:bottom w:val="none" w:sz="0" w:space="0" w:color="auto"/>
        <w:right w:val="none" w:sz="0" w:space="0" w:color="auto"/>
      </w:divBdr>
    </w:div>
    <w:div w:id="545070810">
      <w:bodyDiv w:val="1"/>
      <w:marLeft w:val="0"/>
      <w:marRight w:val="0"/>
      <w:marTop w:val="0"/>
      <w:marBottom w:val="0"/>
      <w:divBdr>
        <w:top w:val="none" w:sz="0" w:space="0" w:color="auto"/>
        <w:left w:val="none" w:sz="0" w:space="0" w:color="auto"/>
        <w:bottom w:val="none" w:sz="0" w:space="0" w:color="auto"/>
        <w:right w:val="none" w:sz="0" w:space="0" w:color="auto"/>
      </w:divBdr>
    </w:div>
    <w:div w:id="550270929">
      <w:bodyDiv w:val="1"/>
      <w:marLeft w:val="0"/>
      <w:marRight w:val="0"/>
      <w:marTop w:val="0"/>
      <w:marBottom w:val="0"/>
      <w:divBdr>
        <w:top w:val="none" w:sz="0" w:space="0" w:color="auto"/>
        <w:left w:val="none" w:sz="0" w:space="0" w:color="auto"/>
        <w:bottom w:val="none" w:sz="0" w:space="0" w:color="auto"/>
        <w:right w:val="none" w:sz="0" w:space="0" w:color="auto"/>
      </w:divBdr>
      <w:divsChild>
        <w:div w:id="372928893">
          <w:marLeft w:val="0"/>
          <w:marRight w:val="0"/>
          <w:marTop w:val="0"/>
          <w:marBottom w:val="0"/>
          <w:divBdr>
            <w:top w:val="none" w:sz="0" w:space="0" w:color="auto"/>
            <w:left w:val="none" w:sz="0" w:space="0" w:color="auto"/>
            <w:bottom w:val="none" w:sz="0" w:space="0" w:color="auto"/>
            <w:right w:val="none" w:sz="0" w:space="0" w:color="auto"/>
          </w:divBdr>
        </w:div>
        <w:div w:id="523978343">
          <w:marLeft w:val="0"/>
          <w:marRight w:val="0"/>
          <w:marTop w:val="0"/>
          <w:marBottom w:val="0"/>
          <w:divBdr>
            <w:top w:val="none" w:sz="0" w:space="0" w:color="auto"/>
            <w:left w:val="none" w:sz="0" w:space="0" w:color="auto"/>
            <w:bottom w:val="none" w:sz="0" w:space="0" w:color="auto"/>
            <w:right w:val="none" w:sz="0" w:space="0" w:color="auto"/>
          </w:divBdr>
        </w:div>
        <w:div w:id="729839028">
          <w:marLeft w:val="0"/>
          <w:marRight w:val="0"/>
          <w:marTop w:val="0"/>
          <w:marBottom w:val="0"/>
          <w:divBdr>
            <w:top w:val="none" w:sz="0" w:space="0" w:color="auto"/>
            <w:left w:val="none" w:sz="0" w:space="0" w:color="auto"/>
            <w:bottom w:val="none" w:sz="0" w:space="0" w:color="auto"/>
            <w:right w:val="none" w:sz="0" w:space="0" w:color="auto"/>
          </w:divBdr>
        </w:div>
        <w:div w:id="1615139428">
          <w:marLeft w:val="0"/>
          <w:marRight w:val="0"/>
          <w:marTop w:val="0"/>
          <w:marBottom w:val="0"/>
          <w:divBdr>
            <w:top w:val="none" w:sz="0" w:space="0" w:color="auto"/>
            <w:left w:val="none" w:sz="0" w:space="0" w:color="auto"/>
            <w:bottom w:val="none" w:sz="0" w:space="0" w:color="auto"/>
            <w:right w:val="none" w:sz="0" w:space="0" w:color="auto"/>
          </w:divBdr>
        </w:div>
        <w:div w:id="1828597257">
          <w:marLeft w:val="0"/>
          <w:marRight w:val="0"/>
          <w:marTop w:val="0"/>
          <w:marBottom w:val="0"/>
          <w:divBdr>
            <w:top w:val="none" w:sz="0" w:space="0" w:color="auto"/>
            <w:left w:val="none" w:sz="0" w:space="0" w:color="auto"/>
            <w:bottom w:val="none" w:sz="0" w:space="0" w:color="auto"/>
            <w:right w:val="none" w:sz="0" w:space="0" w:color="auto"/>
          </w:divBdr>
        </w:div>
      </w:divsChild>
    </w:div>
    <w:div w:id="554851881">
      <w:bodyDiv w:val="1"/>
      <w:marLeft w:val="0"/>
      <w:marRight w:val="0"/>
      <w:marTop w:val="0"/>
      <w:marBottom w:val="0"/>
      <w:divBdr>
        <w:top w:val="none" w:sz="0" w:space="0" w:color="auto"/>
        <w:left w:val="none" w:sz="0" w:space="0" w:color="auto"/>
        <w:bottom w:val="none" w:sz="0" w:space="0" w:color="auto"/>
        <w:right w:val="none" w:sz="0" w:space="0" w:color="auto"/>
      </w:divBdr>
    </w:div>
    <w:div w:id="554899424">
      <w:bodyDiv w:val="1"/>
      <w:marLeft w:val="0"/>
      <w:marRight w:val="0"/>
      <w:marTop w:val="0"/>
      <w:marBottom w:val="0"/>
      <w:divBdr>
        <w:top w:val="none" w:sz="0" w:space="0" w:color="auto"/>
        <w:left w:val="none" w:sz="0" w:space="0" w:color="auto"/>
        <w:bottom w:val="none" w:sz="0" w:space="0" w:color="auto"/>
        <w:right w:val="none" w:sz="0" w:space="0" w:color="auto"/>
      </w:divBdr>
      <w:divsChild>
        <w:div w:id="124084850">
          <w:marLeft w:val="0"/>
          <w:marRight w:val="0"/>
          <w:marTop w:val="0"/>
          <w:marBottom w:val="0"/>
          <w:divBdr>
            <w:top w:val="none" w:sz="0" w:space="0" w:color="auto"/>
            <w:left w:val="none" w:sz="0" w:space="0" w:color="auto"/>
            <w:bottom w:val="none" w:sz="0" w:space="0" w:color="auto"/>
            <w:right w:val="none" w:sz="0" w:space="0" w:color="auto"/>
          </w:divBdr>
        </w:div>
        <w:div w:id="153034064">
          <w:marLeft w:val="0"/>
          <w:marRight w:val="0"/>
          <w:marTop w:val="0"/>
          <w:marBottom w:val="0"/>
          <w:divBdr>
            <w:top w:val="none" w:sz="0" w:space="0" w:color="auto"/>
            <w:left w:val="none" w:sz="0" w:space="0" w:color="auto"/>
            <w:bottom w:val="none" w:sz="0" w:space="0" w:color="auto"/>
            <w:right w:val="none" w:sz="0" w:space="0" w:color="auto"/>
          </w:divBdr>
        </w:div>
        <w:div w:id="160968667">
          <w:marLeft w:val="0"/>
          <w:marRight w:val="0"/>
          <w:marTop w:val="0"/>
          <w:marBottom w:val="0"/>
          <w:divBdr>
            <w:top w:val="none" w:sz="0" w:space="0" w:color="auto"/>
            <w:left w:val="none" w:sz="0" w:space="0" w:color="auto"/>
            <w:bottom w:val="none" w:sz="0" w:space="0" w:color="auto"/>
            <w:right w:val="none" w:sz="0" w:space="0" w:color="auto"/>
          </w:divBdr>
        </w:div>
        <w:div w:id="245916660">
          <w:marLeft w:val="0"/>
          <w:marRight w:val="0"/>
          <w:marTop w:val="0"/>
          <w:marBottom w:val="0"/>
          <w:divBdr>
            <w:top w:val="none" w:sz="0" w:space="0" w:color="auto"/>
            <w:left w:val="none" w:sz="0" w:space="0" w:color="auto"/>
            <w:bottom w:val="none" w:sz="0" w:space="0" w:color="auto"/>
            <w:right w:val="none" w:sz="0" w:space="0" w:color="auto"/>
          </w:divBdr>
        </w:div>
        <w:div w:id="307902892">
          <w:marLeft w:val="0"/>
          <w:marRight w:val="0"/>
          <w:marTop w:val="0"/>
          <w:marBottom w:val="0"/>
          <w:divBdr>
            <w:top w:val="none" w:sz="0" w:space="0" w:color="auto"/>
            <w:left w:val="none" w:sz="0" w:space="0" w:color="auto"/>
            <w:bottom w:val="none" w:sz="0" w:space="0" w:color="auto"/>
            <w:right w:val="none" w:sz="0" w:space="0" w:color="auto"/>
          </w:divBdr>
        </w:div>
        <w:div w:id="415591474">
          <w:marLeft w:val="0"/>
          <w:marRight w:val="0"/>
          <w:marTop w:val="0"/>
          <w:marBottom w:val="0"/>
          <w:divBdr>
            <w:top w:val="none" w:sz="0" w:space="0" w:color="auto"/>
            <w:left w:val="none" w:sz="0" w:space="0" w:color="auto"/>
            <w:bottom w:val="none" w:sz="0" w:space="0" w:color="auto"/>
            <w:right w:val="none" w:sz="0" w:space="0" w:color="auto"/>
          </w:divBdr>
        </w:div>
        <w:div w:id="508132780">
          <w:marLeft w:val="0"/>
          <w:marRight w:val="0"/>
          <w:marTop w:val="0"/>
          <w:marBottom w:val="0"/>
          <w:divBdr>
            <w:top w:val="none" w:sz="0" w:space="0" w:color="auto"/>
            <w:left w:val="none" w:sz="0" w:space="0" w:color="auto"/>
            <w:bottom w:val="none" w:sz="0" w:space="0" w:color="auto"/>
            <w:right w:val="none" w:sz="0" w:space="0" w:color="auto"/>
          </w:divBdr>
        </w:div>
        <w:div w:id="577911202">
          <w:marLeft w:val="0"/>
          <w:marRight w:val="0"/>
          <w:marTop w:val="0"/>
          <w:marBottom w:val="0"/>
          <w:divBdr>
            <w:top w:val="none" w:sz="0" w:space="0" w:color="auto"/>
            <w:left w:val="none" w:sz="0" w:space="0" w:color="auto"/>
            <w:bottom w:val="none" w:sz="0" w:space="0" w:color="auto"/>
            <w:right w:val="none" w:sz="0" w:space="0" w:color="auto"/>
          </w:divBdr>
        </w:div>
        <w:div w:id="623734141">
          <w:marLeft w:val="0"/>
          <w:marRight w:val="0"/>
          <w:marTop w:val="0"/>
          <w:marBottom w:val="0"/>
          <w:divBdr>
            <w:top w:val="none" w:sz="0" w:space="0" w:color="auto"/>
            <w:left w:val="none" w:sz="0" w:space="0" w:color="auto"/>
            <w:bottom w:val="none" w:sz="0" w:space="0" w:color="auto"/>
            <w:right w:val="none" w:sz="0" w:space="0" w:color="auto"/>
          </w:divBdr>
        </w:div>
        <w:div w:id="1032269908">
          <w:marLeft w:val="0"/>
          <w:marRight w:val="0"/>
          <w:marTop w:val="0"/>
          <w:marBottom w:val="0"/>
          <w:divBdr>
            <w:top w:val="none" w:sz="0" w:space="0" w:color="auto"/>
            <w:left w:val="none" w:sz="0" w:space="0" w:color="auto"/>
            <w:bottom w:val="none" w:sz="0" w:space="0" w:color="auto"/>
            <w:right w:val="none" w:sz="0" w:space="0" w:color="auto"/>
          </w:divBdr>
        </w:div>
        <w:div w:id="1514689085">
          <w:marLeft w:val="0"/>
          <w:marRight w:val="0"/>
          <w:marTop w:val="0"/>
          <w:marBottom w:val="0"/>
          <w:divBdr>
            <w:top w:val="none" w:sz="0" w:space="0" w:color="auto"/>
            <w:left w:val="none" w:sz="0" w:space="0" w:color="auto"/>
            <w:bottom w:val="none" w:sz="0" w:space="0" w:color="auto"/>
            <w:right w:val="none" w:sz="0" w:space="0" w:color="auto"/>
          </w:divBdr>
        </w:div>
        <w:div w:id="1562331718">
          <w:marLeft w:val="0"/>
          <w:marRight w:val="0"/>
          <w:marTop w:val="0"/>
          <w:marBottom w:val="0"/>
          <w:divBdr>
            <w:top w:val="none" w:sz="0" w:space="0" w:color="auto"/>
            <w:left w:val="none" w:sz="0" w:space="0" w:color="auto"/>
            <w:bottom w:val="none" w:sz="0" w:space="0" w:color="auto"/>
            <w:right w:val="none" w:sz="0" w:space="0" w:color="auto"/>
          </w:divBdr>
        </w:div>
        <w:div w:id="1591159713">
          <w:marLeft w:val="0"/>
          <w:marRight w:val="0"/>
          <w:marTop w:val="0"/>
          <w:marBottom w:val="0"/>
          <w:divBdr>
            <w:top w:val="none" w:sz="0" w:space="0" w:color="auto"/>
            <w:left w:val="none" w:sz="0" w:space="0" w:color="auto"/>
            <w:bottom w:val="none" w:sz="0" w:space="0" w:color="auto"/>
            <w:right w:val="none" w:sz="0" w:space="0" w:color="auto"/>
          </w:divBdr>
        </w:div>
        <w:div w:id="1645041997">
          <w:marLeft w:val="0"/>
          <w:marRight w:val="0"/>
          <w:marTop w:val="0"/>
          <w:marBottom w:val="0"/>
          <w:divBdr>
            <w:top w:val="none" w:sz="0" w:space="0" w:color="auto"/>
            <w:left w:val="none" w:sz="0" w:space="0" w:color="auto"/>
            <w:bottom w:val="none" w:sz="0" w:space="0" w:color="auto"/>
            <w:right w:val="none" w:sz="0" w:space="0" w:color="auto"/>
          </w:divBdr>
        </w:div>
        <w:div w:id="1672828263">
          <w:marLeft w:val="0"/>
          <w:marRight w:val="0"/>
          <w:marTop w:val="0"/>
          <w:marBottom w:val="0"/>
          <w:divBdr>
            <w:top w:val="none" w:sz="0" w:space="0" w:color="auto"/>
            <w:left w:val="none" w:sz="0" w:space="0" w:color="auto"/>
            <w:bottom w:val="none" w:sz="0" w:space="0" w:color="auto"/>
            <w:right w:val="none" w:sz="0" w:space="0" w:color="auto"/>
          </w:divBdr>
        </w:div>
        <w:div w:id="2027635971">
          <w:marLeft w:val="0"/>
          <w:marRight w:val="0"/>
          <w:marTop w:val="0"/>
          <w:marBottom w:val="0"/>
          <w:divBdr>
            <w:top w:val="none" w:sz="0" w:space="0" w:color="auto"/>
            <w:left w:val="none" w:sz="0" w:space="0" w:color="auto"/>
            <w:bottom w:val="none" w:sz="0" w:space="0" w:color="auto"/>
            <w:right w:val="none" w:sz="0" w:space="0" w:color="auto"/>
          </w:divBdr>
        </w:div>
      </w:divsChild>
    </w:div>
    <w:div w:id="556626025">
      <w:bodyDiv w:val="1"/>
      <w:marLeft w:val="0"/>
      <w:marRight w:val="0"/>
      <w:marTop w:val="0"/>
      <w:marBottom w:val="0"/>
      <w:divBdr>
        <w:top w:val="none" w:sz="0" w:space="0" w:color="auto"/>
        <w:left w:val="none" w:sz="0" w:space="0" w:color="auto"/>
        <w:bottom w:val="none" w:sz="0" w:space="0" w:color="auto"/>
        <w:right w:val="none" w:sz="0" w:space="0" w:color="auto"/>
      </w:divBdr>
      <w:divsChild>
        <w:div w:id="1244871801">
          <w:marLeft w:val="0"/>
          <w:marRight w:val="0"/>
          <w:marTop w:val="0"/>
          <w:marBottom w:val="0"/>
          <w:divBdr>
            <w:top w:val="none" w:sz="0" w:space="0" w:color="auto"/>
            <w:left w:val="none" w:sz="0" w:space="0" w:color="auto"/>
            <w:bottom w:val="none" w:sz="0" w:space="0" w:color="auto"/>
            <w:right w:val="none" w:sz="0" w:space="0" w:color="auto"/>
          </w:divBdr>
        </w:div>
        <w:div w:id="117260397">
          <w:marLeft w:val="0"/>
          <w:marRight w:val="0"/>
          <w:marTop w:val="0"/>
          <w:marBottom w:val="0"/>
          <w:divBdr>
            <w:top w:val="none" w:sz="0" w:space="0" w:color="auto"/>
            <w:left w:val="none" w:sz="0" w:space="0" w:color="auto"/>
            <w:bottom w:val="none" w:sz="0" w:space="0" w:color="auto"/>
            <w:right w:val="none" w:sz="0" w:space="0" w:color="auto"/>
          </w:divBdr>
        </w:div>
      </w:divsChild>
    </w:div>
    <w:div w:id="574979093">
      <w:bodyDiv w:val="1"/>
      <w:marLeft w:val="0"/>
      <w:marRight w:val="0"/>
      <w:marTop w:val="0"/>
      <w:marBottom w:val="0"/>
      <w:divBdr>
        <w:top w:val="none" w:sz="0" w:space="0" w:color="auto"/>
        <w:left w:val="none" w:sz="0" w:space="0" w:color="auto"/>
        <w:bottom w:val="none" w:sz="0" w:space="0" w:color="auto"/>
        <w:right w:val="none" w:sz="0" w:space="0" w:color="auto"/>
      </w:divBdr>
      <w:divsChild>
        <w:div w:id="1800800834">
          <w:marLeft w:val="0"/>
          <w:marRight w:val="0"/>
          <w:marTop w:val="0"/>
          <w:marBottom w:val="0"/>
          <w:divBdr>
            <w:top w:val="none" w:sz="0" w:space="0" w:color="auto"/>
            <w:left w:val="none" w:sz="0" w:space="0" w:color="auto"/>
            <w:bottom w:val="none" w:sz="0" w:space="0" w:color="auto"/>
            <w:right w:val="none" w:sz="0" w:space="0" w:color="auto"/>
          </w:divBdr>
        </w:div>
      </w:divsChild>
    </w:div>
    <w:div w:id="583296280">
      <w:bodyDiv w:val="1"/>
      <w:marLeft w:val="0"/>
      <w:marRight w:val="0"/>
      <w:marTop w:val="0"/>
      <w:marBottom w:val="0"/>
      <w:divBdr>
        <w:top w:val="none" w:sz="0" w:space="0" w:color="auto"/>
        <w:left w:val="none" w:sz="0" w:space="0" w:color="auto"/>
        <w:bottom w:val="none" w:sz="0" w:space="0" w:color="auto"/>
        <w:right w:val="none" w:sz="0" w:space="0" w:color="auto"/>
      </w:divBdr>
    </w:div>
    <w:div w:id="594824027">
      <w:bodyDiv w:val="1"/>
      <w:marLeft w:val="0"/>
      <w:marRight w:val="0"/>
      <w:marTop w:val="0"/>
      <w:marBottom w:val="0"/>
      <w:divBdr>
        <w:top w:val="none" w:sz="0" w:space="0" w:color="auto"/>
        <w:left w:val="none" w:sz="0" w:space="0" w:color="auto"/>
        <w:bottom w:val="none" w:sz="0" w:space="0" w:color="auto"/>
        <w:right w:val="none" w:sz="0" w:space="0" w:color="auto"/>
      </w:divBdr>
    </w:div>
    <w:div w:id="598027388">
      <w:bodyDiv w:val="1"/>
      <w:marLeft w:val="0"/>
      <w:marRight w:val="0"/>
      <w:marTop w:val="0"/>
      <w:marBottom w:val="0"/>
      <w:divBdr>
        <w:top w:val="none" w:sz="0" w:space="0" w:color="auto"/>
        <w:left w:val="none" w:sz="0" w:space="0" w:color="auto"/>
        <w:bottom w:val="none" w:sz="0" w:space="0" w:color="auto"/>
        <w:right w:val="none" w:sz="0" w:space="0" w:color="auto"/>
      </w:divBdr>
    </w:div>
    <w:div w:id="601689302">
      <w:bodyDiv w:val="1"/>
      <w:marLeft w:val="0"/>
      <w:marRight w:val="0"/>
      <w:marTop w:val="0"/>
      <w:marBottom w:val="0"/>
      <w:divBdr>
        <w:top w:val="none" w:sz="0" w:space="0" w:color="auto"/>
        <w:left w:val="none" w:sz="0" w:space="0" w:color="auto"/>
        <w:bottom w:val="none" w:sz="0" w:space="0" w:color="auto"/>
        <w:right w:val="none" w:sz="0" w:space="0" w:color="auto"/>
      </w:divBdr>
      <w:divsChild>
        <w:div w:id="27875392">
          <w:marLeft w:val="0"/>
          <w:marRight w:val="0"/>
          <w:marTop w:val="0"/>
          <w:marBottom w:val="0"/>
          <w:divBdr>
            <w:top w:val="none" w:sz="0" w:space="0" w:color="auto"/>
            <w:left w:val="none" w:sz="0" w:space="0" w:color="auto"/>
            <w:bottom w:val="none" w:sz="0" w:space="0" w:color="auto"/>
            <w:right w:val="none" w:sz="0" w:space="0" w:color="auto"/>
          </w:divBdr>
        </w:div>
        <w:div w:id="41759187">
          <w:marLeft w:val="0"/>
          <w:marRight w:val="0"/>
          <w:marTop w:val="0"/>
          <w:marBottom w:val="0"/>
          <w:divBdr>
            <w:top w:val="none" w:sz="0" w:space="0" w:color="auto"/>
            <w:left w:val="none" w:sz="0" w:space="0" w:color="auto"/>
            <w:bottom w:val="none" w:sz="0" w:space="0" w:color="auto"/>
            <w:right w:val="none" w:sz="0" w:space="0" w:color="auto"/>
          </w:divBdr>
        </w:div>
        <w:div w:id="79522394">
          <w:marLeft w:val="0"/>
          <w:marRight w:val="0"/>
          <w:marTop w:val="0"/>
          <w:marBottom w:val="0"/>
          <w:divBdr>
            <w:top w:val="none" w:sz="0" w:space="0" w:color="auto"/>
            <w:left w:val="none" w:sz="0" w:space="0" w:color="auto"/>
            <w:bottom w:val="none" w:sz="0" w:space="0" w:color="auto"/>
            <w:right w:val="none" w:sz="0" w:space="0" w:color="auto"/>
          </w:divBdr>
        </w:div>
        <w:div w:id="118691569">
          <w:marLeft w:val="0"/>
          <w:marRight w:val="0"/>
          <w:marTop w:val="0"/>
          <w:marBottom w:val="0"/>
          <w:divBdr>
            <w:top w:val="none" w:sz="0" w:space="0" w:color="auto"/>
            <w:left w:val="none" w:sz="0" w:space="0" w:color="auto"/>
            <w:bottom w:val="none" w:sz="0" w:space="0" w:color="auto"/>
            <w:right w:val="none" w:sz="0" w:space="0" w:color="auto"/>
          </w:divBdr>
        </w:div>
        <w:div w:id="241373934">
          <w:marLeft w:val="0"/>
          <w:marRight w:val="0"/>
          <w:marTop w:val="0"/>
          <w:marBottom w:val="0"/>
          <w:divBdr>
            <w:top w:val="none" w:sz="0" w:space="0" w:color="auto"/>
            <w:left w:val="none" w:sz="0" w:space="0" w:color="auto"/>
            <w:bottom w:val="none" w:sz="0" w:space="0" w:color="auto"/>
            <w:right w:val="none" w:sz="0" w:space="0" w:color="auto"/>
          </w:divBdr>
        </w:div>
        <w:div w:id="258829003">
          <w:marLeft w:val="0"/>
          <w:marRight w:val="0"/>
          <w:marTop w:val="0"/>
          <w:marBottom w:val="0"/>
          <w:divBdr>
            <w:top w:val="none" w:sz="0" w:space="0" w:color="auto"/>
            <w:left w:val="none" w:sz="0" w:space="0" w:color="auto"/>
            <w:bottom w:val="none" w:sz="0" w:space="0" w:color="auto"/>
            <w:right w:val="none" w:sz="0" w:space="0" w:color="auto"/>
          </w:divBdr>
        </w:div>
        <w:div w:id="283273606">
          <w:marLeft w:val="0"/>
          <w:marRight w:val="0"/>
          <w:marTop w:val="0"/>
          <w:marBottom w:val="0"/>
          <w:divBdr>
            <w:top w:val="none" w:sz="0" w:space="0" w:color="auto"/>
            <w:left w:val="none" w:sz="0" w:space="0" w:color="auto"/>
            <w:bottom w:val="none" w:sz="0" w:space="0" w:color="auto"/>
            <w:right w:val="none" w:sz="0" w:space="0" w:color="auto"/>
          </w:divBdr>
        </w:div>
        <w:div w:id="350760323">
          <w:marLeft w:val="0"/>
          <w:marRight w:val="0"/>
          <w:marTop w:val="0"/>
          <w:marBottom w:val="0"/>
          <w:divBdr>
            <w:top w:val="none" w:sz="0" w:space="0" w:color="auto"/>
            <w:left w:val="none" w:sz="0" w:space="0" w:color="auto"/>
            <w:bottom w:val="none" w:sz="0" w:space="0" w:color="auto"/>
            <w:right w:val="none" w:sz="0" w:space="0" w:color="auto"/>
          </w:divBdr>
        </w:div>
        <w:div w:id="618032566">
          <w:marLeft w:val="0"/>
          <w:marRight w:val="0"/>
          <w:marTop w:val="0"/>
          <w:marBottom w:val="0"/>
          <w:divBdr>
            <w:top w:val="none" w:sz="0" w:space="0" w:color="auto"/>
            <w:left w:val="none" w:sz="0" w:space="0" w:color="auto"/>
            <w:bottom w:val="none" w:sz="0" w:space="0" w:color="auto"/>
            <w:right w:val="none" w:sz="0" w:space="0" w:color="auto"/>
          </w:divBdr>
        </w:div>
        <w:div w:id="662319206">
          <w:marLeft w:val="0"/>
          <w:marRight w:val="0"/>
          <w:marTop w:val="0"/>
          <w:marBottom w:val="0"/>
          <w:divBdr>
            <w:top w:val="none" w:sz="0" w:space="0" w:color="auto"/>
            <w:left w:val="none" w:sz="0" w:space="0" w:color="auto"/>
            <w:bottom w:val="none" w:sz="0" w:space="0" w:color="auto"/>
            <w:right w:val="none" w:sz="0" w:space="0" w:color="auto"/>
          </w:divBdr>
        </w:div>
        <w:div w:id="666593051">
          <w:marLeft w:val="0"/>
          <w:marRight w:val="0"/>
          <w:marTop w:val="0"/>
          <w:marBottom w:val="0"/>
          <w:divBdr>
            <w:top w:val="none" w:sz="0" w:space="0" w:color="auto"/>
            <w:left w:val="none" w:sz="0" w:space="0" w:color="auto"/>
            <w:bottom w:val="none" w:sz="0" w:space="0" w:color="auto"/>
            <w:right w:val="none" w:sz="0" w:space="0" w:color="auto"/>
          </w:divBdr>
        </w:div>
        <w:div w:id="812480530">
          <w:marLeft w:val="0"/>
          <w:marRight w:val="0"/>
          <w:marTop w:val="0"/>
          <w:marBottom w:val="0"/>
          <w:divBdr>
            <w:top w:val="none" w:sz="0" w:space="0" w:color="auto"/>
            <w:left w:val="none" w:sz="0" w:space="0" w:color="auto"/>
            <w:bottom w:val="none" w:sz="0" w:space="0" w:color="auto"/>
            <w:right w:val="none" w:sz="0" w:space="0" w:color="auto"/>
          </w:divBdr>
        </w:div>
        <w:div w:id="905070704">
          <w:marLeft w:val="0"/>
          <w:marRight w:val="0"/>
          <w:marTop w:val="0"/>
          <w:marBottom w:val="0"/>
          <w:divBdr>
            <w:top w:val="none" w:sz="0" w:space="0" w:color="auto"/>
            <w:left w:val="none" w:sz="0" w:space="0" w:color="auto"/>
            <w:bottom w:val="none" w:sz="0" w:space="0" w:color="auto"/>
            <w:right w:val="none" w:sz="0" w:space="0" w:color="auto"/>
          </w:divBdr>
        </w:div>
        <w:div w:id="1146046552">
          <w:marLeft w:val="0"/>
          <w:marRight w:val="0"/>
          <w:marTop w:val="0"/>
          <w:marBottom w:val="0"/>
          <w:divBdr>
            <w:top w:val="none" w:sz="0" w:space="0" w:color="auto"/>
            <w:left w:val="none" w:sz="0" w:space="0" w:color="auto"/>
            <w:bottom w:val="none" w:sz="0" w:space="0" w:color="auto"/>
            <w:right w:val="none" w:sz="0" w:space="0" w:color="auto"/>
          </w:divBdr>
        </w:div>
        <w:div w:id="1203400327">
          <w:marLeft w:val="0"/>
          <w:marRight w:val="0"/>
          <w:marTop w:val="0"/>
          <w:marBottom w:val="0"/>
          <w:divBdr>
            <w:top w:val="none" w:sz="0" w:space="0" w:color="auto"/>
            <w:left w:val="none" w:sz="0" w:space="0" w:color="auto"/>
            <w:bottom w:val="none" w:sz="0" w:space="0" w:color="auto"/>
            <w:right w:val="none" w:sz="0" w:space="0" w:color="auto"/>
          </w:divBdr>
        </w:div>
        <w:div w:id="1242518610">
          <w:marLeft w:val="0"/>
          <w:marRight w:val="0"/>
          <w:marTop w:val="0"/>
          <w:marBottom w:val="0"/>
          <w:divBdr>
            <w:top w:val="none" w:sz="0" w:space="0" w:color="auto"/>
            <w:left w:val="none" w:sz="0" w:space="0" w:color="auto"/>
            <w:bottom w:val="none" w:sz="0" w:space="0" w:color="auto"/>
            <w:right w:val="none" w:sz="0" w:space="0" w:color="auto"/>
          </w:divBdr>
        </w:div>
        <w:div w:id="1326742309">
          <w:marLeft w:val="0"/>
          <w:marRight w:val="0"/>
          <w:marTop w:val="0"/>
          <w:marBottom w:val="0"/>
          <w:divBdr>
            <w:top w:val="none" w:sz="0" w:space="0" w:color="auto"/>
            <w:left w:val="none" w:sz="0" w:space="0" w:color="auto"/>
            <w:bottom w:val="none" w:sz="0" w:space="0" w:color="auto"/>
            <w:right w:val="none" w:sz="0" w:space="0" w:color="auto"/>
          </w:divBdr>
        </w:div>
        <w:div w:id="1342125762">
          <w:marLeft w:val="0"/>
          <w:marRight w:val="0"/>
          <w:marTop w:val="0"/>
          <w:marBottom w:val="0"/>
          <w:divBdr>
            <w:top w:val="none" w:sz="0" w:space="0" w:color="auto"/>
            <w:left w:val="none" w:sz="0" w:space="0" w:color="auto"/>
            <w:bottom w:val="none" w:sz="0" w:space="0" w:color="auto"/>
            <w:right w:val="none" w:sz="0" w:space="0" w:color="auto"/>
          </w:divBdr>
        </w:div>
        <w:div w:id="1502114363">
          <w:marLeft w:val="0"/>
          <w:marRight w:val="0"/>
          <w:marTop w:val="0"/>
          <w:marBottom w:val="0"/>
          <w:divBdr>
            <w:top w:val="none" w:sz="0" w:space="0" w:color="auto"/>
            <w:left w:val="none" w:sz="0" w:space="0" w:color="auto"/>
            <w:bottom w:val="none" w:sz="0" w:space="0" w:color="auto"/>
            <w:right w:val="none" w:sz="0" w:space="0" w:color="auto"/>
          </w:divBdr>
        </w:div>
        <w:div w:id="1515223945">
          <w:marLeft w:val="0"/>
          <w:marRight w:val="0"/>
          <w:marTop w:val="0"/>
          <w:marBottom w:val="0"/>
          <w:divBdr>
            <w:top w:val="none" w:sz="0" w:space="0" w:color="auto"/>
            <w:left w:val="none" w:sz="0" w:space="0" w:color="auto"/>
            <w:bottom w:val="none" w:sz="0" w:space="0" w:color="auto"/>
            <w:right w:val="none" w:sz="0" w:space="0" w:color="auto"/>
          </w:divBdr>
        </w:div>
        <w:div w:id="1565677116">
          <w:marLeft w:val="0"/>
          <w:marRight w:val="0"/>
          <w:marTop w:val="0"/>
          <w:marBottom w:val="0"/>
          <w:divBdr>
            <w:top w:val="none" w:sz="0" w:space="0" w:color="auto"/>
            <w:left w:val="none" w:sz="0" w:space="0" w:color="auto"/>
            <w:bottom w:val="none" w:sz="0" w:space="0" w:color="auto"/>
            <w:right w:val="none" w:sz="0" w:space="0" w:color="auto"/>
          </w:divBdr>
        </w:div>
        <w:div w:id="1603345261">
          <w:marLeft w:val="0"/>
          <w:marRight w:val="0"/>
          <w:marTop w:val="0"/>
          <w:marBottom w:val="0"/>
          <w:divBdr>
            <w:top w:val="none" w:sz="0" w:space="0" w:color="auto"/>
            <w:left w:val="none" w:sz="0" w:space="0" w:color="auto"/>
            <w:bottom w:val="none" w:sz="0" w:space="0" w:color="auto"/>
            <w:right w:val="none" w:sz="0" w:space="0" w:color="auto"/>
          </w:divBdr>
        </w:div>
        <w:div w:id="1682662731">
          <w:marLeft w:val="0"/>
          <w:marRight w:val="0"/>
          <w:marTop w:val="0"/>
          <w:marBottom w:val="0"/>
          <w:divBdr>
            <w:top w:val="none" w:sz="0" w:space="0" w:color="auto"/>
            <w:left w:val="none" w:sz="0" w:space="0" w:color="auto"/>
            <w:bottom w:val="none" w:sz="0" w:space="0" w:color="auto"/>
            <w:right w:val="none" w:sz="0" w:space="0" w:color="auto"/>
          </w:divBdr>
        </w:div>
        <w:div w:id="1688363844">
          <w:marLeft w:val="0"/>
          <w:marRight w:val="0"/>
          <w:marTop w:val="0"/>
          <w:marBottom w:val="0"/>
          <w:divBdr>
            <w:top w:val="none" w:sz="0" w:space="0" w:color="auto"/>
            <w:left w:val="none" w:sz="0" w:space="0" w:color="auto"/>
            <w:bottom w:val="none" w:sz="0" w:space="0" w:color="auto"/>
            <w:right w:val="none" w:sz="0" w:space="0" w:color="auto"/>
          </w:divBdr>
        </w:div>
        <w:div w:id="1898465664">
          <w:marLeft w:val="0"/>
          <w:marRight w:val="0"/>
          <w:marTop w:val="0"/>
          <w:marBottom w:val="0"/>
          <w:divBdr>
            <w:top w:val="none" w:sz="0" w:space="0" w:color="auto"/>
            <w:left w:val="none" w:sz="0" w:space="0" w:color="auto"/>
            <w:bottom w:val="none" w:sz="0" w:space="0" w:color="auto"/>
            <w:right w:val="none" w:sz="0" w:space="0" w:color="auto"/>
          </w:divBdr>
        </w:div>
        <w:div w:id="2024355375">
          <w:marLeft w:val="0"/>
          <w:marRight w:val="0"/>
          <w:marTop w:val="0"/>
          <w:marBottom w:val="0"/>
          <w:divBdr>
            <w:top w:val="none" w:sz="0" w:space="0" w:color="auto"/>
            <w:left w:val="none" w:sz="0" w:space="0" w:color="auto"/>
            <w:bottom w:val="none" w:sz="0" w:space="0" w:color="auto"/>
            <w:right w:val="none" w:sz="0" w:space="0" w:color="auto"/>
          </w:divBdr>
        </w:div>
        <w:div w:id="2033216723">
          <w:marLeft w:val="0"/>
          <w:marRight w:val="0"/>
          <w:marTop w:val="0"/>
          <w:marBottom w:val="0"/>
          <w:divBdr>
            <w:top w:val="none" w:sz="0" w:space="0" w:color="auto"/>
            <w:left w:val="none" w:sz="0" w:space="0" w:color="auto"/>
            <w:bottom w:val="none" w:sz="0" w:space="0" w:color="auto"/>
            <w:right w:val="none" w:sz="0" w:space="0" w:color="auto"/>
          </w:divBdr>
        </w:div>
        <w:div w:id="2110545348">
          <w:marLeft w:val="0"/>
          <w:marRight w:val="0"/>
          <w:marTop w:val="0"/>
          <w:marBottom w:val="0"/>
          <w:divBdr>
            <w:top w:val="none" w:sz="0" w:space="0" w:color="auto"/>
            <w:left w:val="none" w:sz="0" w:space="0" w:color="auto"/>
            <w:bottom w:val="none" w:sz="0" w:space="0" w:color="auto"/>
            <w:right w:val="none" w:sz="0" w:space="0" w:color="auto"/>
          </w:divBdr>
        </w:div>
      </w:divsChild>
    </w:div>
    <w:div w:id="602609861">
      <w:bodyDiv w:val="1"/>
      <w:marLeft w:val="0"/>
      <w:marRight w:val="0"/>
      <w:marTop w:val="0"/>
      <w:marBottom w:val="0"/>
      <w:divBdr>
        <w:top w:val="none" w:sz="0" w:space="0" w:color="auto"/>
        <w:left w:val="none" w:sz="0" w:space="0" w:color="auto"/>
        <w:bottom w:val="none" w:sz="0" w:space="0" w:color="auto"/>
        <w:right w:val="none" w:sz="0" w:space="0" w:color="auto"/>
      </w:divBdr>
    </w:div>
    <w:div w:id="620958294">
      <w:bodyDiv w:val="1"/>
      <w:marLeft w:val="0"/>
      <w:marRight w:val="0"/>
      <w:marTop w:val="0"/>
      <w:marBottom w:val="0"/>
      <w:divBdr>
        <w:top w:val="none" w:sz="0" w:space="0" w:color="auto"/>
        <w:left w:val="none" w:sz="0" w:space="0" w:color="auto"/>
        <w:bottom w:val="none" w:sz="0" w:space="0" w:color="auto"/>
        <w:right w:val="none" w:sz="0" w:space="0" w:color="auto"/>
      </w:divBdr>
    </w:div>
    <w:div w:id="622736212">
      <w:bodyDiv w:val="1"/>
      <w:marLeft w:val="0"/>
      <w:marRight w:val="0"/>
      <w:marTop w:val="0"/>
      <w:marBottom w:val="0"/>
      <w:divBdr>
        <w:top w:val="none" w:sz="0" w:space="0" w:color="auto"/>
        <w:left w:val="none" w:sz="0" w:space="0" w:color="auto"/>
        <w:bottom w:val="none" w:sz="0" w:space="0" w:color="auto"/>
        <w:right w:val="none" w:sz="0" w:space="0" w:color="auto"/>
      </w:divBdr>
    </w:div>
    <w:div w:id="630863479">
      <w:bodyDiv w:val="1"/>
      <w:marLeft w:val="0"/>
      <w:marRight w:val="0"/>
      <w:marTop w:val="0"/>
      <w:marBottom w:val="0"/>
      <w:divBdr>
        <w:top w:val="none" w:sz="0" w:space="0" w:color="auto"/>
        <w:left w:val="none" w:sz="0" w:space="0" w:color="auto"/>
        <w:bottom w:val="none" w:sz="0" w:space="0" w:color="auto"/>
        <w:right w:val="none" w:sz="0" w:space="0" w:color="auto"/>
      </w:divBdr>
    </w:div>
    <w:div w:id="633676173">
      <w:bodyDiv w:val="1"/>
      <w:marLeft w:val="0"/>
      <w:marRight w:val="0"/>
      <w:marTop w:val="0"/>
      <w:marBottom w:val="0"/>
      <w:divBdr>
        <w:top w:val="none" w:sz="0" w:space="0" w:color="auto"/>
        <w:left w:val="none" w:sz="0" w:space="0" w:color="auto"/>
        <w:bottom w:val="none" w:sz="0" w:space="0" w:color="auto"/>
        <w:right w:val="none" w:sz="0" w:space="0" w:color="auto"/>
      </w:divBdr>
    </w:div>
    <w:div w:id="635992171">
      <w:bodyDiv w:val="1"/>
      <w:marLeft w:val="0"/>
      <w:marRight w:val="0"/>
      <w:marTop w:val="0"/>
      <w:marBottom w:val="0"/>
      <w:divBdr>
        <w:top w:val="none" w:sz="0" w:space="0" w:color="auto"/>
        <w:left w:val="none" w:sz="0" w:space="0" w:color="auto"/>
        <w:bottom w:val="none" w:sz="0" w:space="0" w:color="auto"/>
        <w:right w:val="none" w:sz="0" w:space="0" w:color="auto"/>
      </w:divBdr>
      <w:divsChild>
        <w:div w:id="409697703">
          <w:marLeft w:val="0"/>
          <w:marRight w:val="0"/>
          <w:marTop w:val="0"/>
          <w:marBottom w:val="0"/>
          <w:divBdr>
            <w:top w:val="none" w:sz="0" w:space="0" w:color="auto"/>
            <w:left w:val="none" w:sz="0" w:space="0" w:color="auto"/>
            <w:bottom w:val="none" w:sz="0" w:space="0" w:color="auto"/>
            <w:right w:val="none" w:sz="0" w:space="0" w:color="auto"/>
          </w:divBdr>
          <w:divsChild>
            <w:div w:id="9331429">
              <w:marLeft w:val="0"/>
              <w:marRight w:val="0"/>
              <w:marTop w:val="0"/>
              <w:marBottom w:val="0"/>
              <w:divBdr>
                <w:top w:val="none" w:sz="0" w:space="0" w:color="auto"/>
                <w:left w:val="none" w:sz="0" w:space="0" w:color="auto"/>
                <w:bottom w:val="none" w:sz="0" w:space="0" w:color="auto"/>
                <w:right w:val="none" w:sz="0" w:space="0" w:color="auto"/>
              </w:divBdr>
              <w:divsChild>
                <w:div w:id="1790472577">
                  <w:marLeft w:val="0"/>
                  <w:marRight w:val="0"/>
                  <w:marTop w:val="0"/>
                  <w:marBottom w:val="0"/>
                  <w:divBdr>
                    <w:top w:val="none" w:sz="0" w:space="0" w:color="auto"/>
                    <w:left w:val="none" w:sz="0" w:space="0" w:color="auto"/>
                    <w:bottom w:val="none" w:sz="0" w:space="0" w:color="auto"/>
                    <w:right w:val="none" w:sz="0" w:space="0" w:color="auto"/>
                  </w:divBdr>
                  <w:divsChild>
                    <w:div w:id="1069426203">
                      <w:marLeft w:val="0"/>
                      <w:marRight w:val="0"/>
                      <w:marTop w:val="0"/>
                      <w:marBottom w:val="0"/>
                      <w:divBdr>
                        <w:top w:val="none" w:sz="0" w:space="0" w:color="auto"/>
                        <w:left w:val="none" w:sz="0" w:space="0" w:color="auto"/>
                        <w:bottom w:val="none" w:sz="0" w:space="0" w:color="auto"/>
                        <w:right w:val="none" w:sz="0" w:space="0" w:color="auto"/>
                      </w:divBdr>
                      <w:divsChild>
                        <w:div w:id="1323701848">
                          <w:marLeft w:val="0"/>
                          <w:marRight w:val="0"/>
                          <w:marTop w:val="0"/>
                          <w:marBottom w:val="0"/>
                          <w:divBdr>
                            <w:top w:val="none" w:sz="0" w:space="0" w:color="auto"/>
                            <w:left w:val="none" w:sz="0" w:space="0" w:color="auto"/>
                            <w:bottom w:val="none" w:sz="0" w:space="0" w:color="auto"/>
                            <w:right w:val="none" w:sz="0" w:space="0" w:color="auto"/>
                          </w:divBdr>
                          <w:divsChild>
                            <w:div w:id="1551455606">
                              <w:marLeft w:val="0"/>
                              <w:marRight w:val="0"/>
                              <w:marTop w:val="0"/>
                              <w:marBottom w:val="0"/>
                              <w:divBdr>
                                <w:top w:val="none" w:sz="0" w:space="0" w:color="auto"/>
                                <w:left w:val="none" w:sz="0" w:space="0" w:color="auto"/>
                                <w:bottom w:val="none" w:sz="0" w:space="0" w:color="auto"/>
                                <w:right w:val="none" w:sz="0" w:space="0" w:color="auto"/>
                              </w:divBdr>
                              <w:divsChild>
                                <w:div w:id="1969512430">
                                  <w:marLeft w:val="0"/>
                                  <w:marRight w:val="0"/>
                                  <w:marTop w:val="0"/>
                                  <w:marBottom w:val="0"/>
                                  <w:divBdr>
                                    <w:top w:val="none" w:sz="0" w:space="0" w:color="auto"/>
                                    <w:left w:val="none" w:sz="0" w:space="0" w:color="auto"/>
                                    <w:bottom w:val="none" w:sz="0" w:space="0" w:color="auto"/>
                                    <w:right w:val="none" w:sz="0" w:space="0" w:color="auto"/>
                                  </w:divBdr>
                                  <w:divsChild>
                                    <w:div w:id="450395468">
                                      <w:marLeft w:val="0"/>
                                      <w:marRight w:val="0"/>
                                      <w:marTop w:val="0"/>
                                      <w:marBottom w:val="0"/>
                                      <w:divBdr>
                                        <w:top w:val="none" w:sz="0" w:space="0" w:color="auto"/>
                                        <w:left w:val="none" w:sz="0" w:space="0" w:color="auto"/>
                                        <w:bottom w:val="none" w:sz="0" w:space="0" w:color="auto"/>
                                        <w:right w:val="none" w:sz="0" w:space="0" w:color="auto"/>
                                      </w:divBdr>
                                      <w:divsChild>
                                        <w:div w:id="1156260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7131588">
                              <w:marLeft w:val="0"/>
                              <w:marRight w:val="0"/>
                              <w:marTop w:val="0"/>
                              <w:marBottom w:val="0"/>
                              <w:divBdr>
                                <w:top w:val="none" w:sz="0" w:space="0" w:color="auto"/>
                                <w:left w:val="none" w:sz="0" w:space="0" w:color="auto"/>
                                <w:bottom w:val="none" w:sz="0" w:space="0" w:color="auto"/>
                                <w:right w:val="none" w:sz="0" w:space="0" w:color="auto"/>
                              </w:divBdr>
                              <w:divsChild>
                                <w:div w:id="1970474758">
                                  <w:marLeft w:val="0"/>
                                  <w:marRight w:val="0"/>
                                  <w:marTop w:val="0"/>
                                  <w:marBottom w:val="0"/>
                                  <w:divBdr>
                                    <w:top w:val="none" w:sz="0" w:space="0" w:color="auto"/>
                                    <w:left w:val="none" w:sz="0" w:space="0" w:color="auto"/>
                                    <w:bottom w:val="none" w:sz="0" w:space="0" w:color="auto"/>
                                    <w:right w:val="none" w:sz="0" w:space="0" w:color="auto"/>
                                  </w:divBdr>
                                  <w:divsChild>
                                    <w:div w:id="1950888469">
                                      <w:marLeft w:val="0"/>
                                      <w:marRight w:val="0"/>
                                      <w:marTop w:val="0"/>
                                      <w:marBottom w:val="0"/>
                                      <w:divBdr>
                                        <w:top w:val="none" w:sz="0" w:space="0" w:color="auto"/>
                                        <w:left w:val="none" w:sz="0" w:space="0" w:color="auto"/>
                                        <w:bottom w:val="none" w:sz="0" w:space="0" w:color="auto"/>
                                        <w:right w:val="none" w:sz="0" w:space="0" w:color="auto"/>
                                      </w:divBdr>
                                      <w:divsChild>
                                        <w:div w:id="57640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610646">
                              <w:marLeft w:val="0"/>
                              <w:marRight w:val="0"/>
                              <w:marTop w:val="0"/>
                              <w:marBottom w:val="0"/>
                              <w:divBdr>
                                <w:top w:val="none" w:sz="0" w:space="0" w:color="auto"/>
                                <w:left w:val="none" w:sz="0" w:space="0" w:color="auto"/>
                                <w:bottom w:val="none" w:sz="0" w:space="0" w:color="auto"/>
                                <w:right w:val="none" w:sz="0" w:space="0" w:color="auto"/>
                              </w:divBdr>
                              <w:divsChild>
                                <w:div w:id="174881149">
                                  <w:marLeft w:val="0"/>
                                  <w:marRight w:val="0"/>
                                  <w:marTop w:val="0"/>
                                  <w:marBottom w:val="0"/>
                                  <w:divBdr>
                                    <w:top w:val="none" w:sz="0" w:space="0" w:color="auto"/>
                                    <w:left w:val="none" w:sz="0" w:space="0" w:color="auto"/>
                                    <w:bottom w:val="none" w:sz="0" w:space="0" w:color="auto"/>
                                    <w:right w:val="none" w:sz="0" w:space="0" w:color="auto"/>
                                  </w:divBdr>
                                  <w:divsChild>
                                    <w:div w:id="611324926">
                                      <w:marLeft w:val="0"/>
                                      <w:marRight w:val="0"/>
                                      <w:marTop w:val="0"/>
                                      <w:marBottom w:val="0"/>
                                      <w:divBdr>
                                        <w:top w:val="none" w:sz="0" w:space="0" w:color="auto"/>
                                        <w:left w:val="none" w:sz="0" w:space="0" w:color="auto"/>
                                        <w:bottom w:val="none" w:sz="0" w:space="0" w:color="auto"/>
                                        <w:right w:val="none" w:sz="0" w:space="0" w:color="auto"/>
                                      </w:divBdr>
                                      <w:divsChild>
                                        <w:div w:id="753207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2733111">
      <w:bodyDiv w:val="1"/>
      <w:marLeft w:val="0"/>
      <w:marRight w:val="0"/>
      <w:marTop w:val="0"/>
      <w:marBottom w:val="0"/>
      <w:divBdr>
        <w:top w:val="none" w:sz="0" w:space="0" w:color="auto"/>
        <w:left w:val="none" w:sz="0" w:space="0" w:color="auto"/>
        <w:bottom w:val="none" w:sz="0" w:space="0" w:color="auto"/>
        <w:right w:val="none" w:sz="0" w:space="0" w:color="auto"/>
      </w:divBdr>
      <w:divsChild>
        <w:div w:id="48194374">
          <w:marLeft w:val="0"/>
          <w:marRight w:val="0"/>
          <w:marTop w:val="0"/>
          <w:marBottom w:val="0"/>
          <w:divBdr>
            <w:top w:val="none" w:sz="0" w:space="0" w:color="auto"/>
            <w:left w:val="none" w:sz="0" w:space="0" w:color="auto"/>
            <w:bottom w:val="none" w:sz="0" w:space="0" w:color="auto"/>
            <w:right w:val="none" w:sz="0" w:space="0" w:color="auto"/>
          </w:divBdr>
        </w:div>
        <w:div w:id="66609581">
          <w:marLeft w:val="0"/>
          <w:marRight w:val="0"/>
          <w:marTop w:val="0"/>
          <w:marBottom w:val="0"/>
          <w:divBdr>
            <w:top w:val="none" w:sz="0" w:space="0" w:color="auto"/>
            <w:left w:val="none" w:sz="0" w:space="0" w:color="auto"/>
            <w:bottom w:val="none" w:sz="0" w:space="0" w:color="auto"/>
            <w:right w:val="none" w:sz="0" w:space="0" w:color="auto"/>
          </w:divBdr>
        </w:div>
        <w:div w:id="180781010">
          <w:marLeft w:val="0"/>
          <w:marRight w:val="0"/>
          <w:marTop w:val="0"/>
          <w:marBottom w:val="0"/>
          <w:divBdr>
            <w:top w:val="none" w:sz="0" w:space="0" w:color="auto"/>
            <w:left w:val="none" w:sz="0" w:space="0" w:color="auto"/>
            <w:bottom w:val="none" w:sz="0" w:space="0" w:color="auto"/>
            <w:right w:val="none" w:sz="0" w:space="0" w:color="auto"/>
          </w:divBdr>
        </w:div>
        <w:div w:id="189030731">
          <w:marLeft w:val="0"/>
          <w:marRight w:val="0"/>
          <w:marTop w:val="0"/>
          <w:marBottom w:val="0"/>
          <w:divBdr>
            <w:top w:val="none" w:sz="0" w:space="0" w:color="auto"/>
            <w:left w:val="none" w:sz="0" w:space="0" w:color="auto"/>
            <w:bottom w:val="none" w:sz="0" w:space="0" w:color="auto"/>
            <w:right w:val="none" w:sz="0" w:space="0" w:color="auto"/>
          </w:divBdr>
        </w:div>
        <w:div w:id="206915148">
          <w:marLeft w:val="0"/>
          <w:marRight w:val="0"/>
          <w:marTop w:val="0"/>
          <w:marBottom w:val="0"/>
          <w:divBdr>
            <w:top w:val="none" w:sz="0" w:space="0" w:color="auto"/>
            <w:left w:val="none" w:sz="0" w:space="0" w:color="auto"/>
            <w:bottom w:val="none" w:sz="0" w:space="0" w:color="auto"/>
            <w:right w:val="none" w:sz="0" w:space="0" w:color="auto"/>
          </w:divBdr>
        </w:div>
        <w:div w:id="207835346">
          <w:marLeft w:val="0"/>
          <w:marRight w:val="0"/>
          <w:marTop w:val="0"/>
          <w:marBottom w:val="0"/>
          <w:divBdr>
            <w:top w:val="none" w:sz="0" w:space="0" w:color="auto"/>
            <w:left w:val="none" w:sz="0" w:space="0" w:color="auto"/>
            <w:bottom w:val="none" w:sz="0" w:space="0" w:color="auto"/>
            <w:right w:val="none" w:sz="0" w:space="0" w:color="auto"/>
          </w:divBdr>
        </w:div>
        <w:div w:id="237371949">
          <w:marLeft w:val="0"/>
          <w:marRight w:val="0"/>
          <w:marTop w:val="0"/>
          <w:marBottom w:val="0"/>
          <w:divBdr>
            <w:top w:val="none" w:sz="0" w:space="0" w:color="auto"/>
            <w:left w:val="none" w:sz="0" w:space="0" w:color="auto"/>
            <w:bottom w:val="none" w:sz="0" w:space="0" w:color="auto"/>
            <w:right w:val="none" w:sz="0" w:space="0" w:color="auto"/>
          </w:divBdr>
        </w:div>
        <w:div w:id="260726322">
          <w:marLeft w:val="0"/>
          <w:marRight w:val="0"/>
          <w:marTop w:val="0"/>
          <w:marBottom w:val="0"/>
          <w:divBdr>
            <w:top w:val="none" w:sz="0" w:space="0" w:color="auto"/>
            <w:left w:val="none" w:sz="0" w:space="0" w:color="auto"/>
            <w:bottom w:val="none" w:sz="0" w:space="0" w:color="auto"/>
            <w:right w:val="none" w:sz="0" w:space="0" w:color="auto"/>
          </w:divBdr>
        </w:div>
        <w:div w:id="300960581">
          <w:marLeft w:val="0"/>
          <w:marRight w:val="0"/>
          <w:marTop w:val="0"/>
          <w:marBottom w:val="0"/>
          <w:divBdr>
            <w:top w:val="none" w:sz="0" w:space="0" w:color="auto"/>
            <w:left w:val="none" w:sz="0" w:space="0" w:color="auto"/>
            <w:bottom w:val="none" w:sz="0" w:space="0" w:color="auto"/>
            <w:right w:val="none" w:sz="0" w:space="0" w:color="auto"/>
          </w:divBdr>
        </w:div>
        <w:div w:id="340160277">
          <w:marLeft w:val="0"/>
          <w:marRight w:val="0"/>
          <w:marTop w:val="0"/>
          <w:marBottom w:val="0"/>
          <w:divBdr>
            <w:top w:val="none" w:sz="0" w:space="0" w:color="auto"/>
            <w:left w:val="none" w:sz="0" w:space="0" w:color="auto"/>
            <w:bottom w:val="none" w:sz="0" w:space="0" w:color="auto"/>
            <w:right w:val="none" w:sz="0" w:space="0" w:color="auto"/>
          </w:divBdr>
        </w:div>
        <w:div w:id="396783947">
          <w:marLeft w:val="0"/>
          <w:marRight w:val="0"/>
          <w:marTop w:val="0"/>
          <w:marBottom w:val="0"/>
          <w:divBdr>
            <w:top w:val="none" w:sz="0" w:space="0" w:color="auto"/>
            <w:left w:val="none" w:sz="0" w:space="0" w:color="auto"/>
            <w:bottom w:val="none" w:sz="0" w:space="0" w:color="auto"/>
            <w:right w:val="none" w:sz="0" w:space="0" w:color="auto"/>
          </w:divBdr>
        </w:div>
        <w:div w:id="407964991">
          <w:marLeft w:val="0"/>
          <w:marRight w:val="0"/>
          <w:marTop w:val="0"/>
          <w:marBottom w:val="0"/>
          <w:divBdr>
            <w:top w:val="none" w:sz="0" w:space="0" w:color="auto"/>
            <w:left w:val="none" w:sz="0" w:space="0" w:color="auto"/>
            <w:bottom w:val="none" w:sz="0" w:space="0" w:color="auto"/>
            <w:right w:val="none" w:sz="0" w:space="0" w:color="auto"/>
          </w:divBdr>
        </w:div>
        <w:div w:id="407970797">
          <w:marLeft w:val="0"/>
          <w:marRight w:val="0"/>
          <w:marTop w:val="0"/>
          <w:marBottom w:val="0"/>
          <w:divBdr>
            <w:top w:val="none" w:sz="0" w:space="0" w:color="auto"/>
            <w:left w:val="none" w:sz="0" w:space="0" w:color="auto"/>
            <w:bottom w:val="none" w:sz="0" w:space="0" w:color="auto"/>
            <w:right w:val="none" w:sz="0" w:space="0" w:color="auto"/>
          </w:divBdr>
        </w:div>
        <w:div w:id="458425034">
          <w:marLeft w:val="0"/>
          <w:marRight w:val="0"/>
          <w:marTop w:val="0"/>
          <w:marBottom w:val="0"/>
          <w:divBdr>
            <w:top w:val="none" w:sz="0" w:space="0" w:color="auto"/>
            <w:left w:val="none" w:sz="0" w:space="0" w:color="auto"/>
            <w:bottom w:val="none" w:sz="0" w:space="0" w:color="auto"/>
            <w:right w:val="none" w:sz="0" w:space="0" w:color="auto"/>
          </w:divBdr>
        </w:div>
        <w:div w:id="496727809">
          <w:marLeft w:val="0"/>
          <w:marRight w:val="0"/>
          <w:marTop w:val="0"/>
          <w:marBottom w:val="0"/>
          <w:divBdr>
            <w:top w:val="none" w:sz="0" w:space="0" w:color="auto"/>
            <w:left w:val="none" w:sz="0" w:space="0" w:color="auto"/>
            <w:bottom w:val="none" w:sz="0" w:space="0" w:color="auto"/>
            <w:right w:val="none" w:sz="0" w:space="0" w:color="auto"/>
          </w:divBdr>
        </w:div>
        <w:div w:id="504905315">
          <w:marLeft w:val="0"/>
          <w:marRight w:val="0"/>
          <w:marTop w:val="0"/>
          <w:marBottom w:val="0"/>
          <w:divBdr>
            <w:top w:val="none" w:sz="0" w:space="0" w:color="auto"/>
            <w:left w:val="none" w:sz="0" w:space="0" w:color="auto"/>
            <w:bottom w:val="none" w:sz="0" w:space="0" w:color="auto"/>
            <w:right w:val="none" w:sz="0" w:space="0" w:color="auto"/>
          </w:divBdr>
        </w:div>
        <w:div w:id="524102060">
          <w:marLeft w:val="0"/>
          <w:marRight w:val="0"/>
          <w:marTop w:val="0"/>
          <w:marBottom w:val="0"/>
          <w:divBdr>
            <w:top w:val="none" w:sz="0" w:space="0" w:color="auto"/>
            <w:left w:val="none" w:sz="0" w:space="0" w:color="auto"/>
            <w:bottom w:val="none" w:sz="0" w:space="0" w:color="auto"/>
            <w:right w:val="none" w:sz="0" w:space="0" w:color="auto"/>
          </w:divBdr>
        </w:div>
        <w:div w:id="754210693">
          <w:marLeft w:val="0"/>
          <w:marRight w:val="0"/>
          <w:marTop w:val="0"/>
          <w:marBottom w:val="0"/>
          <w:divBdr>
            <w:top w:val="none" w:sz="0" w:space="0" w:color="auto"/>
            <w:left w:val="none" w:sz="0" w:space="0" w:color="auto"/>
            <w:bottom w:val="none" w:sz="0" w:space="0" w:color="auto"/>
            <w:right w:val="none" w:sz="0" w:space="0" w:color="auto"/>
          </w:divBdr>
        </w:div>
        <w:div w:id="778182768">
          <w:marLeft w:val="0"/>
          <w:marRight w:val="0"/>
          <w:marTop w:val="0"/>
          <w:marBottom w:val="0"/>
          <w:divBdr>
            <w:top w:val="none" w:sz="0" w:space="0" w:color="auto"/>
            <w:left w:val="none" w:sz="0" w:space="0" w:color="auto"/>
            <w:bottom w:val="none" w:sz="0" w:space="0" w:color="auto"/>
            <w:right w:val="none" w:sz="0" w:space="0" w:color="auto"/>
          </w:divBdr>
        </w:div>
        <w:div w:id="782000050">
          <w:marLeft w:val="0"/>
          <w:marRight w:val="0"/>
          <w:marTop w:val="0"/>
          <w:marBottom w:val="0"/>
          <w:divBdr>
            <w:top w:val="none" w:sz="0" w:space="0" w:color="auto"/>
            <w:left w:val="none" w:sz="0" w:space="0" w:color="auto"/>
            <w:bottom w:val="none" w:sz="0" w:space="0" w:color="auto"/>
            <w:right w:val="none" w:sz="0" w:space="0" w:color="auto"/>
          </w:divBdr>
        </w:div>
        <w:div w:id="801577620">
          <w:marLeft w:val="0"/>
          <w:marRight w:val="0"/>
          <w:marTop w:val="0"/>
          <w:marBottom w:val="0"/>
          <w:divBdr>
            <w:top w:val="none" w:sz="0" w:space="0" w:color="auto"/>
            <w:left w:val="none" w:sz="0" w:space="0" w:color="auto"/>
            <w:bottom w:val="none" w:sz="0" w:space="0" w:color="auto"/>
            <w:right w:val="none" w:sz="0" w:space="0" w:color="auto"/>
          </w:divBdr>
        </w:div>
        <w:div w:id="858197156">
          <w:marLeft w:val="0"/>
          <w:marRight w:val="0"/>
          <w:marTop w:val="0"/>
          <w:marBottom w:val="0"/>
          <w:divBdr>
            <w:top w:val="none" w:sz="0" w:space="0" w:color="auto"/>
            <w:left w:val="none" w:sz="0" w:space="0" w:color="auto"/>
            <w:bottom w:val="none" w:sz="0" w:space="0" w:color="auto"/>
            <w:right w:val="none" w:sz="0" w:space="0" w:color="auto"/>
          </w:divBdr>
        </w:div>
        <w:div w:id="900336007">
          <w:marLeft w:val="0"/>
          <w:marRight w:val="0"/>
          <w:marTop w:val="0"/>
          <w:marBottom w:val="0"/>
          <w:divBdr>
            <w:top w:val="none" w:sz="0" w:space="0" w:color="auto"/>
            <w:left w:val="none" w:sz="0" w:space="0" w:color="auto"/>
            <w:bottom w:val="none" w:sz="0" w:space="0" w:color="auto"/>
            <w:right w:val="none" w:sz="0" w:space="0" w:color="auto"/>
          </w:divBdr>
        </w:div>
        <w:div w:id="980813250">
          <w:marLeft w:val="0"/>
          <w:marRight w:val="0"/>
          <w:marTop w:val="0"/>
          <w:marBottom w:val="0"/>
          <w:divBdr>
            <w:top w:val="none" w:sz="0" w:space="0" w:color="auto"/>
            <w:left w:val="none" w:sz="0" w:space="0" w:color="auto"/>
            <w:bottom w:val="none" w:sz="0" w:space="0" w:color="auto"/>
            <w:right w:val="none" w:sz="0" w:space="0" w:color="auto"/>
          </w:divBdr>
        </w:div>
        <w:div w:id="985628115">
          <w:marLeft w:val="0"/>
          <w:marRight w:val="0"/>
          <w:marTop w:val="0"/>
          <w:marBottom w:val="0"/>
          <w:divBdr>
            <w:top w:val="none" w:sz="0" w:space="0" w:color="auto"/>
            <w:left w:val="none" w:sz="0" w:space="0" w:color="auto"/>
            <w:bottom w:val="none" w:sz="0" w:space="0" w:color="auto"/>
            <w:right w:val="none" w:sz="0" w:space="0" w:color="auto"/>
          </w:divBdr>
        </w:div>
        <w:div w:id="1032800796">
          <w:marLeft w:val="0"/>
          <w:marRight w:val="0"/>
          <w:marTop w:val="0"/>
          <w:marBottom w:val="0"/>
          <w:divBdr>
            <w:top w:val="none" w:sz="0" w:space="0" w:color="auto"/>
            <w:left w:val="none" w:sz="0" w:space="0" w:color="auto"/>
            <w:bottom w:val="none" w:sz="0" w:space="0" w:color="auto"/>
            <w:right w:val="none" w:sz="0" w:space="0" w:color="auto"/>
          </w:divBdr>
        </w:div>
        <w:div w:id="1053164895">
          <w:marLeft w:val="0"/>
          <w:marRight w:val="0"/>
          <w:marTop w:val="0"/>
          <w:marBottom w:val="0"/>
          <w:divBdr>
            <w:top w:val="none" w:sz="0" w:space="0" w:color="auto"/>
            <w:left w:val="none" w:sz="0" w:space="0" w:color="auto"/>
            <w:bottom w:val="none" w:sz="0" w:space="0" w:color="auto"/>
            <w:right w:val="none" w:sz="0" w:space="0" w:color="auto"/>
          </w:divBdr>
        </w:div>
        <w:div w:id="1124036091">
          <w:marLeft w:val="0"/>
          <w:marRight w:val="0"/>
          <w:marTop w:val="0"/>
          <w:marBottom w:val="0"/>
          <w:divBdr>
            <w:top w:val="none" w:sz="0" w:space="0" w:color="auto"/>
            <w:left w:val="none" w:sz="0" w:space="0" w:color="auto"/>
            <w:bottom w:val="none" w:sz="0" w:space="0" w:color="auto"/>
            <w:right w:val="none" w:sz="0" w:space="0" w:color="auto"/>
          </w:divBdr>
        </w:div>
        <w:div w:id="1125923729">
          <w:marLeft w:val="0"/>
          <w:marRight w:val="0"/>
          <w:marTop w:val="0"/>
          <w:marBottom w:val="0"/>
          <w:divBdr>
            <w:top w:val="none" w:sz="0" w:space="0" w:color="auto"/>
            <w:left w:val="none" w:sz="0" w:space="0" w:color="auto"/>
            <w:bottom w:val="none" w:sz="0" w:space="0" w:color="auto"/>
            <w:right w:val="none" w:sz="0" w:space="0" w:color="auto"/>
          </w:divBdr>
        </w:div>
        <w:div w:id="1185174873">
          <w:marLeft w:val="0"/>
          <w:marRight w:val="0"/>
          <w:marTop w:val="0"/>
          <w:marBottom w:val="0"/>
          <w:divBdr>
            <w:top w:val="none" w:sz="0" w:space="0" w:color="auto"/>
            <w:left w:val="none" w:sz="0" w:space="0" w:color="auto"/>
            <w:bottom w:val="none" w:sz="0" w:space="0" w:color="auto"/>
            <w:right w:val="none" w:sz="0" w:space="0" w:color="auto"/>
          </w:divBdr>
        </w:div>
        <w:div w:id="1219780976">
          <w:marLeft w:val="0"/>
          <w:marRight w:val="0"/>
          <w:marTop w:val="0"/>
          <w:marBottom w:val="0"/>
          <w:divBdr>
            <w:top w:val="none" w:sz="0" w:space="0" w:color="auto"/>
            <w:left w:val="none" w:sz="0" w:space="0" w:color="auto"/>
            <w:bottom w:val="none" w:sz="0" w:space="0" w:color="auto"/>
            <w:right w:val="none" w:sz="0" w:space="0" w:color="auto"/>
          </w:divBdr>
        </w:div>
        <w:div w:id="1380547577">
          <w:marLeft w:val="0"/>
          <w:marRight w:val="0"/>
          <w:marTop w:val="0"/>
          <w:marBottom w:val="0"/>
          <w:divBdr>
            <w:top w:val="none" w:sz="0" w:space="0" w:color="auto"/>
            <w:left w:val="none" w:sz="0" w:space="0" w:color="auto"/>
            <w:bottom w:val="none" w:sz="0" w:space="0" w:color="auto"/>
            <w:right w:val="none" w:sz="0" w:space="0" w:color="auto"/>
          </w:divBdr>
        </w:div>
        <w:div w:id="1443302480">
          <w:marLeft w:val="0"/>
          <w:marRight w:val="0"/>
          <w:marTop w:val="0"/>
          <w:marBottom w:val="0"/>
          <w:divBdr>
            <w:top w:val="none" w:sz="0" w:space="0" w:color="auto"/>
            <w:left w:val="none" w:sz="0" w:space="0" w:color="auto"/>
            <w:bottom w:val="none" w:sz="0" w:space="0" w:color="auto"/>
            <w:right w:val="none" w:sz="0" w:space="0" w:color="auto"/>
          </w:divBdr>
        </w:div>
        <w:div w:id="1513571105">
          <w:marLeft w:val="0"/>
          <w:marRight w:val="0"/>
          <w:marTop w:val="0"/>
          <w:marBottom w:val="0"/>
          <w:divBdr>
            <w:top w:val="none" w:sz="0" w:space="0" w:color="auto"/>
            <w:left w:val="none" w:sz="0" w:space="0" w:color="auto"/>
            <w:bottom w:val="none" w:sz="0" w:space="0" w:color="auto"/>
            <w:right w:val="none" w:sz="0" w:space="0" w:color="auto"/>
          </w:divBdr>
        </w:div>
        <w:div w:id="1557935445">
          <w:marLeft w:val="0"/>
          <w:marRight w:val="0"/>
          <w:marTop w:val="0"/>
          <w:marBottom w:val="0"/>
          <w:divBdr>
            <w:top w:val="none" w:sz="0" w:space="0" w:color="auto"/>
            <w:left w:val="none" w:sz="0" w:space="0" w:color="auto"/>
            <w:bottom w:val="none" w:sz="0" w:space="0" w:color="auto"/>
            <w:right w:val="none" w:sz="0" w:space="0" w:color="auto"/>
          </w:divBdr>
        </w:div>
        <w:div w:id="1670600770">
          <w:marLeft w:val="0"/>
          <w:marRight w:val="0"/>
          <w:marTop w:val="0"/>
          <w:marBottom w:val="0"/>
          <w:divBdr>
            <w:top w:val="none" w:sz="0" w:space="0" w:color="auto"/>
            <w:left w:val="none" w:sz="0" w:space="0" w:color="auto"/>
            <w:bottom w:val="none" w:sz="0" w:space="0" w:color="auto"/>
            <w:right w:val="none" w:sz="0" w:space="0" w:color="auto"/>
          </w:divBdr>
        </w:div>
        <w:div w:id="1783725729">
          <w:marLeft w:val="0"/>
          <w:marRight w:val="0"/>
          <w:marTop w:val="0"/>
          <w:marBottom w:val="0"/>
          <w:divBdr>
            <w:top w:val="none" w:sz="0" w:space="0" w:color="auto"/>
            <w:left w:val="none" w:sz="0" w:space="0" w:color="auto"/>
            <w:bottom w:val="none" w:sz="0" w:space="0" w:color="auto"/>
            <w:right w:val="none" w:sz="0" w:space="0" w:color="auto"/>
          </w:divBdr>
        </w:div>
        <w:div w:id="1820683087">
          <w:marLeft w:val="0"/>
          <w:marRight w:val="0"/>
          <w:marTop w:val="0"/>
          <w:marBottom w:val="0"/>
          <w:divBdr>
            <w:top w:val="none" w:sz="0" w:space="0" w:color="auto"/>
            <w:left w:val="none" w:sz="0" w:space="0" w:color="auto"/>
            <w:bottom w:val="none" w:sz="0" w:space="0" w:color="auto"/>
            <w:right w:val="none" w:sz="0" w:space="0" w:color="auto"/>
          </w:divBdr>
        </w:div>
        <w:div w:id="1941444554">
          <w:marLeft w:val="0"/>
          <w:marRight w:val="0"/>
          <w:marTop w:val="0"/>
          <w:marBottom w:val="0"/>
          <w:divBdr>
            <w:top w:val="none" w:sz="0" w:space="0" w:color="auto"/>
            <w:left w:val="none" w:sz="0" w:space="0" w:color="auto"/>
            <w:bottom w:val="none" w:sz="0" w:space="0" w:color="auto"/>
            <w:right w:val="none" w:sz="0" w:space="0" w:color="auto"/>
          </w:divBdr>
        </w:div>
        <w:div w:id="1963925428">
          <w:marLeft w:val="0"/>
          <w:marRight w:val="0"/>
          <w:marTop w:val="0"/>
          <w:marBottom w:val="0"/>
          <w:divBdr>
            <w:top w:val="none" w:sz="0" w:space="0" w:color="auto"/>
            <w:left w:val="none" w:sz="0" w:space="0" w:color="auto"/>
            <w:bottom w:val="none" w:sz="0" w:space="0" w:color="auto"/>
            <w:right w:val="none" w:sz="0" w:space="0" w:color="auto"/>
          </w:divBdr>
        </w:div>
        <w:div w:id="2052996107">
          <w:marLeft w:val="0"/>
          <w:marRight w:val="0"/>
          <w:marTop w:val="0"/>
          <w:marBottom w:val="0"/>
          <w:divBdr>
            <w:top w:val="none" w:sz="0" w:space="0" w:color="auto"/>
            <w:left w:val="none" w:sz="0" w:space="0" w:color="auto"/>
            <w:bottom w:val="none" w:sz="0" w:space="0" w:color="auto"/>
            <w:right w:val="none" w:sz="0" w:space="0" w:color="auto"/>
          </w:divBdr>
        </w:div>
      </w:divsChild>
    </w:div>
    <w:div w:id="644286352">
      <w:bodyDiv w:val="1"/>
      <w:marLeft w:val="0"/>
      <w:marRight w:val="0"/>
      <w:marTop w:val="0"/>
      <w:marBottom w:val="0"/>
      <w:divBdr>
        <w:top w:val="none" w:sz="0" w:space="0" w:color="auto"/>
        <w:left w:val="none" w:sz="0" w:space="0" w:color="auto"/>
        <w:bottom w:val="none" w:sz="0" w:space="0" w:color="auto"/>
        <w:right w:val="none" w:sz="0" w:space="0" w:color="auto"/>
      </w:divBdr>
      <w:divsChild>
        <w:div w:id="1716855414">
          <w:marLeft w:val="547"/>
          <w:marRight w:val="0"/>
          <w:marTop w:val="0"/>
          <w:marBottom w:val="0"/>
          <w:divBdr>
            <w:top w:val="none" w:sz="0" w:space="0" w:color="auto"/>
            <w:left w:val="none" w:sz="0" w:space="0" w:color="auto"/>
            <w:bottom w:val="none" w:sz="0" w:space="0" w:color="auto"/>
            <w:right w:val="none" w:sz="0" w:space="0" w:color="auto"/>
          </w:divBdr>
        </w:div>
      </w:divsChild>
    </w:div>
    <w:div w:id="645205746">
      <w:bodyDiv w:val="1"/>
      <w:marLeft w:val="0"/>
      <w:marRight w:val="0"/>
      <w:marTop w:val="0"/>
      <w:marBottom w:val="0"/>
      <w:divBdr>
        <w:top w:val="none" w:sz="0" w:space="0" w:color="auto"/>
        <w:left w:val="none" w:sz="0" w:space="0" w:color="auto"/>
        <w:bottom w:val="none" w:sz="0" w:space="0" w:color="auto"/>
        <w:right w:val="none" w:sz="0" w:space="0" w:color="auto"/>
      </w:divBdr>
      <w:divsChild>
        <w:div w:id="188765277">
          <w:marLeft w:val="0"/>
          <w:marRight w:val="0"/>
          <w:marTop w:val="0"/>
          <w:marBottom w:val="0"/>
          <w:divBdr>
            <w:top w:val="none" w:sz="0" w:space="0" w:color="auto"/>
            <w:left w:val="none" w:sz="0" w:space="0" w:color="auto"/>
            <w:bottom w:val="none" w:sz="0" w:space="0" w:color="auto"/>
            <w:right w:val="none" w:sz="0" w:space="0" w:color="auto"/>
          </w:divBdr>
        </w:div>
        <w:div w:id="533805568">
          <w:marLeft w:val="0"/>
          <w:marRight w:val="0"/>
          <w:marTop w:val="0"/>
          <w:marBottom w:val="0"/>
          <w:divBdr>
            <w:top w:val="none" w:sz="0" w:space="0" w:color="auto"/>
            <w:left w:val="none" w:sz="0" w:space="0" w:color="auto"/>
            <w:bottom w:val="none" w:sz="0" w:space="0" w:color="auto"/>
            <w:right w:val="none" w:sz="0" w:space="0" w:color="auto"/>
          </w:divBdr>
        </w:div>
        <w:div w:id="667370476">
          <w:marLeft w:val="0"/>
          <w:marRight w:val="0"/>
          <w:marTop w:val="0"/>
          <w:marBottom w:val="0"/>
          <w:divBdr>
            <w:top w:val="none" w:sz="0" w:space="0" w:color="auto"/>
            <w:left w:val="none" w:sz="0" w:space="0" w:color="auto"/>
            <w:bottom w:val="none" w:sz="0" w:space="0" w:color="auto"/>
            <w:right w:val="none" w:sz="0" w:space="0" w:color="auto"/>
          </w:divBdr>
        </w:div>
        <w:div w:id="751664723">
          <w:marLeft w:val="0"/>
          <w:marRight w:val="0"/>
          <w:marTop w:val="0"/>
          <w:marBottom w:val="0"/>
          <w:divBdr>
            <w:top w:val="none" w:sz="0" w:space="0" w:color="auto"/>
            <w:left w:val="none" w:sz="0" w:space="0" w:color="auto"/>
            <w:bottom w:val="none" w:sz="0" w:space="0" w:color="auto"/>
            <w:right w:val="none" w:sz="0" w:space="0" w:color="auto"/>
          </w:divBdr>
        </w:div>
        <w:div w:id="752044464">
          <w:marLeft w:val="0"/>
          <w:marRight w:val="0"/>
          <w:marTop w:val="0"/>
          <w:marBottom w:val="0"/>
          <w:divBdr>
            <w:top w:val="none" w:sz="0" w:space="0" w:color="auto"/>
            <w:left w:val="none" w:sz="0" w:space="0" w:color="auto"/>
            <w:bottom w:val="none" w:sz="0" w:space="0" w:color="auto"/>
            <w:right w:val="none" w:sz="0" w:space="0" w:color="auto"/>
          </w:divBdr>
        </w:div>
        <w:div w:id="1392079647">
          <w:marLeft w:val="0"/>
          <w:marRight w:val="0"/>
          <w:marTop w:val="0"/>
          <w:marBottom w:val="0"/>
          <w:divBdr>
            <w:top w:val="none" w:sz="0" w:space="0" w:color="auto"/>
            <w:left w:val="none" w:sz="0" w:space="0" w:color="auto"/>
            <w:bottom w:val="none" w:sz="0" w:space="0" w:color="auto"/>
            <w:right w:val="none" w:sz="0" w:space="0" w:color="auto"/>
          </w:divBdr>
        </w:div>
        <w:div w:id="1424036391">
          <w:marLeft w:val="0"/>
          <w:marRight w:val="0"/>
          <w:marTop w:val="0"/>
          <w:marBottom w:val="0"/>
          <w:divBdr>
            <w:top w:val="none" w:sz="0" w:space="0" w:color="auto"/>
            <w:left w:val="none" w:sz="0" w:space="0" w:color="auto"/>
            <w:bottom w:val="none" w:sz="0" w:space="0" w:color="auto"/>
            <w:right w:val="none" w:sz="0" w:space="0" w:color="auto"/>
          </w:divBdr>
        </w:div>
        <w:div w:id="1657105580">
          <w:marLeft w:val="0"/>
          <w:marRight w:val="0"/>
          <w:marTop w:val="0"/>
          <w:marBottom w:val="0"/>
          <w:divBdr>
            <w:top w:val="none" w:sz="0" w:space="0" w:color="auto"/>
            <w:left w:val="none" w:sz="0" w:space="0" w:color="auto"/>
            <w:bottom w:val="none" w:sz="0" w:space="0" w:color="auto"/>
            <w:right w:val="none" w:sz="0" w:space="0" w:color="auto"/>
          </w:divBdr>
        </w:div>
        <w:div w:id="1879079745">
          <w:marLeft w:val="0"/>
          <w:marRight w:val="0"/>
          <w:marTop w:val="0"/>
          <w:marBottom w:val="0"/>
          <w:divBdr>
            <w:top w:val="none" w:sz="0" w:space="0" w:color="auto"/>
            <w:left w:val="none" w:sz="0" w:space="0" w:color="auto"/>
            <w:bottom w:val="none" w:sz="0" w:space="0" w:color="auto"/>
            <w:right w:val="none" w:sz="0" w:space="0" w:color="auto"/>
          </w:divBdr>
        </w:div>
      </w:divsChild>
    </w:div>
    <w:div w:id="648443305">
      <w:bodyDiv w:val="1"/>
      <w:marLeft w:val="0"/>
      <w:marRight w:val="0"/>
      <w:marTop w:val="0"/>
      <w:marBottom w:val="0"/>
      <w:divBdr>
        <w:top w:val="none" w:sz="0" w:space="0" w:color="auto"/>
        <w:left w:val="none" w:sz="0" w:space="0" w:color="auto"/>
        <w:bottom w:val="none" w:sz="0" w:space="0" w:color="auto"/>
        <w:right w:val="none" w:sz="0" w:space="0" w:color="auto"/>
      </w:divBdr>
      <w:divsChild>
        <w:div w:id="114951419">
          <w:marLeft w:val="0"/>
          <w:marRight w:val="0"/>
          <w:marTop w:val="0"/>
          <w:marBottom w:val="0"/>
          <w:divBdr>
            <w:top w:val="none" w:sz="0" w:space="0" w:color="auto"/>
            <w:left w:val="none" w:sz="0" w:space="0" w:color="auto"/>
            <w:bottom w:val="none" w:sz="0" w:space="0" w:color="auto"/>
            <w:right w:val="none" w:sz="0" w:space="0" w:color="auto"/>
          </w:divBdr>
        </w:div>
        <w:div w:id="713425180">
          <w:marLeft w:val="0"/>
          <w:marRight w:val="0"/>
          <w:marTop w:val="0"/>
          <w:marBottom w:val="0"/>
          <w:divBdr>
            <w:top w:val="none" w:sz="0" w:space="0" w:color="auto"/>
            <w:left w:val="none" w:sz="0" w:space="0" w:color="auto"/>
            <w:bottom w:val="none" w:sz="0" w:space="0" w:color="auto"/>
            <w:right w:val="none" w:sz="0" w:space="0" w:color="auto"/>
          </w:divBdr>
        </w:div>
        <w:div w:id="1967928307">
          <w:marLeft w:val="0"/>
          <w:marRight w:val="0"/>
          <w:marTop w:val="0"/>
          <w:marBottom w:val="0"/>
          <w:divBdr>
            <w:top w:val="none" w:sz="0" w:space="0" w:color="auto"/>
            <w:left w:val="none" w:sz="0" w:space="0" w:color="auto"/>
            <w:bottom w:val="none" w:sz="0" w:space="0" w:color="auto"/>
            <w:right w:val="none" w:sz="0" w:space="0" w:color="auto"/>
          </w:divBdr>
        </w:div>
      </w:divsChild>
    </w:div>
    <w:div w:id="650404476">
      <w:bodyDiv w:val="1"/>
      <w:marLeft w:val="0"/>
      <w:marRight w:val="0"/>
      <w:marTop w:val="0"/>
      <w:marBottom w:val="0"/>
      <w:divBdr>
        <w:top w:val="none" w:sz="0" w:space="0" w:color="auto"/>
        <w:left w:val="none" w:sz="0" w:space="0" w:color="auto"/>
        <w:bottom w:val="none" w:sz="0" w:space="0" w:color="auto"/>
        <w:right w:val="none" w:sz="0" w:space="0" w:color="auto"/>
      </w:divBdr>
    </w:div>
    <w:div w:id="650720852">
      <w:bodyDiv w:val="1"/>
      <w:marLeft w:val="0"/>
      <w:marRight w:val="0"/>
      <w:marTop w:val="0"/>
      <w:marBottom w:val="0"/>
      <w:divBdr>
        <w:top w:val="none" w:sz="0" w:space="0" w:color="auto"/>
        <w:left w:val="none" w:sz="0" w:space="0" w:color="auto"/>
        <w:bottom w:val="none" w:sz="0" w:space="0" w:color="auto"/>
        <w:right w:val="none" w:sz="0" w:space="0" w:color="auto"/>
      </w:divBdr>
    </w:div>
    <w:div w:id="657004137">
      <w:bodyDiv w:val="1"/>
      <w:marLeft w:val="0"/>
      <w:marRight w:val="0"/>
      <w:marTop w:val="0"/>
      <w:marBottom w:val="0"/>
      <w:divBdr>
        <w:top w:val="none" w:sz="0" w:space="0" w:color="auto"/>
        <w:left w:val="none" w:sz="0" w:space="0" w:color="auto"/>
        <w:bottom w:val="none" w:sz="0" w:space="0" w:color="auto"/>
        <w:right w:val="none" w:sz="0" w:space="0" w:color="auto"/>
      </w:divBdr>
    </w:div>
    <w:div w:id="661738857">
      <w:bodyDiv w:val="1"/>
      <w:marLeft w:val="0"/>
      <w:marRight w:val="0"/>
      <w:marTop w:val="0"/>
      <w:marBottom w:val="0"/>
      <w:divBdr>
        <w:top w:val="none" w:sz="0" w:space="0" w:color="auto"/>
        <w:left w:val="none" w:sz="0" w:space="0" w:color="auto"/>
        <w:bottom w:val="none" w:sz="0" w:space="0" w:color="auto"/>
        <w:right w:val="none" w:sz="0" w:space="0" w:color="auto"/>
      </w:divBdr>
      <w:divsChild>
        <w:div w:id="71121459">
          <w:marLeft w:val="0"/>
          <w:marRight w:val="0"/>
          <w:marTop w:val="0"/>
          <w:marBottom w:val="0"/>
          <w:divBdr>
            <w:top w:val="none" w:sz="0" w:space="0" w:color="auto"/>
            <w:left w:val="none" w:sz="0" w:space="0" w:color="auto"/>
            <w:bottom w:val="none" w:sz="0" w:space="0" w:color="auto"/>
            <w:right w:val="none" w:sz="0" w:space="0" w:color="auto"/>
          </w:divBdr>
        </w:div>
        <w:div w:id="79371734">
          <w:marLeft w:val="0"/>
          <w:marRight w:val="0"/>
          <w:marTop w:val="0"/>
          <w:marBottom w:val="0"/>
          <w:divBdr>
            <w:top w:val="none" w:sz="0" w:space="0" w:color="auto"/>
            <w:left w:val="none" w:sz="0" w:space="0" w:color="auto"/>
            <w:bottom w:val="none" w:sz="0" w:space="0" w:color="auto"/>
            <w:right w:val="none" w:sz="0" w:space="0" w:color="auto"/>
          </w:divBdr>
        </w:div>
        <w:div w:id="94371878">
          <w:marLeft w:val="0"/>
          <w:marRight w:val="0"/>
          <w:marTop w:val="0"/>
          <w:marBottom w:val="0"/>
          <w:divBdr>
            <w:top w:val="none" w:sz="0" w:space="0" w:color="auto"/>
            <w:left w:val="none" w:sz="0" w:space="0" w:color="auto"/>
            <w:bottom w:val="none" w:sz="0" w:space="0" w:color="auto"/>
            <w:right w:val="none" w:sz="0" w:space="0" w:color="auto"/>
          </w:divBdr>
        </w:div>
        <w:div w:id="110439900">
          <w:marLeft w:val="0"/>
          <w:marRight w:val="0"/>
          <w:marTop w:val="0"/>
          <w:marBottom w:val="0"/>
          <w:divBdr>
            <w:top w:val="none" w:sz="0" w:space="0" w:color="auto"/>
            <w:left w:val="none" w:sz="0" w:space="0" w:color="auto"/>
            <w:bottom w:val="none" w:sz="0" w:space="0" w:color="auto"/>
            <w:right w:val="none" w:sz="0" w:space="0" w:color="auto"/>
          </w:divBdr>
        </w:div>
        <w:div w:id="139618719">
          <w:marLeft w:val="0"/>
          <w:marRight w:val="0"/>
          <w:marTop w:val="0"/>
          <w:marBottom w:val="0"/>
          <w:divBdr>
            <w:top w:val="none" w:sz="0" w:space="0" w:color="auto"/>
            <w:left w:val="none" w:sz="0" w:space="0" w:color="auto"/>
            <w:bottom w:val="none" w:sz="0" w:space="0" w:color="auto"/>
            <w:right w:val="none" w:sz="0" w:space="0" w:color="auto"/>
          </w:divBdr>
        </w:div>
        <w:div w:id="149173140">
          <w:marLeft w:val="0"/>
          <w:marRight w:val="0"/>
          <w:marTop w:val="0"/>
          <w:marBottom w:val="0"/>
          <w:divBdr>
            <w:top w:val="none" w:sz="0" w:space="0" w:color="auto"/>
            <w:left w:val="none" w:sz="0" w:space="0" w:color="auto"/>
            <w:bottom w:val="none" w:sz="0" w:space="0" w:color="auto"/>
            <w:right w:val="none" w:sz="0" w:space="0" w:color="auto"/>
          </w:divBdr>
        </w:div>
        <w:div w:id="224144828">
          <w:marLeft w:val="0"/>
          <w:marRight w:val="0"/>
          <w:marTop w:val="0"/>
          <w:marBottom w:val="0"/>
          <w:divBdr>
            <w:top w:val="none" w:sz="0" w:space="0" w:color="auto"/>
            <w:left w:val="none" w:sz="0" w:space="0" w:color="auto"/>
            <w:bottom w:val="none" w:sz="0" w:space="0" w:color="auto"/>
            <w:right w:val="none" w:sz="0" w:space="0" w:color="auto"/>
          </w:divBdr>
        </w:div>
        <w:div w:id="225915759">
          <w:marLeft w:val="0"/>
          <w:marRight w:val="0"/>
          <w:marTop w:val="0"/>
          <w:marBottom w:val="0"/>
          <w:divBdr>
            <w:top w:val="none" w:sz="0" w:space="0" w:color="auto"/>
            <w:left w:val="none" w:sz="0" w:space="0" w:color="auto"/>
            <w:bottom w:val="none" w:sz="0" w:space="0" w:color="auto"/>
            <w:right w:val="none" w:sz="0" w:space="0" w:color="auto"/>
          </w:divBdr>
        </w:div>
        <w:div w:id="231937321">
          <w:marLeft w:val="0"/>
          <w:marRight w:val="0"/>
          <w:marTop w:val="0"/>
          <w:marBottom w:val="0"/>
          <w:divBdr>
            <w:top w:val="none" w:sz="0" w:space="0" w:color="auto"/>
            <w:left w:val="none" w:sz="0" w:space="0" w:color="auto"/>
            <w:bottom w:val="none" w:sz="0" w:space="0" w:color="auto"/>
            <w:right w:val="none" w:sz="0" w:space="0" w:color="auto"/>
          </w:divBdr>
        </w:div>
        <w:div w:id="240873771">
          <w:marLeft w:val="0"/>
          <w:marRight w:val="0"/>
          <w:marTop w:val="0"/>
          <w:marBottom w:val="0"/>
          <w:divBdr>
            <w:top w:val="none" w:sz="0" w:space="0" w:color="auto"/>
            <w:left w:val="none" w:sz="0" w:space="0" w:color="auto"/>
            <w:bottom w:val="none" w:sz="0" w:space="0" w:color="auto"/>
            <w:right w:val="none" w:sz="0" w:space="0" w:color="auto"/>
          </w:divBdr>
        </w:div>
        <w:div w:id="268860459">
          <w:marLeft w:val="0"/>
          <w:marRight w:val="0"/>
          <w:marTop w:val="0"/>
          <w:marBottom w:val="0"/>
          <w:divBdr>
            <w:top w:val="none" w:sz="0" w:space="0" w:color="auto"/>
            <w:left w:val="none" w:sz="0" w:space="0" w:color="auto"/>
            <w:bottom w:val="none" w:sz="0" w:space="0" w:color="auto"/>
            <w:right w:val="none" w:sz="0" w:space="0" w:color="auto"/>
          </w:divBdr>
        </w:div>
        <w:div w:id="269627419">
          <w:marLeft w:val="0"/>
          <w:marRight w:val="0"/>
          <w:marTop w:val="0"/>
          <w:marBottom w:val="0"/>
          <w:divBdr>
            <w:top w:val="none" w:sz="0" w:space="0" w:color="auto"/>
            <w:left w:val="none" w:sz="0" w:space="0" w:color="auto"/>
            <w:bottom w:val="none" w:sz="0" w:space="0" w:color="auto"/>
            <w:right w:val="none" w:sz="0" w:space="0" w:color="auto"/>
          </w:divBdr>
        </w:div>
        <w:div w:id="278999133">
          <w:marLeft w:val="0"/>
          <w:marRight w:val="0"/>
          <w:marTop w:val="0"/>
          <w:marBottom w:val="0"/>
          <w:divBdr>
            <w:top w:val="none" w:sz="0" w:space="0" w:color="auto"/>
            <w:left w:val="none" w:sz="0" w:space="0" w:color="auto"/>
            <w:bottom w:val="none" w:sz="0" w:space="0" w:color="auto"/>
            <w:right w:val="none" w:sz="0" w:space="0" w:color="auto"/>
          </w:divBdr>
        </w:div>
        <w:div w:id="374743659">
          <w:marLeft w:val="0"/>
          <w:marRight w:val="0"/>
          <w:marTop w:val="0"/>
          <w:marBottom w:val="0"/>
          <w:divBdr>
            <w:top w:val="none" w:sz="0" w:space="0" w:color="auto"/>
            <w:left w:val="none" w:sz="0" w:space="0" w:color="auto"/>
            <w:bottom w:val="none" w:sz="0" w:space="0" w:color="auto"/>
            <w:right w:val="none" w:sz="0" w:space="0" w:color="auto"/>
          </w:divBdr>
        </w:div>
        <w:div w:id="411974976">
          <w:marLeft w:val="0"/>
          <w:marRight w:val="0"/>
          <w:marTop w:val="0"/>
          <w:marBottom w:val="0"/>
          <w:divBdr>
            <w:top w:val="none" w:sz="0" w:space="0" w:color="auto"/>
            <w:left w:val="none" w:sz="0" w:space="0" w:color="auto"/>
            <w:bottom w:val="none" w:sz="0" w:space="0" w:color="auto"/>
            <w:right w:val="none" w:sz="0" w:space="0" w:color="auto"/>
          </w:divBdr>
        </w:div>
        <w:div w:id="444352492">
          <w:marLeft w:val="0"/>
          <w:marRight w:val="0"/>
          <w:marTop w:val="0"/>
          <w:marBottom w:val="0"/>
          <w:divBdr>
            <w:top w:val="none" w:sz="0" w:space="0" w:color="auto"/>
            <w:left w:val="none" w:sz="0" w:space="0" w:color="auto"/>
            <w:bottom w:val="none" w:sz="0" w:space="0" w:color="auto"/>
            <w:right w:val="none" w:sz="0" w:space="0" w:color="auto"/>
          </w:divBdr>
        </w:div>
        <w:div w:id="557863955">
          <w:marLeft w:val="0"/>
          <w:marRight w:val="0"/>
          <w:marTop w:val="0"/>
          <w:marBottom w:val="0"/>
          <w:divBdr>
            <w:top w:val="none" w:sz="0" w:space="0" w:color="auto"/>
            <w:left w:val="none" w:sz="0" w:space="0" w:color="auto"/>
            <w:bottom w:val="none" w:sz="0" w:space="0" w:color="auto"/>
            <w:right w:val="none" w:sz="0" w:space="0" w:color="auto"/>
          </w:divBdr>
        </w:div>
        <w:div w:id="585771315">
          <w:marLeft w:val="0"/>
          <w:marRight w:val="0"/>
          <w:marTop w:val="0"/>
          <w:marBottom w:val="0"/>
          <w:divBdr>
            <w:top w:val="none" w:sz="0" w:space="0" w:color="auto"/>
            <w:left w:val="none" w:sz="0" w:space="0" w:color="auto"/>
            <w:bottom w:val="none" w:sz="0" w:space="0" w:color="auto"/>
            <w:right w:val="none" w:sz="0" w:space="0" w:color="auto"/>
          </w:divBdr>
        </w:div>
        <w:div w:id="599531625">
          <w:marLeft w:val="0"/>
          <w:marRight w:val="0"/>
          <w:marTop w:val="0"/>
          <w:marBottom w:val="0"/>
          <w:divBdr>
            <w:top w:val="none" w:sz="0" w:space="0" w:color="auto"/>
            <w:left w:val="none" w:sz="0" w:space="0" w:color="auto"/>
            <w:bottom w:val="none" w:sz="0" w:space="0" w:color="auto"/>
            <w:right w:val="none" w:sz="0" w:space="0" w:color="auto"/>
          </w:divBdr>
        </w:div>
        <w:div w:id="601693765">
          <w:marLeft w:val="0"/>
          <w:marRight w:val="0"/>
          <w:marTop w:val="0"/>
          <w:marBottom w:val="0"/>
          <w:divBdr>
            <w:top w:val="none" w:sz="0" w:space="0" w:color="auto"/>
            <w:left w:val="none" w:sz="0" w:space="0" w:color="auto"/>
            <w:bottom w:val="none" w:sz="0" w:space="0" w:color="auto"/>
            <w:right w:val="none" w:sz="0" w:space="0" w:color="auto"/>
          </w:divBdr>
        </w:div>
        <w:div w:id="666176714">
          <w:marLeft w:val="0"/>
          <w:marRight w:val="0"/>
          <w:marTop w:val="0"/>
          <w:marBottom w:val="0"/>
          <w:divBdr>
            <w:top w:val="none" w:sz="0" w:space="0" w:color="auto"/>
            <w:left w:val="none" w:sz="0" w:space="0" w:color="auto"/>
            <w:bottom w:val="none" w:sz="0" w:space="0" w:color="auto"/>
            <w:right w:val="none" w:sz="0" w:space="0" w:color="auto"/>
          </w:divBdr>
        </w:div>
        <w:div w:id="744449469">
          <w:marLeft w:val="0"/>
          <w:marRight w:val="0"/>
          <w:marTop w:val="0"/>
          <w:marBottom w:val="0"/>
          <w:divBdr>
            <w:top w:val="none" w:sz="0" w:space="0" w:color="auto"/>
            <w:left w:val="none" w:sz="0" w:space="0" w:color="auto"/>
            <w:bottom w:val="none" w:sz="0" w:space="0" w:color="auto"/>
            <w:right w:val="none" w:sz="0" w:space="0" w:color="auto"/>
          </w:divBdr>
        </w:div>
        <w:div w:id="748115948">
          <w:marLeft w:val="0"/>
          <w:marRight w:val="0"/>
          <w:marTop w:val="0"/>
          <w:marBottom w:val="0"/>
          <w:divBdr>
            <w:top w:val="none" w:sz="0" w:space="0" w:color="auto"/>
            <w:left w:val="none" w:sz="0" w:space="0" w:color="auto"/>
            <w:bottom w:val="none" w:sz="0" w:space="0" w:color="auto"/>
            <w:right w:val="none" w:sz="0" w:space="0" w:color="auto"/>
          </w:divBdr>
        </w:div>
        <w:div w:id="766116523">
          <w:marLeft w:val="0"/>
          <w:marRight w:val="0"/>
          <w:marTop w:val="0"/>
          <w:marBottom w:val="0"/>
          <w:divBdr>
            <w:top w:val="none" w:sz="0" w:space="0" w:color="auto"/>
            <w:left w:val="none" w:sz="0" w:space="0" w:color="auto"/>
            <w:bottom w:val="none" w:sz="0" w:space="0" w:color="auto"/>
            <w:right w:val="none" w:sz="0" w:space="0" w:color="auto"/>
          </w:divBdr>
        </w:div>
        <w:div w:id="843130615">
          <w:marLeft w:val="0"/>
          <w:marRight w:val="0"/>
          <w:marTop w:val="0"/>
          <w:marBottom w:val="0"/>
          <w:divBdr>
            <w:top w:val="none" w:sz="0" w:space="0" w:color="auto"/>
            <w:left w:val="none" w:sz="0" w:space="0" w:color="auto"/>
            <w:bottom w:val="none" w:sz="0" w:space="0" w:color="auto"/>
            <w:right w:val="none" w:sz="0" w:space="0" w:color="auto"/>
          </w:divBdr>
        </w:div>
        <w:div w:id="856621070">
          <w:marLeft w:val="0"/>
          <w:marRight w:val="0"/>
          <w:marTop w:val="0"/>
          <w:marBottom w:val="0"/>
          <w:divBdr>
            <w:top w:val="none" w:sz="0" w:space="0" w:color="auto"/>
            <w:left w:val="none" w:sz="0" w:space="0" w:color="auto"/>
            <w:bottom w:val="none" w:sz="0" w:space="0" w:color="auto"/>
            <w:right w:val="none" w:sz="0" w:space="0" w:color="auto"/>
          </w:divBdr>
        </w:div>
        <w:div w:id="868180728">
          <w:marLeft w:val="0"/>
          <w:marRight w:val="0"/>
          <w:marTop w:val="0"/>
          <w:marBottom w:val="0"/>
          <w:divBdr>
            <w:top w:val="none" w:sz="0" w:space="0" w:color="auto"/>
            <w:left w:val="none" w:sz="0" w:space="0" w:color="auto"/>
            <w:bottom w:val="none" w:sz="0" w:space="0" w:color="auto"/>
            <w:right w:val="none" w:sz="0" w:space="0" w:color="auto"/>
          </w:divBdr>
        </w:div>
        <w:div w:id="873466645">
          <w:marLeft w:val="0"/>
          <w:marRight w:val="0"/>
          <w:marTop w:val="0"/>
          <w:marBottom w:val="0"/>
          <w:divBdr>
            <w:top w:val="none" w:sz="0" w:space="0" w:color="auto"/>
            <w:left w:val="none" w:sz="0" w:space="0" w:color="auto"/>
            <w:bottom w:val="none" w:sz="0" w:space="0" w:color="auto"/>
            <w:right w:val="none" w:sz="0" w:space="0" w:color="auto"/>
          </w:divBdr>
        </w:div>
        <w:div w:id="879590107">
          <w:marLeft w:val="0"/>
          <w:marRight w:val="0"/>
          <w:marTop w:val="0"/>
          <w:marBottom w:val="0"/>
          <w:divBdr>
            <w:top w:val="none" w:sz="0" w:space="0" w:color="auto"/>
            <w:left w:val="none" w:sz="0" w:space="0" w:color="auto"/>
            <w:bottom w:val="none" w:sz="0" w:space="0" w:color="auto"/>
            <w:right w:val="none" w:sz="0" w:space="0" w:color="auto"/>
          </w:divBdr>
        </w:div>
        <w:div w:id="881480610">
          <w:marLeft w:val="0"/>
          <w:marRight w:val="0"/>
          <w:marTop w:val="0"/>
          <w:marBottom w:val="0"/>
          <w:divBdr>
            <w:top w:val="none" w:sz="0" w:space="0" w:color="auto"/>
            <w:left w:val="none" w:sz="0" w:space="0" w:color="auto"/>
            <w:bottom w:val="none" w:sz="0" w:space="0" w:color="auto"/>
            <w:right w:val="none" w:sz="0" w:space="0" w:color="auto"/>
          </w:divBdr>
        </w:div>
        <w:div w:id="980381292">
          <w:marLeft w:val="0"/>
          <w:marRight w:val="0"/>
          <w:marTop w:val="0"/>
          <w:marBottom w:val="0"/>
          <w:divBdr>
            <w:top w:val="none" w:sz="0" w:space="0" w:color="auto"/>
            <w:left w:val="none" w:sz="0" w:space="0" w:color="auto"/>
            <w:bottom w:val="none" w:sz="0" w:space="0" w:color="auto"/>
            <w:right w:val="none" w:sz="0" w:space="0" w:color="auto"/>
          </w:divBdr>
        </w:div>
        <w:div w:id="1011955171">
          <w:marLeft w:val="0"/>
          <w:marRight w:val="0"/>
          <w:marTop w:val="0"/>
          <w:marBottom w:val="0"/>
          <w:divBdr>
            <w:top w:val="none" w:sz="0" w:space="0" w:color="auto"/>
            <w:left w:val="none" w:sz="0" w:space="0" w:color="auto"/>
            <w:bottom w:val="none" w:sz="0" w:space="0" w:color="auto"/>
            <w:right w:val="none" w:sz="0" w:space="0" w:color="auto"/>
          </w:divBdr>
        </w:div>
        <w:div w:id="1032338272">
          <w:marLeft w:val="0"/>
          <w:marRight w:val="0"/>
          <w:marTop w:val="0"/>
          <w:marBottom w:val="0"/>
          <w:divBdr>
            <w:top w:val="none" w:sz="0" w:space="0" w:color="auto"/>
            <w:left w:val="none" w:sz="0" w:space="0" w:color="auto"/>
            <w:bottom w:val="none" w:sz="0" w:space="0" w:color="auto"/>
            <w:right w:val="none" w:sz="0" w:space="0" w:color="auto"/>
          </w:divBdr>
        </w:div>
        <w:div w:id="1047797598">
          <w:marLeft w:val="0"/>
          <w:marRight w:val="0"/>
          <w:marTop w:val="0"/>
          <w:marBottom w:val="0"/>
          <w:divBdr>
            <w:top w:val="none" w:sz="0" w:space="0" w:color="auto"/>
            <w:left w:val="none" w:sz="0" w:space="0" w:color="auto"/>
            <w:bottom w:val="none" w:sz="0" w:space="0" w:color="auto"/>
            <w:right w:val="none" w:sz="0" w:space="0" w:color="auto"/>
          </w:divBdr>
        </w:div>
        <w:div w:id="1047877503">
          <w:marLeft w:val="0"/>
          <w:marRight w:val="0"/>
          <w:marTop w:val="0"/>
          <w:marBottom w:val="0"/>
          <w:divBdr>
            <w:top w:val="none" w:sz="0" w:space="0" w:color="auto"/>
            <w:left w:val="none" w:sz="0" w:space="0" w:color="auto"/>
            <w:bottom w:val="none" w:sz="0" w:space="0" w:color="auto"/>
            <w:right w:val="none" w:sz="0" w:space="0" w:color="auto"/>
          </w:divBdr>
        </w:div>
        <w:div w:id="1061751468">
          <w:marLeft w:val="0"/>
          <w:marRight w:val="0"/>
          <w:marTop w:val="0"/>
          <w:marBottom w:val="0"/>
          <w:divBdr>
            <w:top w:val="none" w:sz="0" w:space="0" w:color="auto"/>
            <w:left w:val="none" w:sz="0" w:space="0" w:color="auto"/>
            <w:bottom w:val="none" w:sz="0" w:space="0" w:color="auto"/>
            <w:right w:val="none" w:sz="0" w:space="0" w:color="auto"/>
          </w:divBdr>
        </w:div>
        <w:div w:id="1074663368">
          <w:marLeft w:val="0"/>
          <w:marRight w:val="0"/>
          <w:marTop w:val="0"/>
          <w:marBottom w:val="0"/>
          <w:divBdr>
            <w:top w:val="none" w:sz="0" w:space="0" w:color="auto"/>
            <w:left w:val="none" w:sz="0" w:space="0" w:color="auto"/>
            <w:bottom w:val="none" w:sz="0" w:space="0" w:color="auto"/>
            <w:right w:val="none" w:sz="0" w:space="0" w:color="auto"/>
          </w:divBdr>
        </w:div>
        <w:div w:id="1132598627">
          <w:marLeft w:val="0"/>
          <w:marRight w:val="0"/>
          <w:marTop w:val="0"/>
          <w:marBottom w:val="0"/>
          <w:divBdr>
            <w:top w:val="none" w:sz="0" w:space="0" w:color="auto"/>
            <w:left w:val="none" w:sz="0" w:space="0" w:color="auto"/>
            <w:bottom w:val="none" w:sz="0" w:space="0" w:color="auto"/>
            <w:right w:val="none" w:sz="0" w:space="0" w:color="auto"/>
          </w:divBdr>
        </w:div>
        <w:div w:id="1175419695">
          <w:marLeft w:val="0"/>
          <w:marRight w:val="0"/>
          <w:marTop w:val="0"/>
          <w:marBottom w:val="0"/>
          <w:divBdr>
            <w:top w:val="none" w:sz="0" w:space="0" w:color="auto"/>
            <w:left w:val="none" w:sz="0" w:space="0" w:color="auto"/>
            <w:bottom w:val="none" w:sz="0" w:space="0" w:color="auto"/>
            <w:right w:val="none" w:sz="0" w:space="0" w:color="auto"/>
          </w:divBdr>
        </w:div>
        <w:div w:id="1188325268">
          <w:marLeft w:val="0"/>
          <w:marRight w:val="0"/>
          <w:marTop w:val="0"/>
          <w:marBottom w:val="0"/>
          <w:divBdr>
            <w:top w:val="none" w:sz="0" w:space="0" w:color="auto"/>
            <w:left w:val="none" w:sz="0" w:space="0" w:color="auto"/>
            <w:bottom w:val="none" w:sz="0" w:space="0" w:color="auto"/>
            <w:right w:val="none" w:sz="0" w:space="0" w:color="auto"/>
          </w:divBdr>
        </w:div>
        <w:div w:id="1278372800">
          <w:marLeft w:val="0"/>
          <w:marRight w:val="0"/>
          <w:marTop w:val="0"/>
          <w:marBottom w:val="0"/>
          <w:divBdr>
            <w:top w:val="none" w:sz="0" w:space="0" w:color="auto"/>
            <w:left w:val="none" w:sz="0" w:space="0" w:color="auto"/>
            <w:bottom w:val="none" w:sz="0" w:space="0" w:color="auto"/>
            <w:right w:val="none" w:sz="0" w:space="0" w:color="auto"/>
          </w:divBdr>
        </w:div>
        <w:div w:id="1304578349">
          <w:marLeft w:val="0"/>
          <w:marRight w:val="0"/>
          <w:marTop w:val="0"/>
          <w:marBottom w:val="0"/>
          <w:divBdr>
            <w:top w:val="none" w:sz="0" w:space="0" w:color="auto"/>
            <w:left w:val="none" w:sz="0" w:space="0" w:color="auto"/>
            <w:bottom w:val="none" w:sz="0" w:space="0" w:color="auto"/>
            <w:right w:val="none" w:sz="0" w:space="0" w:color="auto"/>
          </w:divBdr>
        </w:div>
        <w:div w:id="1330063274">
          <w:marLeft w:val="0"/>
          <w:marRight w:val="0"/>
          <w:marTop w:val="0"/>
          <w:marBottom w:val="0"/>
          <w:divBdr>
            <w:top w:val="none" w:sz="0" w:space="0" w:color="auto"/>
            <w:left w:val="none" w:sz="0" w:space="0" w:color="auto"/>
            <w:bottom w:val="none" w:sz="0" w:space="0" w:color="auto"/>
            <w:right w:val="none" w:sz="0" w:space="0" w:color="auto"/>
          </w:divBdr>
        </w:div>
        <w:div w:id="1334408597">
          <w:marLeft w:val="0"/>
          <w:marRight w:val="0"/>
          <w:marTop w:val="0"/>
          <w:marBottom w:val="0"/>
          <w:divBdr>
            <w:top w:val="none" w:sz="0" w:space="0" w:color="auto"/>
            <w:left w:val="none" w:sz="0" w:space="0" w:color="auto"/>
            <w:bottom w:val="none" w:sz="0" w:space="0" w:color="auto"/>
            <w:right w:val="none" w:sz="0" w:space="0" w:color="auto"/>
          </w:divBdr>
        </w:div>
        <w:div w:id="1400860495">
          <w:marLeft w:val="0"/>
          <w:marRight w:val="0"/>
          <w:marTop w:val="0"/>
          <w:marBottom w:val="0"/>
          <w:divBdr>
            <w:top w:val="none" w:sz="0" w:space="0" w:color="auto"/>
            <w:left w:val="none" w:sz="0" w:space="0" w:color="auto"/>
            <w:bottom w:val="none" w:sz="0" w:space="0" w:color="auto"/>
            <w:right w:val="none" w:sz="0" w:space="0" w:color="auto"/>
          </w:divBdr>
        </w:div>
        <w:div w:id="1405688329">
          <w:marLeft w:val="0"/>
          <w:marRight w:val="0"/>
          <w:marTop w:val="0"/>
          <w:marBottom w:val="0"/>
          <w:divBdr>
            <w:top w:val="none" w:sz="0" w:space="0" w:color="auto"/>
            <w:left w:val="none" w:sz="0" w:space="0" w:color="auto"/>
            <w:bottom w:val="none" w:sz="0" w:space="0" w:color="auto"/>
            <w:right w:val="none" w:sz="0" w:space="0" w:color="auto"/>
          </w:divBdr>
        </w:div>
        <w:div w:id="1406486651">
          <w:marLeft w:val="0"/>
          <w:marRight w:val="0"/>
          <w:marTop w:val="0"/>
          <w:marBottom w:val="0"/>
          <w:divBdr>
            <w:top w:val="none" w:sz="0" w:space="0" w:color="auto"/>
            <w:left w:val="none" w:sz="0" w:space="0" w:color="auto"/>
            <w:bottom w:val="none" w:sz="0" w:space="0" w:color="auto"/>
            <w:right w:val="none" w:sz="0" w:space="0" w:color="auto"/>
          </w:divBdr>
        </w:div>
        <w:div w:id="1417902102">
          <w:marLeft w:val="0"/>
          <w:marRight w:val="0"/>
          <w:marTop w:val="0"/>
          <w:marBottom w:val="0"/>
          <w:divBdr>
            <w:top w:val="none" w:sz="0" w:space="0" w:color="auto"/>
            <w:left w:val="none" w:sz="0" w:space="0" w:color="auto"/>
            <w:bottom w:val="none" w:sz="0" w:space="0" w:color="auto"/>
            <w:right w:val="none" w:sz="0" w:space="0" w:color="auto"/>
          </w:divBdr>
        </w:div>
        <w:div w:id="1430076319">
          <w:marLeft w:val="0"/>
          <w:marRight w:val="0"/>
          <w:marTop w:val="0"/>
          <w:marBottom w:val="0"/>
          <w:divBdr>
            <w:top w:val="none" w:sz="0" w:space="0" w:color="auto"/>
            <w:left w:val="none" w:sz="0" w:space="0" w:color="auto"/>
            <w:bottom w:val="none" w:sz="0" w:space="0" w:color="auto"/>
            <w:right w:val="none" w:sz="0" w:space="0" w:color="auto"/>
          </w:divBdr>
        </w:div>
        <w:div w:id="1472602393">
          <w:marLeft w:val="0"/>
          <w:marRight w:val="0"/>
          <w:marTop w:val="0"/>
          <w:marBottom w:val="0"/>
          <w:divBdr>
            <w:top w:val="none" w:sz="0" w:space="0" w:color="auto"/>
            <w:left w:val="none" w:sz="0" w:space="0" w:color="auto"/>
            <w:bottom w:val="none" w:sz="0" w:space="0" w:color="auto"/>
            <w:right w:val="none" w:sz="0" w:space="0" w:color="auto"/>
          </w:divBdr>
        </w:div>
        <w:div w:id="1531339073">
          <w:marLeft w:val="0"/>
          <w:marRight w:val="0"/>
          <w:marTop w:val="0"/>
          <w:marBottom w:val="0"/>
          <w:divBdr>
            <w:top w:val="none" w:sz="0" w:space="0" w:color="auto"/>
            <w:left w:val="none" w:sz="0" w:space="0" w:color="auto"/>
            <w:bottom w:val="none" w:sz="0" w:space="0" w:color="auto"/>
            <w:right w:val="none" w:sz="0" w:space="0" w:color="auto"/>
          </w:divBdr>
        </w:div>
        <w:div w:id="1537279794">
          <w:marLeft w:val="0"/>
          <w:marRight w:val="0"/>
          <w:marTop w:val="0"/>
          <w:marBottom w:val="0"/>
          <w:divBdr>
            <w:top w:val="none" w:sz="0" w:space="0" w:color="auto"/>
            <w:left w:val="none" w:sz="0" w:space="0" w:color="auto"/>
            <w:bottom w:val="none" w:sz="0" w:space="0" w:color="auto"/>
            <w:right w:val="none" w:sz="0" w:space="0" w:color="auto"/>
          </w:divBdr>
        </w:div>
        <w:div w:id="1565798977">
          <w:marLeft w:val="0"/>
          <w:marRight w:val="0"/>
          <w:marTop w:val="0"/>
          <w:marBottom w:val="0"/>
          <w:divBdr>
            <w:top w:val="none" w:sz="0" w:space="0" w:color="auto"/>
            <w:left w:val="none" w:sz="0" w:space="0" w:color="auto"/>
            <w:bottom w:val="none" w:sz="0" w:space="0" w:color="auto"/>
            <w:right w:val="none" w:sz="0" w:space="0" w:color="auto"/>
          </w:divBdr>
        </w:div>
        <w:div w:id="1576547387">
          <w:marLeft w:val="0"/>
          <w:marRight w:val="0"/>
          <w:marTop w:val="0"/>
          <w:marBottom w:val="0"/>
          <w:divBdr>
            <w:top w:val="none" w:sz="0" w:space="0" w:color="auto"/>
            <w:left w:val="none" w:sz="0" w:space="0" w:color="auto"/>
            <w:bottom w:val="none" w:sz="0" w:space="0" w:color="auto"/>
            <w:right w:val="none" w:sz="0" w:space="0" w:color="auto"/>
          </w:divBdr>
        </w:div>
        <w:div w:id="1584145387">
          <w:marLeft w:val="0"/>
          <w:marRight w:val="0"/>
          <w:marTop w:val="0"/>
          <w:marBottom w:val="0"/>
          <w:divBdr>
            <w:top w:val="none" w:sz="0" w:space="0" w:color="auto"/>
            <w:left w:val="none" w:sz="0" w:space="0" w:color="auto"/>
            <w:bottom w:val="none" w:sz="0" w:space="0" w:color="auto"/>
            <w:right w:val="none" w:sz="0" w:space="0" w:color="auto"/>
          </w:divBdr>
        </w:div>
        <w:div w:id="1605065636">
          <w:marLeft w:val="0"/>
          <w:marRight w:val="0"/>
          <w:marTop w:val="0"/>
          <w:marBottom w:val="0"/>
          <w:divBdr>
            <w:top w:val="none" w:sz="0" w:space="0" w:color="auto"/>
            <w:left w:val="none" w:sz="0" w:space="0" w:color="auto"/>
            <w:bottom w:val="none" w:sz="0" w:space="0" w:color="auto"/>
            <w:right w:val="none" w:sz="0" w:space="0" w:color="auto"/>
          </w:divBdr>
        </w:div>
        <w:div w:id="1636373759">
          <w:marLeft w:val="0"/>
          <w:marRight w:val="0"/>
          <w:marTop w:val="0"/>
          <w:marBottom w:val="0"/>
          <w:divBdr>
            <w:top w:val="none" w:sz="0" w:space="0" w:color="auto"/>
            <w:left w:val="none" w:sz="0" w:space="0" w:color="auto"/>
            <w:bottom w:val="none" w:sz="0" w:space="0" w:color="auto"/>
            <w:right w:val="none" w:sz="0" w:space="0" w:color="auto"/>
          </w:divBdr>
        </w:div>
        <w:div w:id="1641694255">
          <w:marLeft w:val="0"/>
          <w:marRight w:val="0"/>
          <w:marTop w:val="0"/>
          <w:marBottom w:val="0"/>
          <w:divBdr>
            <w:top w:val="none" w:sz="0" w:space="0" w:color="auto"/>
            <w:left w:val="none" w:sz="0" w:space="0" w:color="auto"/>
            <w:bottom w:val="none" w:sz="0" w:space="0" w:color="auto"/>
            <w:right w:val="none" w:sz="0" w:space="0" w:color="auto"/>
          </w:divBdr>
        </w:div>
        <w:div w:id="1703244846">
          <w:marLeft w:val="0"/>
          <w:marRight w:val="0"/>
          <w:marTop w:val="0"/>
          <w:marBottom w:val="0"/>
          <w:divBdr>
            <w:top w:val="none" w:sz="0" w:space="0" w:color="auto"/>
            <w:left w:val="none" w:sz="0" w:space="0" w:color="auto"/>
            <w:bottom w:val="none" w:sz="0" w:space="0" w:color="auto"/>
            <w:right w:val="none" w:sz="0" w:space="0" w:color="auto"/>
          </w:divBdr>
        </w:div>
        <w:div w:id="1764109214">
          <w:marLeft w:val="0"/>
          <w:marRight w:val="0"/>
          <w:marTop w:val="0"/>
          <w:marBottom w:val="0"/>
          <w:divBdr>
            <w:top w:val="none" w:sz="0" w:space="0" w:color="auto"/>
            <w:left w:val="none" w:sz="0" w:space="0" w:color="auto"/>
            <w:bottom w:val="none" w:sz="0" w:space="0" w:color="auto"/>
            <w:right w:val="none" w:sz="0" w:space="0" w:color="auto"/>
          </w:divBdr>
        </w:div>
        <w:div w:id="1800874669">
          <w:marLeft w:val="0"/>
          <w:marRight w:val="0"/>
          <w:marTop w:val="0"/>
          <w:marBottom w:val="0"/>
          <w:divBdr>
            <w:top w:val="none" w:sz="0" w:space="0" w:color="auto"/>
            <w:left w:val="none" w:sz="0" w:space="0" w:color="auto"/>
            <w:bottom w:val="none" w:sz="0" w:space="0" w:color="auto"/>
            <w:right w:val="none" w:sz="0" w:space="0" w:color="auto"/>
          </w:divBdr>
        </w:div>
        <w:div w:id="1819956479">
          <w:marLeft w:val="0"/>
          <w:marRight w:val="0"/>
          <w:marTop w:val="0"/>
          <w:marBottom w:val="0"/>
          <w:divBdr>
            <w:top w:val="none" w:sz="0" w:space="0" w:color="auto"/>
            <w:left w:val="none" w:sz="0" w:space="0" w:color="auto"/>
            <w:bottom w:val="none" w:sz="0" w:space="0" w:color="auto"/>
            <w:right w:val="none" w:sz="0" w:space="0" w:color="auto"/>
          </w:divBdr>
        </w:div>
        <w:div w:id="1824589712">
          <w:marLeft w:val="0"/>
          <w:marRight w:val="0"/>
          <w:marTop w:val="0"/>
          <w:marBottom w:val="0"/>
          <w:divBdr>
            <w:top w:val="none" w:sz="0" w:space="0" w:color="auto"/>
            <w:left w:val="none" w:sz="0" w:space="0" w:color="auto"/>
            <w:bottom w:val="none" w:sz="0" w:space="0" w:color="auto"/>
            <w:right w:val="none" w:sz="0" w:space="0" w:color="auto"/>
          </w:divBdr>
        </w:div>
        <w:div w:id="1895775974">
          <w:marLeft w:val="0"/>
          <w:marRight w:val="0"/>
          <w:marTop w:val="0"/>
          <w:marBottom w:val="0"/>
          <w:divBdr>
            <w:top w:val="none" w:sz="0" w:space="0" w:color="auto"/>
            <w:left w:val="none" w:sz="0" w:space="0" w:color="auto"/>
            <w:bottom w:val="none" w:sz="0" w:space="0" w:color="auto"/>
            <w:right w:val="none" w:sz="0" w:space="0" w:color="auto"/>
          </w:divBdr>
        </w:div>
        <w:div w:id="1945074297">
          <w:marLeft w:val="0"/>
          <w:marRight w:val="0"/>
          <w:marTop w:val="0"/>
          <w:marBottom w:val="0"/>
          <w:divBdr>
            <w:top w:val="none" w:sz="0" w:space="0" w:color="auto"/>
            <w:left w:val="none" w:sz="0" w:space="0" w:color="auto"/>
            <w:bottom w:val="none" w:sz="0" w:space="0" w:color="auto"/>
            <w:right w:val="none" w:sz="0" w:space="0" w:color="auto"/>
          </w:divBdr>
        </w:div>
        <w:div w:id="1978681823">
          <w:marLeft w:val="0"/>
          <w:marRight w:val="0"/>
          <w:marTop w:val="0"/>
          <w:marBottom w:val="0"/>
          <w:divBdr>
            <w:top w:val="none" w:sz="0" w:space="0" w:color="auto"/>
            <w:left w:val="none" w:sz="0" w:space="0" w:color="auto"/>
            <w:bottom w:val="none" w:sz="0" w:space="0" w:color="auto"/>
            <w:right w:val="none" w:sz="0" w:space="0" w:color="auto"/>
          </w:divBdr>
        </w:div>
        <w:div w:id="2010592206">
          <w:marLeft w:val="0"/>
          <w:marRight w:val="0"/>
          <w:marTop w:val="0"/>
          <w:marBottom w:val="0"/>
          <w:divBdr>
            <w:top w:val="none" w:sz="0" w:space="0" w:color="auto"/>
            <w:left w:val="none" w:sz="0" w:space="0" w:color="auto"/>
            <w:bottom w:val="none" w:sz="0" w:space="0" w:color="auto"/>
            <w:right w:val="none" w:sz="0" w:space="0" w:color="auto"/>
          </w:divBdr>
        </w:div>
        <w:div w:id="2081365412">
          <w:marLeft w:val="0"/>
          <w:marRight w:val="0"/>
          <w:marTop w:val="0"/>
          <w:marBottom w:val="0"/>
          <w:divBdr>
            <w:top w:val="none" w:sz="0" w:space="0" w:color="auto"/>
            <w:left w:val="none" w:sz="0" w:space="0" w:color="auto"/>
            <w:bottom w:val="none" w:sz="0" w:space="0" w:color="auto"/>
            <w:right w:val="none" w:sz="0" w:space="0" w:color="auto"/>
          </w:divBdr>
        </w:div>
        <w:div w:id="2111315053">
          <w:marLeft w:val="0"/>
          <w:marRight w:val="0"/>
          <w:marTop w:val="0"/>
          <w:marBottom w:val="0"/>
          <w:divBdr>
            <w:top w:val="none" w:sz="0" w:space="0" w:color="auto"/>
            <w:left w:val="none" w:sz="0" w:space="0" w:color="auto"/>
            <w:bottom w:val="none" w:sz="0" w:space="0" w:color="auto"/>
            <w:right w:val="none" w:sz="0" w:space="0" w:color="auto"/>
          </w:divBdr>
        </w:div>
        <w:div w:id="2125227252">
          <w:marLeft w:val="0"/>
          <w:marRight w:val="0"/>
          <w:marTop w:val="0"/>
          <w:marBottom w:val="0"/>
          <w:divBdr>
            <w:top w:val="none" w:sz="0" w:space="0" w:color="auto"/>
            <w:left w:val="none" w:sz="0" w:space="0" w:color="auto"/>
            <w:bottom w:val="none" w:sz="0" w:space="0" w:color="auto"/>
            <w:right w:val="none" w:sz="0" w:space="0" w:color="auto"/>
          </w:divBdr>
        </w:div>
        <w:div w:id="2133673874">
          <w:marLeft w:val="0"/>
          <w:marRight w:val="0"/>
          <w:marTop w:val="0"/>
          <w:marBottom w:val="0"/>
          <w:divBdr>
            <w:top w:val="none" w:sz="0" w:space="0" w:color="auto"/>
            <w:left w:val="none" w:sz="0" w:space="0" w:color="auto"/>
            <w:bottom w:val="none" w:sz="0" w:space="0" w:color="auto"/>
            <w:right w:val="none" w:sz="0" w:space="0" w:color="auto"/>
          </w:divBdr>
        </w:div>
      </w:divsChild>
    </w:div>
    <w:div w:id="666132509">
      <w:bodyDiv w:val="1"/>
      <w:marLeft w:val="0"/>
      <w:marRight w:val="0"/>
      <w:marTop w:val="0"/>
      <w:marBottom w:val="0"/>
      <w:divBdr>
        <w:top w:val="none" w:sz="0" w:space="0" w:color="auto"/>
        <w:left w:val="none" w:sz="0" w:space="0" w:color="auto"/>
        <w:bottom w:val="none" w:sz="0" w:space="0" w:color="auto"/>
        <w:right w:val="none" w:sz="0" w:space="0" w:color="auto"/>
      </w:divBdr>
    </w:div>
    <w:div w:id="685790432">
      <w:bodyDiv w:val="1"/>
      <w:marLeft w:val="0"/>
      <w:marRight w:val="0"/>
      <w:marTop w:val="0"/>
      <w:marBottom w:val="0"/>
      <w:divBdr>
        <w:top w:val="none" w:sz="0" w:space="0" w:color="auto"/>
        <w:left w:val="none" w:sz="0" w:space="0" w:color="auto"/>
        <w:bottom w:val="none" w:sz="0" w:space="0" w:color="auto"/>
        <w:right w:val="none" w:sz="0" w:space="0" w:color="auto"/>
      </w:divBdr>
    </w:div>
    <w:div w:id="685982143">
      <w:bodyDiv w:val="1"/>
      <w:marLeft w:val="0"/>
      <w:marRight w:val="0"/>
      <w:marTop w:val="0"/>
      <w:marBottom w:val="0"/>
      <w:divBdr>
        <w:top w:val="none" w:sz="0" w:space="0" w:color="auto"/>
        <w:left w:val="none" w:sz="0" w:space="0" w:color="auto"/>
        <w:bottom w:val="none" w:sz="0" w:space="0" w:color="auto"/>
        <w:right w:val="none" w:sz="0" w:space="0" w:color="auto"/>
      </w:divBdr>
    </w:div>
    <w:div w:id="689138887">
      <w:bodyDiv w:val="1"/>
      <w:marLeft w:val="0"/>
      <w:marRight w:val="0"/>
      <w:marTop w:val="0"/>
      <w:marBottom w:val="0"/>
      <w:divBdr>
        <w:top w:val="none" w:sz="0" w:space="0" w:color="auto"/>
        <w:left w:val="none" w:sz="0" w:space="0" w:color="auto"/>
        <w:bottom w:val="none" w:sz="0" w:space="0" w:color="auto"/>
        <w:right w:val="none" w:sz="0" w:space="0" w:color="auto"/>
      </w:divBdr>
      <w:divsChild>
        <w:div w:id="19211711">
          <w:marLeft w:val="0"/>
          <w:marRight w:val="0"/>
          <w:marTop w:val="0"/>
          <w:marBottom w:val="0"/>
          <w:divBdr>
            <w:top w:val="none" w:sz="0" w:space="0" w:color="auto"/>
            <w:left w:val="none" w:sz="0" w:space="0" w:color="auto"/>
            <w:bottom w:val="none" w:sz="0" w:space="0" w:color="auto"/>
            <w:right w:val="none" w:sz="0" w:space="0" w:color="auto"/>
          </w:divBdr>
        </w:div>
        <w:div w:id="143737301">
          <w:marLeft w:val="0"/>
          <w:marRight w:val="0"/>
          <w:marTop w:val="0"/>
          <w:marBottom w:val="0"/>
          <w:divBdr>
            <w:top w:val="none" w:sz="0" w:space="0" w:color="auto"/>
            <w:left w:val="none" w:sz="0" w:space="0" w:color="auto"/>
            <w:bottom w:val="none" w:sz="0" w:space="0" w:color="auto"/>
            <w:right w:val="none" w:sz="0" w:space="0" w:color="auto"/>
          </w:divBdr>
        </w:div>
        <w:div w:id="189923996">
          <w:marLeft w:val="0"/>
          <w:marRight w:val="0"/>
          <w:marTop w:val="0"/>
          <w:marBottom w:val="0"/>
          <w:divBdr>
            <w:top w:val="none" w:sz="0" w:space="0" w:color="auto"/>
            <w:left w:val="none" w:sz="0" w:space="0" w:color="auto"/>
            <w:bottom w:val="none" w:sz="0" w:space="0" w:color="auto"/>
            <w:right w:val="none" w:sz="0" w:space="0" w:color="auto"/>
          </w:divBdr>
        </w:div>
        <w:div w:id="285433537">
          <w:marLeft w:val="0"/>
          <w:marRight w:val="0"/>
          <w:marTop w:val="0"/>
          <w:marBottom w:val="0"/>
          <w:divBdr>
            <w:top w:val="none" w:sz="0" w:space="0" w:color="auto"/>
            <w:left w:val="none" w:sz="0" w:space="0" w:color="auto"/>
            <w:bottom w:val="none" w:sz="0" w:space="0" w:color="auto"/>
            <w:right w:val="none" w:sz="0" w:space="0" w:color="auto"/>
          </w:divBdr>
        </w:div>
        <w:div w:id="330911748">
          <w:marLeft w:val="0"/>
          <w:marRight w:val="0"/>
          <w:marTop w:val="0"/>
          <w:marBottom w:val="0"/>
          <w:divBdr>
            <w:top w:val="none" w:sz="0" w:space="0" w:color="auto"/>
            <w:left w:val="none" w:sz="0" w:space="0" w:color="auto"/>
            <w:bottom w:val="none" w:sz="0" w:space="0" w:color="auto"/>
            <w:right w:val="none" w:sz="0" w:space="0" w:color="auto"/>
          </w:divBdr>
        </w:div>
        <w:div w:id="355817765">
          <w:marLeft w:val="0"/>
          <w:marRight w:val="0"/>
          <w:marTop w:val="0"/>
          <w:marBottom w:val="0"/>
          <w:divBdr>
            <w:top w:val="none" w:sz="0" w:space="0" w:color="auto"/>
            <w:left w:val="none" w:sz="0" w:space="0" w:color="auto"/>
            <w:bottom w:val="none" w:sz="0" w:space="0" w:color="auto"/>
            <w:right w:val="none" w:sz="0" w:space="0" w:color="auto"/>
          </w:divBdr>
        </w:div>
        <w:div w:id="383603140">
          <w:marLeft w:val="0"/>
          <w:marRight w:val="0"/>
          <w:marTop w:val="0"/>
          <w:marBottom w:val="0"/>
          <w:divBdr>
            <w:top w:val="none" w:sz="0" w:space="0" w:color="auto"/>
            <w:left w:val="none" w:sz="0" w:space="0" w:color="auto"/>
            <w:bottom w:val="none" w:sz="0" w:space="0" w:color="auto"/>
            <w:right w:val="none" w:sz="0" w:space="0" w:color="auto"/>
          </w:divBdr>
        </w:div>
        <w:div w:id="454372716">
          <w:marLeft w:val="0"/>
          <w:marRight w:val="0"/>
          <w:marTop w:val="0"/>
          <w:marBottom w:val="0"/>
          <w:divBdr>
            <w:top w:val="none" w:sz="0" w:space="0" w:color="auto"/>
            <w:left w:val="none" w:sz="0" w:space="0" w:color="auto"/>
            <w:bottom w:val="none" w:sz="0" w:space="0" w:color="auto"/>
            <w:right w:val="none" w:sz="0" w:space="0" w:color="auto"/>
          </w:divBdr>
        </w:div>
        <w:div w:id="607081587">
          <w:marLeft w:val="0"/>
          <w:marRight w:val="0"/>
          <w:marTop w:val="0"/>
          <w:marBottom w:val="0"/>
          <w:divBdr>
            <w:top w:val="none" w:sz="0" w:space="0" w:color="auto"/>
            <w:left w:val="none" w:sz="0" w:space="0" w:color="auto"/>
            <w:bottom w:val="none" w:sz="0" w:space="0" w:color="auto"/>
            <w:right w:val="none" w:sz="0" w:space="0" w:color="auto"/>
          </w:divBdr>
        </w:div>
        <w:div w:id="611667067">
          <w:marLeft w:val="0"/>
          <w:marRight w:val="0"/>
          <w:marTop w:val="0"/>
          <w:marBottom w:val="0"/>
          <w:divBdr>
            <w:top w:val="none" w:sz="0" w:space="0" w:color="auto"/>
            <w:left w:val="none" w:sz="0" w:space="0" w:color="auto"/>
            <w:bottom w:val="none" w:sz="0" w:space="0" w:color="auto"/>
            <w:right w:val="none" w:sz="0" w:space="0" w:color="auto"/>
          </w:divBdr>
        </w:div>
        <w:div w:id="666249182">
          <w:marLeft w:val="0"/>
          <w:marRight w:val="0"/>
          <w:marTop w:val="0"/>
          <w:marBottom w:val="0"/>
          <w:divBdr>
            <w:top w:val="none" w:sz="0" w:space="0" w:color="auto"/>
            <w:left w:val="none" w:sz="0" w:space="0" w:color="auto"/>
            <w:bottom w:val="none" w:sz="0" w:space="0" w:color="auto"/>
            <w:right w:val="none" w:sz="0" w:space="0" w:color="auto"/>
          </w:divBdr>
        </w:div>
        <w:div w:id="696002297">
          <w:marLeft w:val="0"/>
          <w:marRight w:val="0"/>
          <w:marTop w:val="0"/>
          <w:marBottom w:val="0"/>
          <w:divBdr>
            <w:top w:val="none" w:sz="0" w:space="0" w:color="auto"/>
            <w:left w:val="none" w:sz="0" w:space="0" w:color="auto"/>
            <w:bottom w:val="none" w:sz="0" w:space="0" w:color="auto"/>
            <w:right w:val="none" w:sz="0" w:space="0" w:color="auto"/>
          </w:divBdr>
        </w:div>
        <w:div w:id="702245896">
          <w:marLeft w:val="0"/>
          <w:marRight w:val="0"/>
          <w:marTop w:val="0"/>
          <w:marBottom w:val="0"/>
          <w:divBdr>
            <w:top w:val="none" w:sz="0" w:space="0" w:color="auto"/>
            <w:left w:val="none" w:sz="0" w:space="0" w:color="auto"/>
            <w:bottom w:val="none" w:sz="0" w:space="0" w:color="auto"/>
            <w:right w:val="none" w:sz="0" w:space="0" w:color="auto"/>
          </w:divBdr>
        </w:div>
        <w:div w:id="703334069">
          <w:marLeft w:val="0"/>
          <w:marRight w:val="0"/>
          <w:marTop w:val="0"/>
          <w:marBottom w:val="0"/>
          <w:divBdr>
            <w:top w:val="none" w:sz="0" w:space="0" w:color="auto"/>
            <w:left w:val="none" w:sz="0" w:space="0" w:color="auto"/>
            <w:bottom w:val="none" w:sz="0" w:space="0" w:color="auto"/>
            <w:right w:val="none" w:sz="0" w:space="0" w:color="auto"/>
          </w:divBdr>
        </w:div>
        <w:div w:id="800610008">
          <w:marLeft w:val="0"/>
          <w:marRight w:val="0"/>
          <w:marTop w:val="0"/>
          <w:marBottom w:val="0"/>
          <w:divBdr>
            <w:top w:val="none" w:sz="0" w:space="0" w:color="auto"/>
            <w:left w:val="none" w:sz="0" w:space="0" w:color="auto"/>
            <w:bottom w:val="none" w:sz="0" w:space="0" w:color="auto"/>
            <w:right w:val="none" w:sz="0" w:space="0" w:color="auto"/>
          </w:divBdr>
        </w:div>
        <w:div w:id="812019178">
          <w:marLeft w:val="0"/>
          <w:marRight w:val="0"/>
          <w:marTop w:val="0"/>
          <w:marBottom w:val="0"/>
          <w:divBdr>
            <w:top w:val="none" w:sz="0" w:space="0" w:color="auto"/>
            <w:left w:val="none" w:sz="0" w:space="0" w:color="auto"/>
            <w:bottom w:val="none" w:sz="0" w:space="0" w:color="auto"/>
            <w:right w:val="none" w:sz="0" w:space="0" w:color="auto"/>
          </w:divBdr>
        </w:div>
        <w:div w:id="848637008">
          <w:marLeft w:val="0"/>
          <w:marRight w:val="0"/>
          <w:marTop w:val="0"/>
          <w:marBottom w:val="0"/>
          <w:divBdr>
            <w:top w:val="none" w:sz="0" w:space="0" w:color="auto"/>
            <w:left w:val="none" w:sz="0" w:space="0" w:color="auto"/>
            <w:bottom w:val="none" w:sz="0" w:space="0" w:color="auto"/>
            <w:right w:val="none" w:sz="0" w:space="0" w:color="auto"/>
          </w:divBdr>
        </w:div>
        <w:div w:id="864514956">
          <w:marLeft w:val="0"/>
          <w:marRight w:val="0"/>
          <w:marTop w:val="0"/>
          <w:marBottom w:val="0"/>
          <w:divBdr>
            <w:top w:val="none" w:sz="0" w:space="0" w:color="auto"/>
            <w:left w:val="none" w:sz="0" w:space="0" w:color="auto"/>
            <w:bottom w:val="none" w:sz="0" w:space="0" w:color="auto"/>
            <w:right w:val="none" w:sz="0" w:space="0" w:color="auto"/>
          </w:divBdr>
        </w:div>
        <w:div w:id="878123695">
          <w:marLeft w:val="0"/>
          <w:marRight w:val="0"/>
          <w:marTop w:val="0"/>
          <w:marBottom w:val="0"/>
          <w:divBdr>
            <w:top w:val="none" w:sz="0" w:space="0" w:color="auto"/>
            <w:left w:val="none" w:sz="0" w:space="0" w:color="auto"/>
            <w:bottom w:val="none" w:sz="0" w:space="0" w:color="auto"/>
            <w:right w:val="none" w:sz="0" w:space="0" w:color="auto"/>
          </w:divBdr>
        </w:div>
        <w:div w:id="904100714">
          <w:marLeft w:val="0"/>
          <w:marRight w:val="0"/>
          <w:marTop w:val="0"/>
          <w:marBottom w:val="0"/>
          <w:divBdr>
            <w:top w:val="none" w:sz="0" w:space="0" w:color="auto"/>
            <w:left w:val="none" w:sz="0" w:space="0" w:color="auto"/>
            <w:bottom w:val="none" w:sz="0" w:space="0" w:color="auto"/>
            <w:right w:val="none" w:sz="0" w:space="0" w:color="auto"/>
          </w:divBdr>
        </w:div>
        <w:div w:id="918442008">
          <w:marLeft w:val="0"/>
          <w:marRight w:val="0"/>
          <w:marTop w:val="0"/>
          <w:marBottom w:val="0"/>
          <w:divBdr>
            <w:top w:val="none" w:sz="0" w:space="0" w:color="auto"/>
            <w:left w:val="none" w:sz="0" w:space="0" w:color="auto"/>
            <w:bottom w:val="none" w:sz="0" w:space="0" w:color="auto"/>
            <w:right w:val="none" w:sz="0" w:space="0" w:color="auto"/>
          </w:divBdr>
        </w:div>
        <w:div w:id="945042370">
          <w:marLeft w:val="0"/>
          <w:marRight w:val="0"/>
          <w:marTop w:val="0"/>
          <w:marBottom w:val="0"/>
          <w:divBdr>
            <w:top w:val="none" w:sz="0" w:space="0" w:color="auto"/>
            <w:left w:val="none" w:sz="0" w:space="0" w:color="auto"/>
            <w:bottom w:val="none" w:sz="0" w:space="0" w:color="auto"/>
            <w:right w:val="none" w:sz="0" w:space="0" w:color="auto"/>
          </w:divBdr>
        </w:div>
        <w:div w:id="977300116">
          <w:marLeft w:val="0"/>
          <w:marRight w:val="0"/>
          <w:marTop w:val="0"/>
          <w:marBottom w:val="0"/>
          <w:divBdr>
            <w:top w:val="none" w:sz="0" w:space="0" w:color="auto"/>
            <w:left w:val="none" w:sz="0" w:space="0" w:color="auto"/>
            <w:bottom w:val="none" w:sz="0" w:space="0" w:color="auto"/>
            <w:right w:val="none" w:sz="0" w:space="0" w:color="auto"/>
          </w:divBdr>
        </w:div>
        <w:div w:id="993945832">
          <w:marLeft w:val="0"/>
          <w:marRight w:val="0"/>
          <w:marTop w:val="0"/>
          <w:marBottom w:val="0"/>
          <w:divBdr>
            <w:top w:val="none" w:sz="0" w:space="0" w:color="auto"/>
            <w:left w:val="none" w:sz="0" w:space="0" w:color="auto"/>
            <w:bottom w:val="none" w:sz="0" w:space="0" w:color="auto"/>
            <w:right w:val="none" w:sz="0" w:space="0" w:color="auto"/>
          </w:divBdr>
        </w:div>
        <w:div w:id="1024942112">
          <w:marLeft w:val="0"/>
          <w:marRight w:val="0"/>
          <w:marTop w:val="0"/>
          <w:marBottom w:val="0"/>
          <w:divBdr>
            <w:top w:val="none" w:sz="0" w:space="0" w:color="auto"/>
            <w:left w:val="none" w:sz="0" w:space="0" w:color="auto"/>
            <w:bottom w:val="none" w:sz="0" w:space="0" w:color="auto"/>
            <w:right w:val="none" w:sz="0" w:space="0" w:color="auto"/>
          </w:divBdr>
        </w:div>
        <w:div w:id="1031493281">
          <w:marLeft w:val="0"/>
          <w:marRight w:val="0"/>
          <w:marTop w:val="0"/>
          <w:marBottom w:val="0"/>
          <w:divBdr>
            <w:top w:val="none" w:sz="0" w:space="0" w:color="auto"/>
            <w:left w:val="none" w:sz="0" w:space="0" w:color="auto"/>
            <w:bottom w:val="none" w:sz="0" w:space="0" w:color="auto"/>
            <w:right w:val="none" w:sz="0" w:space="0" w:color="auto"/>
          </w:divBdr>
        </w:div>
        <w:div w:id="1033192006">
          <w:marLeft w:val="0"/>
          <w:marRight w:val="0"/>
          <w:marTop w:val="0"/>
          <w:marBottom w:val="0"/>
          <w:divBdr>
            <w:top w:val="none" w:sz="0" w:space="0" w:color="auto"/>
            <w:left w:val="none" w:sz="0" w:space="0" w:color="auto"/>
            <w:bottom w:val="none" w:sz="0" w:space="0" w:color="auto"/>
            <w:right w:val="none" w:sz="0" w:space="0" w:color="auto"/>
          </w:divBdr>
        </w:div>
        <w:div w:id="1050299242">
          <w:marLeft w:val="0"/>
          <w:marRight w:val="0"/>
          <w:marTop w:val="0"/>
          <w:marBottom w:val="0"/>
          <w:divBdr>
            <w:top w:val="none" w:sz="0" w:space="0" w:color="auto"/>
            <w:left w:val="none" w:sz="0" w:space="0" w:color="auto"/>
            <w:bottom w:val="none" w:sz="0" w:space="0" w:color="auto"/>
            <w:right w:val="none" w:sz="0" w:space="0" w:color="auto"/>
          </w:divBdr>
        </w:div>
        <w:div w:id="1073354700">
          <w:marLeft w:val="0"/>
          <w:marRight w:val="0"/>
          <w:marTop w:val="0"/>
          <w:marBottom w:val="0"/>
          <w:divBdr>
            <w:top w:val="none" w:sz="0" w:space="0" w:color="auto"/>
            <w:left w:val="none" w:sz="0" w:space="0" w:color="auto"/>
            <w:bottom w:val="none" w:sz="0" w:space="0" w:color="auto"/>
            <w:right w:val="none" w:sz="0" w:space="0" w:color="auto"/>
          </w:divBdr>
        </w:div>
        <w:div w:id="1080523597">
          <w:marLeft w:val="0"/>
          <w:marRight w:val="0"/>
          <w:marTop w:val="0"/>
          <w:marBottom w:val="0"/>
          <w:divBdr>
            <w:top w:val="none" w:sz="0" w:space="0" w:color="auto"/>
            <w:left w:val="none" w:sz="0" w:space="0" w:color="auto"/>
            <w:bottom w:val="none" w:sz="0" w:space="0" w:color="auto"/>
            <w:right w:val="none" w:sz="0" w:space="0" w:color="auto"/>
          </w:divBdr>
        </w:div>
        <w:div w:id="1222987592">
          <w:marLeft w:val="0"/>
          <w:marRight w:val="0"/>
          <w:marTop w:val="0"/>
          <w:marBottom w:val="0"/>
          <w:divBdr>
            <w:top w:val="none" w:sz="0" w:space="0" w:color="auto"/>
            <w:left w:val="none" w:sz="0" w:space="0" w:color="auto"/>
            <w:bottom w:val="none" w:sz="0" w:space="0" w:color="auto"/>
            <w:right w:val="none" w:sz="0" w:space="0" w:color="auto"/>
          </w:divBdr>
        </w:div>
        <w:div w:id="1251113779">
          <w:marLeft w:val="0"/>
          <w:marRight w:val="0"/>
          <w:marTop w:val="0"/>
          <w:marBottom w:val="0"/>
          <w:divBdr>
            <w:top w:val="none" w:sz="0" w:space="0" w:color="auto"/>
            <w:left w:val="none" w:sz="0" w:space="0" w:color="auto"/>
            <w:bottom w:val="none" w:sz="0" w:space="0" w:color="auto"/>
            <w:right w:val="none" w:sz="0" w:space="0" w:color="auto"/>
          </w:divBdr>
        </w:div>
        <w:div w:id="1295718426">
          <w:marLeft w:val="0"/>
          <w:marRight w:val="0"/>
          <w:marTop w:val="0"/>
          <w:marBottom w:val="0"/>
          <w:divBdr>
            <w:top w:val="none" w:sz="0" w:space="0" w:color="auto"/>
            <w:left w:val="none" w:sz="0" w:space="0" w:color="auto"/>
            <w:bottom w:val="none" w:sz="0" w:space="0" w:color="auto"/>
            <w:right w:val="none" w:sz="0" w:space="0" w:color="auto"/>
          </w:divBdr>
        </w:div>
        <w:div w:id="1352731135">
          <w:marLeft w:val="0"/>
          <w:marRight w:val="0"/>
          <w:marTop w:val="0"/>
          <w:marBottom w:val="0"/>
          <w:divBdr>
            <w:top w:val="none" w:sz="0" w:space="0" w:color="auto"/>
            <w:left w:val="none" w:sz="0" w:space="0" w:color="auto"/>
            <w:bottom w:val="none" w:sz="0" w:space="0" w:color="auto"/>
            <w:right w:val="none" w:sz="0" w:space="0" w:color="auto"/>
          </w:divBdr>
        </w:div>
        <w:div w:id="1382705944">
          <w:marLeft w:val="0"/>
          <w:marRight w:val="0"/>
          <w:marTop w:val="0"/>
          <w:marBottom w:val="0"/>
          <w:divBdr>
            <w:top w:val="none" w:sz="0" w:space="0" w:color="auto"/>
            <w:left w:val="none" w:sz="0" w:space="0" w:color="auto"/>
            <w:bottom w:val="none" w:sz="0" w:space="0" w:color="auto"/>
            <w:right w:val="none" w:sz="0" w:space="0" w:color="auto"/>
          </w:divBdr>
        </w:div>
        <w:div w:id="1399287531">
          <w:marLeft w:val="0"/>
          <w:marRight w:val="0"/>
          <w:marTop w:val="0"/>
          <w:marBottom w:val="0"/>
          <w:divBdr>
            <w:top w:val="none" w:sz="0" w:space="0" w:color="auto"/>
            <w:left w:val="none" w:sz="0" w:space="0" w:color="auto"/>
            <w:bottom w:val="none" w:sz="0" w:space="0" w:color="auto"/>
            <w:right w:val="none" w:sz="0" w:space="0" w:color="auto"/>
          </w:divBdr>
        </w:div>
        <w:div w:id="1565608251">
          <w:marLeft w:val="0"/>
          <w:marRight w:val="0"/>
          <w:marTop w:val="0"/>
          <w:marBottom w:val="0"/>
          <w:divBdr>
            <w:top w:val="none" w:sz="0" w:space="0" w:color="auto"/>
            <w:left w:val="none" w:sz="0" w:space="0" w:color="auto"/>
            <w:bottom w:val="none" w:sz="0" w:space="0" w:color="auto"/>
            <w:right w:val="none" w:sz="0" w:space="0" w:color="auto"/>
          </w:divBdr>
        </w:div>
        <w:div w:id="1592470387">
          <w:marLeft w:val="0"/>
          <w:marRight w:val="0"/>
          <w:marTop w:val="0"/>
          <w:marBottom w:val="0"/>
          <w:divBdr>
            <w:top w:val="none" w:sz="0" w:space="0" w:color="auto"/>
            <w:left w:val="none" w:sz="0" w:space="0" w:color="auto"/>
            <w:bottom w:val="none" w:sz="0" w:space="0" w:color="auto"/>
            <w:right w:val="none" w:sz="0" w:space="0" w:color="auto"/>
          </w:divBdr>
        </w:div>
        <w:div w:id="1628194886">
          <w:marLeft w:val="0"/>
          <w:marRight w:val="0"/>
          <w:marTop w:val="0"/>
          <w:marBottom w:val="0"/>
          <w:divBdr>
            <w:top w:val="none" w:sz="0" w:space="0" w:color="auto"/>
            <w:left w:val="none" w:sz="0" w:space="0" w:color="auto"/>
            <w:bottom w:val="none" w:sz="0" w:space="0" w:color="auto"/>
            <w:right w:val="none" w:sz="0" w:space="0" w:color="auto"/>
          </w:divBdr>
        </w:div>
        <w:div w:id="1662998666">
          <w:marLeft w:val="0"/>
          <w:marRight w:val="0"/>
          <w:marTop w:val="0"/>
          <w:marBottom w:val="0"/>
          <w:divBdr>
            <w:top w:val="none" w:sz="0" w:space="0" w:color="auto"/>
            <w:left w:val="none" w:sz="0" w:space="0" w:color="auto"/>
            <w:bottom w:val="none" w:sz="0" w:space="0" w:color="auto"/>
            <w:right w:val="none" w:sz="0" w:space="0" w:color="auto"/>
          </w:divBdr>
        </w:div>
        <w:div w:id="1665623701">
          <w:marLeft w:val="0"/>
          <w:marRight w:val="0"/>
          <w:marTop w:val="0"/>
          <w:marBottom w:val="0"/>
          <w:divBdr>
            <w:top w:val="none" w:sz="0" w:space="0" w:color="auto"/>
            <w:left w:val="none" w:sz="0" w:space="0" w:color="auto"/>
            <w:bottom w:val="none" w:sz="0" w:space="0" w:color="auto"/>
            <w:right w:val="none" w:sz="0" w:space="0" w:color="auto"/>
          </w:divBdr>
        </w:div>
        <w:div w:id="1698660114">
          <w:marLeft w:val="0"/>
          <w:marRight w:val="0"/>
          <w:marTop w:val="0"/>
          <w:marBottom w:val="0"/>
          <w:divBdr>
            <w:top w:val="none" w:sz="0" w:space="0" w:color="auto"/>
            <w:left w:val="none" w:sz="0" w:space="0" w:color="auto"/>
            <w:bottom w:val="none" w:sz="0" w:space="0" w:color="auto"/>
            <w:right w:val="none" w:sz="0" w:space="0" w:color="auto"/>
          </w:divBdr>
        </w:div>
        <w:div w:id="1859075084">
          <w:marLeft w:val="0"/>
          <w:marRight w:val="0"/>
          <w:marTop w:val="0"/>
          <w:marBottom w:val="0"/>
          <w:divBdr>
            <w:top w:val="none" w:sz="0" w:space="0" w:color="auto"/>
            <w:left w:val="none" w:sz="0" w:space="0" w:color="auto"/>
            <w:bottom w:val="none" w:sz="0" w:space="0" w:color="auto"/>
            <w:right w:val="none" w:sz="0" w:space="0" w:color="auto"/>
          </w:divBdr>
        </w:div>
        <w:div w:id="1872913620">
          <w:marLeft w:val="0"/>
          <w:marRight w:val="0"/>
          <w:marTop w:val="0"/>
          <w:marBottom w:val="0"/>
          <w:divBdr>
            <w:top w:val="none" w:sz="0" w:space="0" w:color="auto"/>
            <w:left w:val="none" w:sz="0" w:space="0" w:color="auto"/>
            <w:bottom w:val="none" w:sz="0" w:space="0" w:color="auto"/>
            <w:right w:val="none" w:sz="0" w:space="0" w:color="auto"/>
          </w:divBdr>
        </w:div>
        <w:div w:id="1945382616">
          <w:marLeft w:val="0"/>
          <w:marRight w:val="0"/>
          <w:marTop w:val="0"/>
          <w:marBottom w:val="0"/>
          <w:divBdr>
            <w:top w:val="none" w:sz="0" w:space="0" w:color="auto"/>
            <w:left w:val="none" w:sz="0" w:space="0" w:color="auto"/>
            <w:bottom w:val="none" w:sz="0" w:space="0" w:color="auto"/>
            <w:right w:val="none" w:sz="0" w:space="0" w:color="auto"/>
          </w:divBdr>
        </w:div>
        <w:div w:id="1993021626">
          <w:marLeft w:val="0"/>
          <w:marRight w:val="0"/>
          <w:marTop w:val="0"/>
          <w:marBottom w:val="0"/>
          <w:divBdr>
            <w:top w:val="none" w:sz="0" w:space="0" w:color="auto"/>
            <w:left w:val="none" w:sz="0" w:space="0" w:color="auto"/>
            <w:bottom w:val="none" w:sz="0" w:space="0" w:color="auto"/>
            <w:right w:val="none" w:sz="0" w:space="0" w:color="auto"/>
          </w:divBdr>
        </w:div>
        <w:div w:id="2039232224">
          <w:marLeft w:val="0"/>
          <w:marRight w:val="0"/>
          <w:marTop w:val="0"/>
          <w:marBottom w:val="0"/>
          <w:divBdr>
            <w:top w:val="none" w:sz="0" w:space="0" w:color="auto"/>
            <w:left w:val="none" w:sz="0" w:space="0" w:color="auto"/>
            <w:bottom w:val="none" w:sz="0" w:space="0" w:color="auto"/>
            <w:right w:val="none" w:sz="0" w:space="0" w:color="auto"/>
          </w:divBdr>
        </w:div>
        <w:div w:id="2101023169">
          <w:marLeft w:val="0"/>
          <w:marRight w:val="0"/>
          <w:marTop w:val="0"/>
          <w:marBottom w:val="0"/>
          <w:divBdr>
            <w:top w:val="none" w:sz="0" w:space="0" w:color="auto"/>
            <w:left w:val="none" w:sz="0" w:space="0" w:color="auto"/>
            <w:bottom w:val="none" w:sz="0" w:space="0" w:color="auto"/>
            <w:right w:val="none" w:sz="0" w:space="0" w:color="auto"/>
          </w:divBdr>
        </w:div>
        <w:div w:id="2107992667">
          <w:marLeft w:val="0"/>
          <w:marRight w:val="0"/>
          <w:marTop w:val="0"/>
          <w:marBottom w:val="0"/>
          <w:divBdr>
            <w:top w:val="none" w:sz="0" w:space="0" w:color="auto"/>
            <w:left w:val="none" w:sz="0" w:space="0" w:color="auto"/>
            <w:bottom w:val="none" w:sz="0" w:space="0" w:color="auto"/>
            <w:right w:val="none" w:sz="0" w:space="0" w:color="auto"/>
          </w:divBdr>
        </w:div>
      </w:divsChild>
    </w:div>
    <w:div w:id="692805232">
      <w:bodyDiv w:val="1"/>
      <w:marLeft w:val="0"/>
      <w:marRight w:val="0"/>
      <w:marTop w:val="0"/>
      <w:marBottom w:val="0"/>
      <w:divBdr>
        <w:top w:val="none" w:sz="0" w:space="0" w:color="auto"/>
        <w:left w:val="none" w:sz="0" w:space="0" w:color="auto"/>
        <w:bottom w:val="none" w:sz="0" w:space="0" w:color="auto"/>
        <w:right w:val="none" w:sz="0" w:space="0" w:color="auto"/>
      </w:divBdr>
    </w:div>
    <w:div w:id="709458073">
      <w:bodyDiv w:val="1"/>
      <w:marLeft w:val="0"/>
      <w:marRight w:val="0"/>
      <w:marTop w:val="0"/>
      <w:marBottom w:val="0"/>
      <w:divBdr>
        <w:top w:val="none" w:sz="0" w:space="0" w:color="auto"/>
        <w:left w:val="none" w:sz="0" w:space="0" w:color="auto"/>
        <w:bottom w:val="none" w:sz="0" w:space="0" w:color="auto"/>
        <w:right w:val="none" w:sz="0" w:space="0" w:color="auto"/>
      </w:divBdr>
    </w:div>
    <w:div w:id="713194196">
      <w:bodyDiv w:val="1"/>
      <w:marLeft w:val="0"/>
      <w:marRight w:val="0"/>
      <w:marTop w:val="0"/>
      <w:marBottom w:val="0"/>
      <w:divBdr>
        <w:top w:val="none" w:sz="0" w:space="0" w:color="auto"/>
        <w:left w:val="none" w:sz="0" w:space="0" w:color="auto"/>
        <w:bottom w:val="none" w:sz="0" w:space="0" w:color="auto"/>
        <w:right w:val="none" w:sz="0" w:space="0" w:color="auto"/>
      </w:divBdr>
    </w:div>
    <w:div w:id="714237607">
      <w:bodyDiv w:val="1"/>
      <w:marLeft w:val="0"/>
      <w:marRight w:val="0"/>
      <w:marTop w:val="0"/>
      <w:marBottom w:val="0"/>
      <w:divBdr>
        <w:top w:val="none" w:sz="0" w:space="0" w:color="auto"/>
        <w:left w:val="none" w:sz="0" w:space="0" w:color="auto"/>
        <w:bottom w:val="none" w:sz="0" w:space="0" w:color="auto"/>
        <w:right w:val="none" w:sz="0" w:space="0" w:color="auto"/>
      </w:divBdr>
      <w:divsChild>
        <w:div w:id="706761457">
          <w:marLeft w:val="1166"/>
          <w:marRight w:val="0"/>
          <w:marTop w:val="0"/>
          <w:marBottom w:val="0"/>
          <w:divBdr>
            <w:top w:val="none" w:sz="0" w:space="0" w:color="auto"/>
            <w:left w:val="none" w:sz="0" w:space="0" w:color="auto"/>
            <w:bottom w:val="none" w:sz="0" w:space="0" w:color="auto"/>
            <w:right w:val="none" w:sz="0" w:space="0" w:color="auto"/>
          </w:divBdr>
        </w:div>
        <w:div w:id="93595479">
          <w:marLeft w:val="1166"/>
          <w:marRight w:val="0"/>
          <w:marTop w:val="0"/>
          <w:marBottom w:val="0"/>
          <w:divBdr>
            <w:top w:val="none" w:sz="0" w:space="0" w:color="auto"/>
            <w:left w:val="none" w:sz="0" w:space="0" w:color="auto"/>
            <w:bottom w:val="none" w:sz="0" w:space="0" w:color="auto"/>
            <w:right w:val="none" w:sz="0" w:space="0" w:color="auto"/>
          </w:divBdr>
        </w:div>
        <w:div w:id="1151214554">
          <w:marLeft w:val="1166"/>
          <w:marRight w:val="0"/>
          <w:marTop w:val="0"/>
          <w:marBottom w:val="0"/>
          <w:divBdr>
            <w:top w:val="none" w:sz="0" w:space="0" w:color="auto"/>
            <w:left w:val="none" w:sz="0" w:space="0" w:color="auto"/>
            <w:bottom w:val="none" w:sz="0" w:space="0" w:color="auto"/>
            <w:right w:val="none" w:sz="0" w:space="0" w:color="auto"/>
          </w:divBdr>
        </w:div>
        <w:div w:id="1818762309">
          <w:marLeft w:val="1166"/>
          <w:marRight w:val="0"/>
          <w:marTop w:val="0"/>
          <w:marBottom w:val="0"/>
          <w:divBdr>
            <w:top w:val="none" w:sz="0" w:space="0" w:color="auto"/>
            <w:left w:val="none" w:sz="0" w:space="0" w:color="auto"/>
            <w:bottom w:val="none" w:sz="0" w:space="0" w:color="auto"/>
            <w:right w:val="none" w:sz="0" w:space="0" w:color="auto"/>
          </w:divBdr>
        </w:div>
        <w:div w:id="829908843">
          <w:marLeft w:val="1166"/>
          <w:marRight w:val="0"/>
          <w:marTop w:val="0"/>
          <w:marBottom w:val="0"/>
          <w:divBdr>
            <w:top w:val="none" w:sz="0" w:space="0" w:color="auto"/>
            <w:left w:val="none" w:sz="0" w:space="0" w:color="auto"/>
            <w:bottom w:val="none" w:sz="0" w:space="0" w:color="auto"/>
            <w:right w:val="none" w:sz="0" w:space="0" w:color="auto"/>
          </w:divBdr>
        </w:div>
      </w:divsChild>
    </w:div>
    <w:div w:id="714543541">
      <w:bodyDiv w:val="1"/>
      <w:marLeft w:val="0"/>
      <w:marRight w:val="0"/>
      <w:marTop w:val="0"/>
      <w:marBottom w:val="0"/>
      <w:divBdr>
        <w:top w:val="none" w:sz="0" w:space="0" w:color="auto"/>
        <w:left w:val="none" w:sz="0" w:space="0" w:color="auto"/>
        <w:bottom w:val="none" w:sz="0" w:space="0" w:color="auto"/>
        <w:right w:val="none" w:sz="0" w:space="0" w:color="auto"/>
      </w:divBdr>
    </w:div>
    <w:div w:id="721488892">
      <w:bodyDiv w:val="1"/>
      <w:marLeft w:val="0"/>
      <w:marRight w:val="0"/>
      <w:marTop w:val="0"/>
      <w:marBottom w:val="0"/>
      <w:divBdr>
        <w:top w:val="none" w:sz="0" w:space="0" w:color="auto"/>
        <w:left w:val="none" w:sz="0" w:space="0" w:color="auto"/>
        <w:bottom w:val="none" w:sz="0" w:space="0" w:color="auto"/>
        <w:right w:val="none" w:sz="0" w:space="0" w:color="auto"/>
      </w:divBdr>
    </w:div>
    <w:div w:id="728457909">
      <w:bodyDiv w:val="1"/>
      <w:marLeft w:val="0"/>
      <w:marRight w:val="0"/>
      <w:marTop w:val="0"/>
      <w:marBottom w:val="0"/>
      <w:divBdr>
        <w:top w:val="none" w:sz="0" w:space="0" w:color="auto"/>
        <w:left w:val="none" w:sz="0" w:space="0" w:color="auto"/>
        <w:bottom w:val="none" w:sz="0" w:space="0" w:color="auto"/>
        <w:right w:val="none" w:sz="0" w:space="0" w:color="auto"/>
      </w:divBdr>
    </w:div>
    <w:div w:id="729619053">
      <w:bodyDiv w:val="1"/>
      <w:marLeft w:val="0"/>
      <w:marRight w:val="0"/>
      <w:marTop w:val="0"/>
      <w:marBottom w:val="0"/>
      <w:divBdr>
        <w:top w:val="none" w:sz="0" w:space="0" w:color="auto"/>
        <w:left w:val="none" w:sz="0" w:space="0" w:color="auto"/>
        <w:bottom w:val="none" w:sz="0" w:space="0" w:color="auto"/>
        <w:right w:val="none" w:sz="0" w:space="0" w:color="auto"/>
      </w:divBdr>
    </w:div>
    <w:div w:id="740760851">
      <w:bodyDiv w:val="1"/>
      <w:marLeft w:val="0"/>
      <w:marRight w:val="0"/>
      <w:marTop w:val="0"/>
      <w:marBottom w:val="0"/>
      <w:divBdr>
        <w:top w:val="none" w:sz="0" w:space="0" w:color="auto"/>
        <w:left w:val="none" w:sz="0" w:space="0" w:color="auto"/>
        <w:bottom w:val="none" w:sz="0" w:space="0" w:color="auto"/>
        <w:right w:val="none" w:sz="0" w:space="0" w:color="auto"/>
      </w:divBdr>
      <w:divsChild>
        <w:div w:id="969629247">
          <w:marLeft w:val="1166"/>
          <w:marRight w:val="0"/>
          <w:marTop w:val="0"/>
          <w:marBottom w:val="0"/>
          <w:divBdr>
            <w:top w:val="none" w:sz="0" w:space="0" w:color="auto"/>
            <w:left w:val="none" w:sz="0" w:space="0" w:color="auto"/>
            <w:bottom w:val="none" w:sz="0" w:space="0" w:color="auto"/>
            <w:right w:val="none" w:sz="0" w:space="0" w:color="auto"/>
          </w:divBdr>
        </w:div>
      </w:divsChild>
    </w:div>
    <w:div w:id="746193344">
      <w:bodyDiv w:val="1"/>
      <w:marLeft w:val="0"/>
      <w:marRight w:val="0"/>
      <w:marTop w:val="0"/>
      <w:marBottom w:val="0"/>
      <w:divBdr>
        <w:top w:val="none" w:sz="0" w:space="0" w:color="auto"/>
        <w:left w:val="none" w:sz="0" w:space="0" w:color="auto"/>
        <w:bottom w:val="none" w:sz="0" w:space="0" w:color="auto"/>
        <w:right w:val="none" w:sz="0" w:space="0" w:color="auto"/>
      </w:divBdr>
    </w:div>
    <w:div w:id="759907044">
      <w:bodyDiv w:val="1"/>
      <w:marLeft w:val="0"/>
      <w:marRight w:val="0"/>
      <w:marTop w:val="0"/>
      <w:marBottom w:val="0"/>
      <w:divBdr>
        <w:top w:val="none" w:sz="0" w:space="0" w:color="auto"/>
        <w:left w:val="none" w:sz="0" w:space="0" w:color="auto"/>
        <w:bottom w:val="none" w:sz="0" w:space="0" w:color="auto"/>
        <w:right w:val="none" w:sz="0" w:space="0" w:color="auto"/>
      </w:divBdr>
    </w:div>
    <w:div w:id="765658446">
      <w:bodyDiv w:val="1"/>
      <w:marLeft w:val="0"/>
      <w:marRight w:val="0"/>
      <w:marTop w:val="0"/>
      <w:marBottom w:val="0"/>
      <w:divBdr>
        <w:top w:val="none" w:sz="0" w:space="0" w:color="auto"/>
        <w:left w:val="none" w:sz="0" w:space="0" w:color="auto"/>
        <w:bottom w:val="none" w:sz="0" w:space="0" w:color="auto"/>
        <w:right w:val="none" w:sz="0" w:space="0" w:color="auto"/>
      </w:divBdr>
    </w:div>
    <w:div w:id="766468297">
      <w:bodyDiv w:val="1"/>
      <w:marLeft w:val="0"/>
      <w:marRight w:val="0"/>
      <w:marTop w:val="0"/>
      <w:marBottom w:val="0"/>
      <w:divBdr>
        <w:top w:val="none" w:sz="0" w:space="0" w:color="auto"/>
        <w:left w:val="none" w:sz="0" w:space="0" w:color="auto"/>
        <w:bottom w:val="none" w:sz="0" w:space="0" w:color="auto"/>
        <w:right w:val="none" w:sz="0" w:space="0" w:color="auto"/>
      </w:divBdr>
    </w:div>
    <w:div w:id="768350959">
      <w:bodyDiv w:val="1"/>
      <w:marLeft w:val="0"/>
      <w:marRight w:val="0"/>
      <w:marTop w:val="0"/>
      <w:marBottom w:val="0"/>
      <w:divBdr>
        <w:top w:val="none" w:sz="0" w:space="0" w:color="auto"/>
        <w:left w:val="none" w:sz="0" w:space="0" w:color="auto"/>
        <w:bottom w:val="none" w:sz="0" w:space="0" w:color="auto"/>
        <w:right w:val="none" w:sz="0" w:space="0" w:color="auto"/>
      </w:divBdr>
      <w:divsChild>
        <w:div w:id="130172260">
          <w:marLeft w:val="0"/>
          <w:marRight w:val="0"/>
          <w:marTop w:val="0"/>
          <w:marBottom w:val="0"/>
          <w:divBdr>
            <w:top w:val="none" w:sz="0" w:space="0" w:color="auto"/>
            <w:left w:val="none" w:sz="0" w:space="0" w:color="auto"/>
            <w:bottom w:val="none" w:sz="0" w:space="0" w:color="auto"/>
            <w:right w:val="none" w:sz="0" w:space="0" w:color="auto"/>
          </w:divBdr>
        </w:div>
        <w:div w:id="344090938">
          <w:marLeft w:val="0"/>
          <w:marRight w:val="0"/>
          <w:marTop w:val="0"/>
          <w:marBottom w:val="0"/>
          <w:divBdr>
            <w:top w:val="none" w:sz="0" w:space="0" w:color="auto"/>
            <w:left w:val="none" w:sz="0" w:space="0" w:color="auto"/>
            <w:bottom w:val="none" w:sz="0" w:space="0" w:color="auto"/>
            <w:right w:val="none" w:sz="0" w:space="0" w:color="auto"/>
          </w:divBdr>
        </w:div>
      </w:divsChild>
    </w:div>
    <w:div w:id="776101839">
      <w:bodyDiv w:val="1"/>
      <w:marLeft w:val="0"/>
      <w:marRight w:val="0"/>
      <w:marTop w:val="0"/>
      <w:marBottom w:val="0"/>
      <w:divBdr>
        <w:top w:val="none" w:sz="0" w:space="0" w:color="auto"/>
        <w:left w:val="none" w:sz="0" w:space="0" w:color="auto"/>
        <w:bottom w:val="none" w:sz="0" w:space="0" w:color="auto"/>
        <w:right w:val="none" w:sz="0" w:space="0" w:color="auto"/>
      </w:divBdr>
      <w:divsChild>
        <w:div w:id="1416779453">
          <w:marLeft w:val="0"/>
          <w:marRight w:val="0"/>
          <w:marTop w:val="0"/>
          <w:marBottom w:val="0"/>
          <w:divBdr>
            <w:top w:val="none" w:sz="0" w:space="0" w:color="auto"/>
            <w:left w:val="none" w:sz="0" w:space="0" w:color="auto"/>
            <w:bottom w:val="none" w:sz="0" w:space="0" w:color="auto"/>
            <w:right w:val="none" w:sz="0" w:space="0" w:color="auto"/>
          </w:divBdr>
        </w:div>
      </w:divsChild>
    </w:div>
    <w:div w:id="788086953">
      <w:bodyDiv w:val="1"/>
      <w:marLeft w:val="0"/>
      <w:marRight w:val="0"/>
      <w:marTop w:val="0"/>
      <w:marBottom w:val="0"/>
      <w:divBdr>
        <w:top w:val="none" w:sz="0" w:space="0" w:color="auto"/>
        <w:left w:val="none" w:sz="0" w:space="0" w:color="auto"/>
        <w:bottom w:val="none" w:sz="0" w:space="0" w:color="auto"/>
        <w:right w:val="none" w:sz="0" w:space="0" w:color="auto"/>
      </w:divBdr>
      <w:divsChild>
        <w:div w:id="101656614">
          <w:marLeft w:val="0"/>
          <w:marRight w:val="0"/>
          <w:marTop w:val="0"/>
          <w:marBottom w:val="0"/>
          <w:divBdr>
            <w:top w:val="none" w:sz="0" w:space="0" w:color="auto"/>
            <w:left w:val="none" w:sz="0" w:space="0" w:color="auto"/>
            <w:bottom w:val="none" w:sz="0" w:space="0" w:color="auto"/>
            <w:right w:val="none" w:sz="0" w:space="0" w:color="auto"/>
          </w:divBdr>
        </w:div>
        <w:div w:id="116486335">
          <w:marLeft w:val="0"/>
          <w:marRight w:val="0"/>
          <w:marTop w:val="0"/>
          <w:marBottom w:val="0"/>
          <w:divBdr>
            <w:top w:val="none" w:sz="0" w:space="0" w:color="auto"/>
            <w:left w:val="none" w:sz="0" w:space="0" w:color="auto"/>
            <w:bottom w:val="none" w:sz="0" w:space="0" w:color="auto"/>
            <w:right w:val="none" w:sz="0" w:space="0" w:color="auto"/>
          </w:divBdr>
        </w:div>
        <w:div w:id="172116568">
          <w:marLeft w:val="0"/>
          <w:marRight w:val="0"/>
          <w:marTop w:val="0"/>
          <w:marBottom w:val="0"/>
          <w:divBdr>
            <w:top w:val="none" w:sz="0" w:space="0" w:color="auto"/>
            <w:left w:val="none" w:sz="0" w:space="0" w:color="auto"/>
            <w:bottom w:val="none" w:sz="0" w:space="0" w:color="auto"/>
            <w:right w:val="none" w:sz="0" w:space="0" w:color="auto"/>
          </w:divBdr>
        </w:div>
        <w:div w:id="207305018">
          <w:marLeft w:val="0"/>
          <w:marRight w:val="0"/>
          <w:marTop w:val="0"/>
          <w:marBottom w:val="0"/>
          <w:divBdr>
            <w:top w:val="none" w:sz="0" w:space="0" w:color="auto"/>
            <w:left w:val="none" w:sz="0" w:space="0" w:color="auto"/>
            <w:bottom w:val="none" w:sz="0" w:space="0" w:color="auto"/>
            <w:right w:val="none" w:sz="0" w:space="0" w:color="auto"/>
          </w:divBdr>
        </w:div>
        <w:div w:id="231308270">
          <w:marLeft w:val="0"/>
          <w:marRight w:val="0"/>
          <w:marTop w:val="0"/>
          <w:marBottom w:val="0"/>
          <w:divBdr>
            <w:top w:val="none" w:sz="0" w:space="0" w:color="auto"/>
            <w:left w:val="none" w:sz="0" w:space="0" w:color="auto"/>
            <w:bottom w:val="none" w:sz="0" w:space="0" w:color="auto"/>
            <w:right w:val="none" w:sz="0" w:space="0" w:color="auto"/>
          </w:divBdr>
        </w:div>
        <w:div w:id="248736204">
          <w:marLeft w:val="0"/>
          <w:marRight w:val="0"/>
          <w:marTop w:val="0"/>
          <w:marBottom w:val="0"/>
          <w:divBdr>
            <w:top w:val="none" w:sz="0" w:space="0" w:color="auto"/>
            <w:left w:val="none" w:sz="0" w:space="0" w:color="auto"/>
            <w:bottom w:val="none" w:sz="0" w:space="0" w:color="auto"/>
            <w:right w:val="none" w:sz="0" w:space="0" w:color="auto"/>
          </w:divBdr>
        </w:div>
        <w:div w:id="503210007">
          <w:marLeft w:val="0"/>
          <w:marRight w:val="0"/>
          <w:marTop w:val="0"/>
          <w:marBottom w:val="0"/>
          <w:divBdr>
            <w:top w:val="none" w:sz="0" w:space="0" w:color="auto"/>
            <w:left w:val="none" w:sz="0" w:space="0" w:color="auto"/>
            <w:bottom w:val="none" w:sz="0" w:space="0" w:color="auto"/>
            <w:right w:val="none" w:sz="0" w:space="0" w:color="auto"/>
          </w:divBdr>
        </w:div>
        <w:div w:id="603225171">
          <w:marLeft w:val="0"/>
          <w:marRight w:val="0"/>
          <w:marTop w:val="0"/>
          <w:marBottom w:val="0"/>
          <w:divBdr>
            <w:top w:val="none" w:sz="0" w:space="0" w:color="auto"/>
            <w:left w:val="none" w:sz="0" w:space="0" w:color="auto"/>
            <w:bottom w:val="none" w:sz="0" w:space="0" w:color="auto"/>
            <w:right w:val="none" w:sz="0" w:space="0" w:color="auto"/>
          </w:divBdr>
        </w:div>
        <w:div w:id="637029164">
          <w:marLeft w:val="0"/>
          <w:marRight w:val="0"/>
          <w:marTop w:val="0"/>
          <w:marBottom w:val="0"/>
          <w:divBdr>
            <w:top w:val="none" w:sz="0" w:space="0" w:color="auto"/>
            <w:left w:val="none" w:sz="0" w:space="0" w:color="auto"/>
            <w:bottom w:val="none" w:sz="0" w:space="0" w:color="auto"/>
            <w:right w:val="none" w:sz="0" w:space="0" w:color="auto"/>
          </w:divBdr>
        </w:div>
        <w:div w:id="895121453">
          <w:marLeft w:val="0"/>
          <w:marRight w:val="0"/>
          <w:marTop w:val="0"/>
          <w:marBottom w:val="0"/>
          <w:divBdr>
            <w:top w:val="none" w:sz="0" w:space="0" w:color="auto"/>
            <w:left w:val="none" w:sz="0" w:space="0" w:color="auto"/>
            <w:bottom w:val="none" w:sz="0" w:space="0" w:color="auto"/>
            <w:right w:val="none" w:sz="0" w:space="0" w:color="auto"/>
          </w:divBdr>
        </w:div>
        <w:div w:id="1093084136">
          <w:marLeft w:val="0"/>
          <w:marRight w:val="0"/>
          <w:marTop w:val="0"/>
          <w:marBottom w:val="0"/>
          <w:divBdr>
            <w:top w:val="none" w:sz="0" w:space="0" w:color="auto"/>
            <w:left w:val="none" w:sz="0" w:space="0" w:color="auto"/>
            <w:bottom w:val="none" w:sz="0" w:space="0" w:color="auto"/>
            <w:right w:val="none" w:sz="0" w:space="0" w:color="auto"/>
          </w:divBdr>
        </w:div>
        <w:div w:id="1118111076">
          <w:marLeft w:val="0"/>
          <w:marRight w:val="0"/>
          <w:marTop w:val="0"/>
          <w:marBottom w:val="0"/>
          <w:divBdr>
            <w:top w:val="none" w:sz="0" w:space="0" w:color="auto"/>
            <w:left w:val="none" w:sz="0" w:space="0" w:color="auto"/>
            <w:bottom w:val="none" w:sz="0" w:space="0" w:color="auto"/>
            <w:right w:val="none" w:sz="0" w:space="0" w:color="auto"/>
          </w:divBdr>
        </w:div>
        <w:div w:id="1344741856">
          <w:marLeft w:val="0"/>
          <w:marRight w:val="0"/>
          <w:marTop w:val="0"/>
          <w:marBottom w:val="0"/>
          <w:divBdr>
            <w:top w:val="none" w:sz="0" w:space="0" w:color="auto"/>
            <w:left w:val="none" w:sz="0" w:space="0" w:color="auto"/>
            <w:bottom w:val="none" w:sz="0" w:space="0" w:color="auto"/>
            <w:right w:val="none" w:sz="0" w:space="0" w:color="auto"/>
          </w:divBdr>
        </w:div>
        <w:div w:id="1352533835">
          <w:marLeft w:val="0"/>
          <w:marRight w:val="0"/>
          <w:marTop w:val="0"/>
          <w:marBottom w:val="0"/>
          <w:divBdr>
            <w:top w:val="none" w:sz="0" w:space="0" w:color="auto"/>
            <w:left w:val="none" w:sz="0" w:space="0" w:color="auto"/>
            <w:bottom w:val="none" w:sz="0" w:space="0" w:color="auto"/>
            <w:right w:val="none" w:sz="0" w:space="0" w:color="auto"/>
          </w:divBdr>
        </w:div>
        <w:div w:id="1377466428">
          <w:marLeft w:val="0"/>
          <w:marRight w:val="0"/>
          <w:marTop w:val="0"/>
          <w:marBottom w:val="0"/>
          <w:divBdr>
            <w:top w:val="none" w:sz="0" w:space="0" w:color="auto"/>
            <w:left w:val="none" w:sz="0" w:space="0" w:color="auto"/>
            <w:bottom w:val="none" w:sz="0" w:space="0" w:color="auto"/>
            <w:right w:val="none" w:sz="0" w:space="0" w:color="auto"/>
          </w:divBdr>
        </w:div>
        <w:div w:id="1386752896">
          <w:marLeft w:val="0"/>
          <w:marRight w:val="0"/>
          <w:marTop w:val="0"/>
          <w:marBottom w:val="0"/>
          <w:divBdr>
            <w:top w:val="none" w:sz="0" w:space="0" w:color="auto"/>
            <w:left w:val="none" w:sz="0" w:space="0" w:color="auto"/>
            <w:bottom w:val="none" w:sz="0" w:space="0" w:color="auto"/>
            <w:right w:val="none" w:sz="0" w:space="0" w:color="auto"/>
          </w:divBdr>
        </w:div>
        <w:div w:id="1660645729">
          <w:marLeft w:val="0"/>
          <w:marRight w:val="0"/>
          <w:marTop w:val="0"/>
          <w:marBottom w:val="0"/>
          <w:divBdr>
            <w:top w:val="none" w:sz="0" w:space="0" w:color="auto"/>
            <w:left w:val="none" w:sz="0" w:space="0" w:color="auto"/>
            <w:bottom w:val="none" w:sz="0" w:space="0" w:color="auto"/>
            <w:right w:val="none" w:sz="0" w:space="0" w:color="auto"/>
          </w:divBdr>
        </w:div>
        <w:div w:id="1662150952">
          <w:marLeft w:val="0"/>
          <w:marRight w:val="0"/>
          <w:marTop w:val="0"/>
          <w:marBottom w:val="0"/>
          <w:divBdr>
            <w:top w:val="none" w:sz="0" w:space="0" w:color="auto"/>
            <w:left w:val="none" w:sz="0" w:space="0" w:color="auto"/>
            <w:bottom w:val="none" w:sz="0" w:space="0" w:color="auto"/>
            <w:right w:val="none" w:sz="0" w:space="0" w:color="auto"/>
          </w:divBdr>
        </w:div>
        <w:div w:id="1728801813">
          <w:marLeft w:val="0"/>
          <w:marRight w:val="0"/>
          <w:marTop w:val="0"/>
          <w:marBottom w:val="0"/>
          <w:divBdr>
            <w:top w:val="none" w:sz="0" w:space="0" w:color="auto"/>
            <w:left w:val="none" w:sz="0" w:space="0" w:color="auto"/>
            <w:bottom w:val="none" w:sz="0" w:space="0" w:color="auto"/>
            <w:right w:val="none" w:sz="0" w:space="0" w:color="auto"/>
          </w:divBdr>
        </w:div>
        <w:div w:id="2029872828">
          <w:marLeft w:val="0"/>
          <w:marRight w:val="0"/>
          <w:marTop w:val="0"/>
          <w:marBottom w:val="0"/>
          <w:divBdr>
            <w:top w:val="none" w:sz="0" w:space="0" w:color="auto"/>
            <w:left w:val="none" w:sz="0" w:space="0" w:color="auto"/>
            <w:bottom w:val="none" w:sz="0" w:space="0" w:color="auto"/>
            <w:right w:val="none" w:sz="0" w:space="0" w:color="auto"/>
          </w:divBdr>
        </w:div>
        <w:div w:id="2080905910">
          <w:marLeft w:val="0"/>
          <w:marRight w:val="0"/>
          <w:marTop w:val="0"/>
          <w:marBottom w:val="0"/>
          <w:divBdr>
            <w:top w:val="none" w:sz="0" w:space="0" w:color="auto"/>
            <w:left w:val="none" w:sz="0" w:space="0" w:color="auto"/>
            <w:bottom w:val="none" w:sz="0" w:space="0" w:color="auto"/>
            <w:right w:val="none" w:sz="0" w:space="0" w:color="auto"/>
          </w:divBdr>
        </w:div>
        <w:div w:id="2081363837">
          <w:marLeft w:val="0"/>
          <w:marRight w:val="0"/>
          <w:marTop w:val="0"/>
          <w:marBottom w:val="0"/>
          <w:divBdr>
            <w:top w:val="none" w:sz="0" w:space="0" w:color="auto"/>
            <w:left w:val="none" w:sz="0" w:space="0" w:color="auto"/>
            <w:bottom w:val="none" w:sz="0" w:space="0" w:color="auto"/>
            <w:right w:val="none" w:sz="0" w:space="0" w:color="auto"/>
          </w:divBdr>
        </w:div>
      </w:divsChild>
    </w:div>
    <w:div w:id="788402940">
      <w:bodyDiv w:val="1"/>
      <w:marLeft w:val="0"/>
      <w:marRight w:val="0"/>
      <w:marTop w:val="0"/>
      <w:marBottom w:val="0"/>
      <w:divBdr>
        <w:top w:val="none" w:sz="0" w:space="0" w:color="auto"/>
        <w:left w:val="none" w:sz="0" w:space="0" w:color="auto"/>
        <w:bottom w:val="none" w:sz="0" w:space="0" w:color="auto"/>
        <w:right w:val="none" w:sz="0" w:space="0" w:color="auto"/>
      </w:divBdr>
    </w:div>
    <w:div w:id="796491050">
      <w:bodyDiv w:val="1"/>
      <w:marLeft w:val="0"/>
      <w:marRight w:val="0"/>
      <w:marTop w:val="0"/>
      <w:marBottom w:val="0"/>
      <w:divBdr>
        <w:top w:val="none" w:sz="0" w:space="0" w:color="auto"/>
        <w:left w:val="none" w:sz="0" w:space="0" w:color="auto"/>
        <w:bottom w:val="none" w:sz="0" w:space="0" w:color="auto"/>
        <w:right w:val="none" w:sz="0" w:space="0" w:color="auto"/>
      </w:divBdr>
      <w:divsChild>
        <w:div w:id="145246131">
          <w:marLeft w:val="0"/>
          <w:marRight w:val="0"/>
          <w:marTop w:val="0"/>
          <w:marBottom w:val="0"/>
          <w:divBdr>
            <w:top w:val="none" w:sz="0" w:space="0" w:color="auto"/>
            <w:left w:val="none" w:sz="0" w:space="0" w:color="auto"/>
            <w:bottom w:val="none" w:sz="0" w:space="0" w:color="auto"/>
            <w:right w:val="none" w:sz="0" w:space="0" w:color="auto"/>
          </w:divBdr>
          <w:divsChild>
            <w:div w:id="1036349241">
              <w:marLeft w:val="0"/>
              <w:marRight w:val="0"/>
              <w:marTop w:val="0"/>
              <w:marBottom w:val="0"/>
              <w:divBdr>
                <w:top w:val="none" w:sz="0" w:space="0" w:color="auto"/>
                <w:left w:val="none" w:sz="0" w:space="0" w:color="auto"/>
                <w:bottom w:val="none" w:sz="0" w:space="0" w:color="auto"/>
                <w:right w:val="none" w:sz="0" w:space="0" w:color="auto"/>
              </w:divBdr>
              <w:divsChild>
                <w:div w:id="901328354">
                  <w:marLeft w:val="0"/>
                  <w:marRight w:val="0"/>
                  <w:marTop w:val="0"/>
                  <w:marBottom w:val="0"/>
                  <w:divBdr>
                    <w:top w:val="none" w:sz="0" w:space="0" w:color="auto"/>
                    <w:left w:val="none" w:sz="0" w:space="0" w:color="auto"/>
                    <w:bottom w:val="none" w:sz="0" w:space="0" w:color="auto"/>
                    <w:right w:val="none" w:sz="0" w:space="0" w:color="auto"/>
                  </w:divBdr>
                  <w:divsChild>
                    <w:div w:id="1721132040">
                      <w:marLeft w:val="0"/>
                      <w:marRight w:val="0"/>
                      <w:marTop w:val="0"/>
                      <w:marBottom w:val="0"/>
                      <w:divBdr>
                        <w:top w:val="none" w:sz="0" w:space="0" w:color="auto"/>
                        <w:left w:val="none" w:sz="0" w:space="0" w:color="auto"/>
                        <w:bottom w:val="none" w:sz="0" w:space="0" w:color="auto"/>
                        <w:right w:val="none" w:sz="0" w:space="0" w:color="auto"/>
                      </w:divBdr>
                      <w:divsChild>
                        <w:div w:id="1527255674">
                          <w:marLeft w:val="0"/>
                          <w:marRight w:val="0"/>
                          <w:marTop w:val="0"/>
                          <w:marBottom w:val="0"/>
                          <w:divBdr>
                            <w:top w:val="none" w:sz="0" w:space="0" w:color="auto"/>
                            <w:left w:val="none" w:sz="0" w:space="0" w:color="auto"/>
                            <w:bottom w:val="none" w:sz="0" w:space="0" w:color="auto"/>
                            <w:right w:val="none" w:sz="0" w:space="0" w:color="auto"/>
                          </w:divBdr>
                          <w:divsChild>
                            <w:div w:id="2631665">
                              <w:marLeft w:val="0"/>
                              <w:marRight w:val="0"/>
                              <w:marTop w:val="0"/>
                              <w:marBottom w:val="0"/>
                              <w:divBdr>
                                <w:top w:val="none" w:sz="0" w:space="0" w:color="auto"/>
                                <w:left w:val="none" w:sz="0" w:space="0" w:color="auto"/>
                                <w:bottom w:val="none" w:sz="0" w:space="0" w:color="auto"/>
                                <w:right w:val="none" w:sz="0" w:space="0" w:color="auto"/>
                              </w:divBdr>
                            </w:div>
                            <w:div w:id="901794684">
                              <w:marLeft w:val="0"/>
                              <w:marRight w:val="0"/>
                              <w:marTop w:val="0"/>
                              <w:marBottom w:val="0"/>
                              <w:divBdr>
                                <w:top w:val="none" w:sz="0" w:space="0" w:color="auto"/>
                                <w:left w:val="none" w:sz="0" w:space="0" w:color="auto"/>
                                <w:bottom w:val="none" w:sz="0" w:space="0" w:color="auto"/>
                                <w:right w:val="none" w:sz="0" w:space="0" w:color="auto"/>
                              </w:divBdr>
                            </w:div>
                            <w:div w:id="186097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0997127">
      <w:bodyDiv w:val="1"/>
      <w:marLeft w:val="0"/>
      <w:marRight w:val="0"/>
      <w:marTop w:val="0"/>
      <w:marBottom w:val="0"/>
      <w:divBdr>
        <w:top w:val="none" w:sz="0" w:space="0" w:color="auto"/>
        <w:left w:val="none" w:sz="0" w:space="0" w:color="auto"/>
        <w:bottom w:val="none" w:sz="0" w:space="0" w:color="auto"/>
        <w:right w:val="none" w:sz="0" w:space="0" w:color="auto"/>
      </w:divBdr>
    </w:div>
    <w:div w:id="805660246">
      <w:bodyDiv w:val="1"/>
      <w:marLeft w:val="0"/>
      <w:marRight w:val="0"/>
      <w:marTop w:val="0"/>
      <w:marBottom w:val="0"/>
      <w:divBdr>
        <w:top w:val="none" w:sz="0" w:space="0" w:color="auto"/>
        <w:left w:val="none" w:sz="0" w:space="0" w:color="auto"/>
        <w:bottom w:val="none" w:sz="0" w:space="0" w:color="auto"/>
        <w:right w:val="none" w:sz="0" w:space="0" w:color="auto"/>
      </w:divBdr>
    </w:div>
    <w:div w:id="811019635">
      <w:bodyDiv w:val="1"/>
      <w:marLeft w:val="0"/>
      <w:marRight w:val="0"/>
      <w:marTop w:val="0"/>
      <w:marBottom w:val="0"/>
      <w:divBdr>
        <w:top w:val="none" w:sz="0" w:space="0" w:color="auto"/>
        <w:left w:val="none" w:sz="0" w:space="0" w:color="auto"/>
        <w:bottom w:val="none" w:sz="0" w:space="0" w:color="auto"/>
        <w:right w:val="none" w:sz="0" w:space="0" w:color="auto"/>
      </w:divBdr>
    </w:div>
    <w:div w:id="825514797">
      <w:bodyDiv w:val="1"/>
      <w:marLeft w:val="0"/>
      <w:marRight w:val="0"/>
      <w:marTop w:val="0"/>
      <w:marBottom w:val="0"/>
      <w:divBdr>
        <w:top w:val="none" w:sz="0" w:space="0" w:color="auto"/>
        <w:left w:val="none" w:sz="0" w:space="0" w:color="auto"/>
        <w:bottom w:val="none" w:sz="0" w:space="0" w:color="auto"/>
        <w:right w:val="none" w:sz="0" w:space="0" w:color="auto"/>
      </w:divBdr>
      <w:divsChild>
        <w:div w:id="38553734">
          <w:marLeft w:val="0"/>
          <w:marRight w:val="0"/>
          <w:marTop w:val="0"/>
          <w:marBottom w:val="0"/>
          <w:divBdr>
            <w:top w:val="none" w:sz="0" w:space="0" w:color="auto"/>
            <w:left w:val="none" w:sz="0" w:space="0" w:color="auto"/>
            <w:bottom w:val="none" w:sz="0" w:space="0" w:color="auto"/>
            <w:right w:val="none" w:sz="0" w:space="0" w:color="auto"/>
          </w:divBdr>
        </w:div>
        <w:div w:id="43483075">
          <w:marLeft w:val="0"/>
          <w:marRight w:val="0"/>
          <w:marTop w:val="0"/>
          <w:marBottom w:val="0"/>
          <w:divBdr>
            <w:top w:val="none" w:sz="0" w:space="0" w:color="auto"/>
            <w:left w:val="none" w:sz="0" w:space="0" w:color="auto"/>
            <w:bottom w:val="none" w:sz="0" w:space="0" w:color="auto"/>
            <w:right w:val="none" w:sz="0" w:space="0" w:color="auto"/>
          </w:divBdr>
        </w:div>
        <w:div w:id="272709071">
          <w:marLeft w:val="0"/>
          <w:marRight w:val="0"/>
          <w:marTop w:val="0"/>
          <w:marBottom w:val="0"/>
          <w:divBdr>
            <w:top w:val="none" w:sz="0" w:space="0" w:color="auto"/>
            <w:left w:val="none" w:sz="0" w:space="0" w:color="auto"/>
            <w:bottom w:val="none" w:sz="0" w:space="0" w:color="auto"/>
            <w:right w:val="none" w:sz="0" w:space="0" w:color="auto"/>
          </w:divBdr>
        </w:div>
        <w:div w:id="352652481">
          <w:marLeft w:val="0"/>
          <w:marRight w:val="0"/>
          <w:marTop w:val="0"/>
          <w:marBottom w:val="0"/>
          <w:divBdr>
            <w:top w:val="none" w:sz="0" w:space="0" w:color="auto"/>
            <w:left w:val="none" w:sz="0" w:space="0" w:color="auto"/>
            <w:bottom w:val="none" w:sz="0" w:space="0" w:color="auto"/>
            <w:right w:val="none" w:sz="0" w:space="0" w:color="auto"/>
          </w:divBdr>
        </w:div>
        <w:div w:id="502163866">
          <w:marLeft w:val="0"/>
          <w:marRight w:val="0"/>
          <w:marTop w:val="0"/>
          <w:marBottom w:val="0"/>
          <w:divBdr>
            <w:top w:val="none" w:sz="0" w:space="0" w:color="auto"/>
            <w:left w:val="none" w:sz="0" w:space="0" w:color="auto"/>
            <w:bottom w:val="none" w:sz="0" w:space="0" w:color="auto"/>
            <w:right w:val="none" w:sz="0" w:space="0" w:color="auto"/>
          </w:divBdr>
        </w:div>
        <w:div w:id="722875529">
          <w:marLeft w:val="0"/>
          <w:marRight w:val="0"/>
          <w:marTop w:val="0"/>
          <w:marBottom w:val="0"/>
          <w:divBdr>
            <w:top w:val="none" w:sz="0" w:space="0" w:color="auto"/>
            <w:left w:val="none" w:sz="0" w:space="0" w:color="auto"/>
            <w:bottom w:val="none" w:sz="0" w:space="0" w:color="auto"/>
            <w:right w:val="none" w:sz="0" w:space="0" w:color="auto"/>
          </w:divBdr>
        </w:div>
        <w:div w:id="1206330148">
          <w:marLeft w:val="0"/>
          <w:marRight w:val="0"/>
          <w:marTop w:val="0"/>
          <w:marBottom w:val="0"/>
          <w:divBdr>
            <w:top w:val="none" w:sz="0" w:space="0" w:color="auto"/>
            <w:left w:val="none" w:sz="0" w:space="0" w:color="auto"/>
            <w:bottom w:val="none" w:sz="0" w:space="0" w:color="auto"/>
            <w:right w:val="none" w:sz="0" w:space="0" w:color="auto"/>
          </w:divBdr>
        </w:div>
        <w:div w:id="1283923017">
          <w:marLeft w:val="0"/>
          <w:marRight w:val="0"/>
          <w:marTop w:val="0"/>
          <w:marBottom w:val="0"/>
          <w:divBdr>
            <w:top w:val="none" w:sz="0" w:space="0" w:color="auto"/>
            <w:left w:val="none" w:sz="0" w:space="0" w:color="auto"/>
            <w:bottom w:val="none" w:sz="0" w:space="0" w:color="auto"/>
            <w:right w:val="none" w:sz="0" w:space="0" w:color="auto"/>
          </w:divBdr>
        </w:div>
        <w:div w:id="1351253472">
          <w:marLeft w:val="0"/>
          <w:marRight w:val="0"/>
          <w:marTop w:val="0"/>
          <w:marBottom w:val="0"/>
          <w:divBdr>
            <w:top w:val="none" w:sz="0" w:space="0" w:color="auto"/>
            <w:left w:val="none" w:sz="0" w:space="0" w:color="auto"/>
            <w:bottom w:val="none" w:sz="0" w:space="0" w:color="auto"/>
            <w:right w:val="none" w:sz="0" w:space="0" w:color="auto"/>
          </w:divBdr>
        </w:div>
        <w:div w:id="1399133928">
          <w:marLeft w:val="0"/>
          <w:marRight w:val="0"/>
          <w:marTop w:val="0"/>
          <w:marBottom w:val="0"/>
          <w:divBdr>
            <w:top w:val="none" w:sz="0" w:space="0" w:color="auto"/>
            <w:left w:val="none" w:sz="0" w:space="0" w:color="auto"/>
            <w:bottom w:val="none" w:sz="0" w:space="0" w:color="auto"/>
            <w:right w:val="none" w:sz="0" w:space="0" w:color="auto"/>
          </w:divBdr>
        </w:div>
        <w:div w:id="1418556282">
          <w:marLeft w:val="0"/>
          <w:marRight w:val="0"/>
          <w:marTop w:val="0"/>
          <w:marBottom w:val="0"/>
          <w:divBdr>
            <w:top w:val="none" w:sz="0" w:space="0" w:color="auto"/>
            <w:left w:val="none" w:sz="0" w:space="0" w:color="auto"/>
            <w:bottom w:val="none" w:sz="0" w:space="0" w:color="auto"/>
            <w:right w:val="none" w:sz="0" w:space="0" w:color="auto"/>
          </w:divBdr>
        </w:div>
        <w:div w:id="1587610218">
          <w:marLeft w:val="0"/>
          <w:marRight w:val="0"/>
          <w:marTop w:val="0"/>
          <w:marBottom w:val="0"/>
          <w:divBdr>
            <w:top w:val="none" w:sz="0" w:space="0" w:color="auto"/>
            <w:left w:val="none" w:sz="0" w:space="0" w:color="auto"/>
            <w:bottom w:val="none" w:sz="0" w:space="0" w:color="auto"/>
            <w:right w:val="none" w:sz="0" w:space="0" w:color="auto"/>
          </w:divBdr>
        </w:div>
        <w:div w:id="1649939820">
          <w:marLeft w:val="0"/>
          <w:marRight w:val="0"/>
          <w:marTop w:val="0"/>
          <w:marBottom w:val="0"/>
          <w:divBdr>
            <w:top w:val="none" w:sz="0" w:space="0" w:color="auto"/>
            <w:left w:val="none" w:sz="0" w:space="0" w:color="auto"/>
            <w:bottom w:val="none" w:sz="0" w:space="0" w:color="auto"/>
            <w:right w:val="none" w:sz="0" w:space="0" w:color="auto"/>
          </w:divBdr>
        </w:div>
        <w:div w:id="1885367599">
          <w:marLeft w:val="0"/>
          <w:marRight w:val="0"/>
          <w:marTop w:val="0"/>
          <w:marBottom w:val="0"/>
          <w:divBdr>
            <w:top w:val="none" w:sz="0" w:space="0" w:color="auto"/>
            <w:left w:val="none" w:sz="0" w:space="0" w:color="auto"/>
            <w:bottom w:val="none" w:sz="0" w:space="0" w:color="auto"/>
            <w:right w:val="none" w:sz="0" w:space="0" w:color="auto"/>
          </w:divBdr>
        </w:div>
        <w:div w:id="1892691331">
          <w:marLeft w:val="0"/>
          <w:marRight w:val="0"/>
          <w:marTop w:val="0"/>
          <w:marBottom w:val="0"/>
          <w:divBdr>
            <w:top w:val="none" w:sz="0" w:space="0" w:color="auto"/>
            <w:left w:val="none" w:sz="0" w:space="0" w:color="auto"/>
            <w:bottom w:val="none" w:sz="0" w:space="0" w:color="auto"/>
            <w:right w:val="none" w:sz="0" w:space="0" w:color="auto"/>
          </w:divBdr>
        </w:div>
      </w:divsChild>
    </w:div>
    <w:div w:id="829371617">
      <w:bodyDiv w:val="1"/>
      <w:marLeft w:val="0"/>
      <w:marRight w:val="0"/>
      <w:marTop w:val="0"/>
      <w:marBottom w:val="0"/>
      <w:divBdr>
        <w:top w:val="none" w:sz="0" w:space="0" w:color="auto"/>
        <w:left w:val="none" w:sz="0" w:space="0" w:color="auto"/>
        <w:bottom w:val="none" w:sz="0" w:space="0" w:color="auto"/>
        <w:right w:val="none" w:sz="0" w:space="0" w:color="auto"/>
      </w:divBdr>
      <w:divsChild>
        <w:div w:id="159128910">
          <w:marLeft w:val="0"/>
          <w:marRight w:val="0"/>
          <w:marTop w:val="0"/>
          <w:marBottom w:val="0"/>
          <w:divBdr>
            <w:top w:val="none" w:sz="0" w:space="0" w:color="auto"/>
            <w:left w:val="none" w:sz="0" w:space="0" w:color="auto"/>
            <w:bottom w:val="none" w:sz="0" w:space="0" w:color="auto"/>
            <w:right w:val="none" w:sz="0" w:space="0" w:color="auto"/>
          </w:divBdr>
        </w:div>
        <w:div w:id="388726061">
          <w:marLeft w:val="0"/>
          <w:marRight w:val="0"/>
          <w:marTop w:val="0"/>
          <w:marBottom w:val="0"/>
          <w:divBdr>
            <w:top w:val="none" w:sz="0" w:space="0" w:color="auto"/>
            <w:left w:val="none" w:sz="0" w:space="0" w:color="auto"/>
            <w:bottom w:val="none" w:sz="0" w:space="0" w:color="auto"/>
            <w:right w:val="none" w:sz="0" w:space="0" w:color="auto"/>
          </w:divBdr>
        </w:div>
        <w:div w:id="603655935">
          <w:marLeft w:val="0"/>
          <w:marRight w:val="0"/>
          <w:marTop w:val="0"/>
          <w:marBottom w:val="0"/>
          <w:divBdr>
            <w:top w:val="none" w:sz="0" w:space="0" w:color="auto"/>
            <w:left w:val="none" w:sz="0" w:space="0" w:color="auto"/>
            <w:bottom w:val="none" w:sz="0" w:space="0" w:color="auto"/>
            <w:right w:val="none" w:sz="0" w:space="0" w:color="auto"/>
          </w:divBdr>
        </w:div>
        <w:div w:id="675153401">
          <w:marLeft w:val="0"/>
          <w:marRight w:val="0"/>
          <w:marTop w:val="0"/>
          <w:marBottom w:val="0"/>
          <w:divBdr>
            <w:top w:val="none" w:sz="0" w:space="0" w:color="auto"/>
            <w:left w:val="none" w:sz="0" w:space="0" w:color="auto"/>
            <w:bottom w:val="none" w:sz="0" w:space="0" w:color="auto"/>
            <w:right w:val="none" w:sz="0" w:space="0" w:color="auto"/>
          </w:divBdr>
        </w:div>
        <w:div w:id="833572826">
          <w:marLeft w:val="0"/>
          <w:marRight w:val="0"/>
          <w:marTop w:val="0"/>
          <w:marBottom w:val="0"/>
          <w:divBdr>
            <w:top w:val="none" w:sz="0" w:space="0" w:color="auto"/>
            <w:left w:val="none" w:sz="0" w:space="0" w:color="auto"/>
            <w:bottom w:val="none" w:sz="0" w:space="0" w:color="auto"/>
            <w:right w:val="none" w:sz="0" w:space="0" w:color="auto"/>
          </w:divBdr>
        </w:div>
        <w:div w:id="860241859">
          <w:marLeft w:val="0"/>
          <w:marRight w:val="0"/>
          <w:marTop w:val="0"/>
          <w:marBottom w:val="0"/>
          <w:divBdr>
            <w:top w:val="none" w:sz="0" w:space="0" w:color="auto"/>
            <w:left w:val="none" w:sz="0" w:space="0" w:color="auto"/>
            <w:bottom w:val="none" w:sz="0" w:space="0" w:color="auto"/>
            <w:right w:val="none" w:sz="0" w:space="0" w:color="auto"/>
          </w:divBdr>
        </w:div>
        <w:div w:id="946304879">
          <w:marLeft w:val="0"/>
          <w:marRight w:val="0"/>
          <w:marTop w:val="0"/>
          <w:marBottom w:val="0"/>
          <w:divBdr>
            <w:top w:val="none" w:sz="0" w:space="0" w:color="auto"/>
            <w:left w:val="none" w:sz="0" w:space="0" w:color="auto"/>
            <w:bottom w:val="none" w:sz="0" w:space="0" w:color="auto"/>
            <w:right w:val="none" w:sz="0" w:space="0" w:color="auto"/>
          </w:divBdr>
        </w:div>
        <w:div w:id="1010597648">
          <w:marLeft w:val="0"/>
          <w:marRight w:val="0"/>
          <w:marTop w:val="0"/>
          <w:marBottom w:val="0"/>
          <w:divBdr>
            <w:top w:val="none" w:sz="0" w:space="0" w:color="auto"/>
            <w:left w:val="none" w:sz="0" w:space="0" w:color="auto"/>
            <w:bottom w:val="none" w:sz="0" w:space="0" w:color="auto"/>
            <w:right w:val="none" w:sz="0" w:space="0" w:color="auto"/>
          </w:divBdr>
        </w:div>
        <w:div w:id="1026567303">
          <w:marLeft w:val="0"/>
          <w:marRight w:val="0"/>
          <w:marTop w:val="0"/>
          <w:marBottom w:val="0"/>
          <w:divBdr>
            <w:top w:val="none" w:sz="0" w:space="0" w:color="auto"/>
            <w:left w:val="none" w:sz="0" w:space="0" w:color="auto"/>
            <w:bottom w:val="none" w:sz="0" w:space="0" w:color="auto"/>
            <w:right w:val="none" w:sz="0" w:space="0" w:color="auto"/>
          </w:divBdr>
        </w:div>
        <w:div w:id="1091975163">
          <w:marLeft w:val="0"/>
          <w:marRight w:val="0"/>
          <w:marTop w:val="0"/>
          <w:marBottom w:val="0"/>
          <w:divBdr>
            <w:top w:val="none" w:sz="0" w:space="0" w:color="auto"/>
            <w:left w:val="none" w:sz="0" w:space="0" w:color="auto"/>
            <w:bottom w:val="none" w:sz="0" w:space="0" w:color="auto"/>
            <w:right w:val="none" w:sz="0" w:space="0" w:color="auto"/>
          </w:divBdr>
        </w:div>
        <w:div w:id="1113482527">
          <w:marLeft w:val="0"/>
          <w:marRight w:val="0"/>
          <w:marTop w:val="0"/>
          <w:marBottom w:val="0"/>
          <w:divBdr>
            <w:top w:val="none" w:sz="0" w:space="0" w:color="auto"/>
            <w:left w:val="none" w:sz="0" w:space="0" w:color="auto"/>
            <w:bottom w:val="none" w:sz="0" w:space="0" w:color="auto"/>
            <w:right w:val="none" w:sz="0" w:space="0" w:color="auto"/>
          </w:divBdr>
        </w:div>
        <w:div w:id="1214004176">
          <w:marLeft w:val="0"/>
          <w:marRight w:val="0"/>
          <w:marTop w:val="0"/>
          <w:marBottom w:val="0"/>
          <w:divBdr>
            <w:top w:val="none" w:sz="0" w:space="0" w:color="auto"/>
            <w:left w:val="none" w:sz="0" w:space="0" w:color="auto"/>
            <w:bottom w:val="none" w:sz="0" w:space="0" w:color="auto"/>
            <w:right w:val="none" w:sz="0" w:space="0" w:color="auto"/>
          </w:divBdr>
        </w:div>
        <w:div w:id="1295793266">
          <w:marLeft w:val="0"/>
          <w:marRight w:val="0"/>
          <w:marTop w:val="0"/>
          <w:marBottom w:val="0"/>
          <w:divBdr>
            <w:top w:val="none" w:sz="0" w:space="0" w:color="auto"/>
            <w:left w:val="none" w:sz="0" w:space="0" w:color="auto"/>
            <w:bottom w:val="none" w:sz="0" w:space="0" w:color="auto"/>
            <w:right w:val="none" w:sz="0" w:space="0" w:color="auto"/>
          </w:divBdr>
        </w:div>
        <w:div w:id="1547793315">
          <w:marLeft w:val="0"/>
          <w:marRight w:val="0"/>
          <w:marTop w:val="0"/>
          <w:marBottom w:val="0"/>
          <w:divBdr>
            <w:top w:val="none" w:sz="0" w:space="0" w:color="auto"/>
            <w:left w:val="none" w:sz="0" w:space="0" w:color="auto"/>
            <w:bottom w:val="none" w:sz="0" w:space="0" w:color="auto"/>
            <w:right w:val="none" w:sz="0" w:space="0" w:color="auto"/>
          </w:divBdr>
        </w:div>
        <w:div w:id="1677927359">
          <w:marLeft w:val="0"/>
          <w:marRight w:val="0"/>
          <w:marTop w:val="0"/>
          <w:marBottom w:val="0"/>
          <w:divBdr>
            <w:top w:val="none" w:sz="0" w:space="0" w:color="auto"/>
            <w:left w:val="none" w:sz="0" w:space="0" w:color="auto"/>
            <w:bottom w:val="none" w:sz="0" w:space="0" w:color="auto"/>
            <w:right w:val="none" w:sz="0" w:space="0" w:color="auto"/>
          </w:divBdr>
        </w:div>
        <w:div w:id="1862669261">
          <w:marLeft w:val="0"/>
          <w:marRight w:val="0"/>
          <w:marTop w:val="0"/>
          <w:marBottom w:val="0"/>
          <w:divBdr>
            <w:top w:val="none" w:sz="0" w:space="0" w:color="auto"/>
            <w:left w:val="none" w:sz="0" w:space="0" w:color="auto"/>
            <w:bottom w:val="none" w:sz="0" w:space="0" w:color="auto"/>
            <w:right w:val="none" w:sz="0" w:space="0" w:color="auto"/>
          </w:divBdr>
        </w:div>
        <w:div w:id="1993827886">
          <w:marLeft w:val="0"/>
          <w:marRight w:val="0"/>
          <w:marTop w:val="0"/>
          <w:marBottom w:val="0"/>
          <w:divBdr>
            <w:top w:val="none" w:sz="0" w:space="0" w:color="auto"/>
            <w:left w:val="none" w:sz="0" w:space="0" w:color="auto"/>
            <w:bottom w:val="none" w:sz="0" w:space="0" w:color="auto"/>
            <w:right w:val="none" w:sz="0" w:space="0" w:color="auto"/>
          </w:divBdr>
        </w:div>
      </w:divsChild>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830948581">
      <w:bodyDiv w:val="1"/>
      <w:marLeft w:val="0"/>
      <w:marRight w:val="0"/>
      <w:marTop w:val="0"/>
      <w:marBottom w:val="0"/>
      <w:divBdr>
        <w:top w:val="none" w:sz="0" w:space="0" w:color="auto"/>
        <w:left w:val="none" w:sz="0" w:space="0" w:color="auto"/>
        <w:bottom w:val="none" w:sz="0" w:space="0" w:color="auto"/>
        <w:right w:val="none" w:sz="0" w:space="0" w:color="auto"/>
      </w:divBdr>
    </w:div>
    <w:div w:id="840657135">
      <w:bodyDiv w:val="1"/>
      <w:marLeft w:val="0"/>
      <w:marRight w:val="0"/>
      <w:marTop w:val="0"/>
      <w:marBottom w:val="0"/>
      <w:divBdr>
        <w:top w:val="none" w:sz="0" w:space="0" w:color="auto"/>
        <w:left w:val="none" w:sz="0" w:space="0" w:color="auto"/>
        <w:bottom w:val="none" w:sz="0" w:space="0" w:color="auto"/>
        <w:right w:val="none" w:sz="0" w:space="0" w:color="auto"/>
      </w:divBdr>
    </w:div>
    <w:div w:id="841043027">
      <w:bodyDiv w:val="1"/>
      <w:marLeft w:val="0"/>
      <w:marRight w:val="0"/>
      <w:marTop w:val="0"/>
      <w:marBottom w:val="0"/>
      <w:divBdr>
        <w:top w:val="none" w:sz="0" w:space="0" w:color="auto"/>
        <w:left w:val="none" w:sz="0" w:space="0" w:color="auto"/>
        <w:bottom w:val="none" w:sz="0" w:space="0" w:color="auto"/>
        <w:right w:val="none" w:sz="0" w:space="0" w:color="auto"/>
      </w:divBdr>
      <w:divsChild>
        <w:div w:id="319424905">
          <w:marLeft w:val="0"/>
          <w:marRight w:val="0"/>
          <w:marTop w:val="0"/>
          <w:marBottom w:val="0"/>
          <w:divBdr>
            <w:top w:val="none" w:sz="0" w:space="0" w:color="auto"/>
            <w:left w:val="none" w:sz="0" w:space="0" w:color="auto"/>
            <w:bottom w:val="none" w:sz="0" w:space="0" w:color="auto"/>
            <w:right w:val="none" w:sz="0" w:space="0" w:color="auto"/>
          </w:divBdr>
        </w:div>
        <w:div w:id="544485427">
          <w:marLeft w:val="0"/>
          <w:marRight w:val="0"/>
          <w:marTop w:val="0"/>
          <w:marBottom w:val="0"/>
          <w:divBdr>
            <w:top w:val="none" w:sz="0" w:space="0" w:color="auto"/>
            <w:left w:val="none" w:sz="0" w:space="0" w:color="auto"/>
            <w:bottom w:val="none" w:sz="0" w:space="0" w:color="auto"/>
            <w:right w:val="none" w:sz="0" w:space="0" w:color="auto"/>
          </w:divBdr>
        </w:div>
        <w:div w:id="693653077">
          <w:marLeft w:val="0"/>
          <w:marRight w:val="0"/>
          <w:marTop w:val="0"/>
          <w:marBottom w:val="0"/>
          <w:divBdr>
            <w:top w:val="none" w:sz="0" w:space="0" w:color="auto"/>
            <w:left w:val="none" w:sz="0" w:space="0" w:color="auto"/>
            <w:bottom w:val="none" w:sz="0" w:space="0" w:color="auto"/>
            <w:right w:val="none" w:sz="0" w:space="0" w:color="auto"/>
          </w:divBdr>
        </w:div>
        <w:div w:id="1012991316">
          <w:marLeft w:val="0"/>
          <w:marRight w:val="0"/>
          <w:marTop w:val="0"/>
          <w:marBottom w:val="0"/>
          <w:divBdr>
            <w:top w:val="none" w:sz="0" w:space="0" w:color="auto"/>
            <w:left w:val="none" w:sz="0" w:space="0" w:color="auto"/>
            <w:bottom w:val="none" w:sz="0" w:space="0" w:color="auto"/>
            <w:right w:val="none" w:sz="0" w:space="0" w:color="auto"/>
          </w:divBdr>
        </w:div>
        <w:div w:id="1227840182">
          <w:marLeft w:val="0"/>
          <w:marRight w:val="0"/>
          <w:marTop w:val="0"/>
          <w:marBottom w:val="0"/>
          <w:divBdr>
            <w:top w:val="none" w:sz="0" w:space="0" w:color="auto"/>
            <w:left w:val="none" w:sz="0" w:space="0" w:color="auto"/>
            <w:bottom w:val="none" w:sz="0" w:space="0" w:color="auto"/>
            <w:right w:val="none" w:sz="0" w:space="0" w:color="auto"/>
          </w:divBdr>
        </w:div>
        <w:div w:id="1248878313">
          <w:marLeft w:val="0"/>
          <w:marRight w:val="0"/>
          <w:marTop w:val="0"/>
          <w:marBottom w:val="0"/>
          <w:divBdr>
            <w:top w:val="none" w:sz="0" w:space="0" w:color="auto"/>
            <w:left w:val="none" w:sz="0" w:space="0" w:color="auto"/>
            <w:bottom w:val="none" w:sz="0" w:space="0" w:color="auto"/>
            <w:right w:val="none" w:sz="0" w:space="0" w:color="auto"/>
          </w:divBdr>
        </w:div>
        <w:div w:id="1910797693">
          <w:marLeft w:val="0"/>
          <w:marRight w:val="0"/>
          <w:marTop w:val="0"/>
          <w:marBottom w:val="0"/>
          <w:divBdr>
            <w:top w:val="none" w:sz="0" w:space="0" w:color="auto"/>
            <w:left w:val="none" w:sz="0" w:space="0" w:color="auto"/>
            <w:bottom w:val="none" w:sz="0" w:space="0" w:color="auto"/>
            <w:right w:val="none" w:sz="0" w:space="0" w:color="auto"/>
          </w:divBdr>
        </w:div>
        <w:div w:id="1920826627">
          <w:marLeft w:val="0"/>
          <w:marRight w:val="0"/>
          <w:marTop w:val="0"/>
          <w:marBottom w:val="0"/>
          <w:divBdr>
            <w:top w:val="none" w:sz="0" w:space="0" w:color="auto"/>
            <w:left w:val="none" w:sz="0" w:space="0" w:color="auto"/>
            <w:bottom w:val="none" w:sz="0" w:space="0" w:color="auto"/>
            <w:right w:val="none" w:sz="0" w:space="0" w:color="auto"/>
          </w:divBdr>
        </w:div>
      </w:divsChild>
    </w:div>
    <w:div w:id="845704095">
      <w:bodyDiv w:val="1"/>
      <w:marLeft w:val="0"/>
      <w:marRight w:val="0"/>
      <w:marTop w:val="0"/>
      <w:marBottom w:val="0"/>
      <w:divBdr>
        <w:top w:val="none" w:sz="0" w:space="0" w:color="auto"/>
        <w:left w:val="none" w:sz="0" w:space="0" w:color="auto"/>
        <w:bottom w:val="none" w:sz="0" w:space="0" w:color="auto"/>
        <w:right w:val="none" w:sz="0" w:space="0" w:color="auto"/>
      </w:divBdr>
    </w:div>
    <w:div w:id="846870929">
      <w:bodyDiv w:val="1"/>
      <w:marLeft w:val="0"/>
      <w:marRight w:val="0"/>
      <w:marTop w:val="0"/>
      <w:marBottom w:val="0"/>
      <w:divBdr>
        <w:top w:val="none" w:sz="0" w:space="0" w:color="auto"/>
        <w:left w:val="none" w:sz="0" w:space="0" w:color="auto"/>
        <w:bottom w:val="none" w:sz="0" w:space="0" w:color="auto"/>
        <w:right w:val="none" w:sz="0" w:space="0" w:color="auto"/>
      </w:divBdr>
    </w:div>
    <w:div w:id="850070689">
      <w:bodyDiv w:val="1"/>
      <w:marLeft w:val="0"/>
      <w:marRight w:val="0"/>
      <w:marTop w:val="0"/>
      <w:marBottom w:val="0"/>
      <w:divBdr>
        <w:top w:val="none" w:sz="0" w:space="0" w:color="auto"/>
        <w:left w:val="none" w:sz="0" w:space="0" w:color="auto"/>
        <w:bottom w:val="none" w:sz="0" w:space="0" w:color="auto"/>
        <w:right w:val="none" w:sz="0" w:space="0" w:color="auto"/>
      </w:divBdr>
      <w:divsChild>
        <w:div w:id="1380401755">
          <w:marLeft w:val="0"/>
          <w:marRight w:val="0"/>
          <w:marTop w:val="0"/>
          <w:marBottom w:val="0"/>
          <w:divBdr>
            <w:top w:val="none" w:sz="0" w:space="0" w:color="auto"/>
            <w:left w:val="none" w:sz="0" w:space="0" w:color="auto"/>
            <w:bottom w:val="none" w:sz="0" w:space="0" w:color="auto"/>
            <w:right w:val="none" w:sz="0" w:space="0" w:color="auto"/>
          </w:divBdr>
          <w:divsChild>
            <w:div w:id="543714173">
              <w:marLeft w:val="0"/>
              <w:marRight w:val="0"/>
              <w:marTop w:val="0"/>
              <w:marBottom w:val="0"/>
              <w:divBdr>
                <w:top w:val="none" w:sz="0" w:space="0" w:color="auto"/>
                <w:left w:val="none" w:sz="0" w:space="0" w:color="auto"/>
                <w:bottom w:val="none" w:sz="0" w:space="0" w:color="auto"/>
                <w:right w:val="none" w:sz="0" w:space="0" w:color="auto"/>
              </w:divBdr>
              <w:divsChild>
                <w:div w:id="724721324">
                  <w:marLeft w:val="0"/>
                  <w:marRight w:val="0"/>
                  <w:marTop w:val="0"/>
                  <w:marBottom w:val="0"/>
                  <w:divBdr>
                    <w:top w:val="none" w:sz="0" w:space="0" w:color="auto"/>
                    <w:left w:val="none" w:sz="0" w:space="0" w:color="auto"/>
                    <w:bottom w:val="none" w:sz="0" w:space="0" w:color="auto"/>
                    <w:right w:val="none" w:sz="0" w:space="0" w:color="auto"/>
                  </w:divBdr>
                  <w:divsChild>
                    <w:div w:id="1976640188">
                      <w:marLeft w:val="0"/>
                      <w:marRight w:val="0"/>
                      <w:marTop w:val="0"/>
                      <w:marBottom w:val="0"/>
                      <w:divBdr>
                        <w:top w:val="none" w:sz="0" w:space="0" w:color="auto"/>
                        <w:left w:val="none" w:sz="0" w:space="0" w:color="auto"/>
                        <w:bottom w:val="none" w:sz="0" w:space="0" w:color="auto"/>
                        <w:right w:val="none" w:sz="0" w:space="0" w:color="auto"/>
                      </w:divBdr>
                      <w:divsChild>
                        <w:div w:id="2109689704">
                          <w:marLeft w:val="0"/>
                          <w:marRight w:val="0"/>
                          <w:marTop w:val="0"/>
                          <w:marBottom w:val="0"/>
                          <w:divBdr>
                            <w:top w:val="none" w:sz="0" w:space="0" w:color="auto"/>
                            <w:left w:val="none" w:sz="0" w:space="0" w:color="auto"/>
                            <w:bottom w:val="none" w:sz="0" w:space="0" w:color="auto"/>
                            <w:right w:val="none" w:sz="0" w:space="0" w:color="auto"/>
                          </w:divBdr>
                          <w:divsChild>
                            <w:div w:id="515733809">
                              <w:marLeft w:val="0"/>
                              <w:marRight w:val="0"/>
                              <w:marTop w:val="0"/>
                              <w:marBottom w:val="0"/>
                              <w:divBdr>
                                <w:top w:val="none" w:sz="0" w:space="0" w:color="auto"/>
                                <w:left w:val="none" w:sz="0" w:space="0" w:color="auto"/>
                                <w:bottom w:val="none" w:sz="0" w:space="0" w:color="auto"/>
                                <w:right w:val="none" w:sz="0" w:space="0" w:color="auto"/>
                              </w:divBdr>
                            </w:div>
                            <w:div w:id="187591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145793">
      <w:bodyDiv w:val="1"/>
      <w:marLeft w:val="0"/>
      <w:marRight w:val="0"/>
      <w:marTop w:val="0"/>
      <w:marBottom w:val="0"/>
      <w:divBdr>
        <w:top w:val="none" w:sz="0" w:space="0" w:color="auto"/>
        <w:left w:val="none" w:sz="0" w:space="0" w:color="auto"/>
        <w:bottom w:val="none" w:sz="0" w:space="0" w:color="auto"/>
        <w:right w:val="none" w:sz="0" w:space="0" w:color="auto"/>
      </w:divBdr>
    </w:div>
    <w:div w:id="851266369">
      <w:bodyDiv w:val="1"/>
      <w:marLeft w:val="0"/>
      <w:marRight w:val="0"/>
      <w:marTop w:val="0"/>
      <w:marBottom w:val="0"/>
      <w:divBdr>
        <w:top w:val="none" w:sz="0" w:space="0" w:color="auto"/>
        <w:left w:val="none" w:sz="0" w:space="0" w:color="auto"/>
        <w:bottom w:val="none" w:sz="0" w:space="0" w:color="auto"/>
        <w:right w:val="none" w:sz="0" w:space="0" w:color="auto"/>
      </w:divBdr>
    </w:div>
    <w:div w:id="866673885">
      <w:bodyDiv w:val="1"/>
      <w:marLeft w:val="0"/>
      <w:marRight w:val="0"/>
      <w:marTop w:val="0"/>
      <w:marBottom w:val="0"/>
      <w:divBdr>
        <w:top w:val="none" w:sz="0" w:space="0" w:color="auto"/>
        <w:left w:val="none" w:sz="0" w:space="0" w:color="auto"/>
        <w:bottom w:val="none" w:sz="0" w:space="0" w:color="auto"/>
        <w:right w:val="none" w:sz="0" w:space="0" w:color="auto"/>
      </w:divBdr>
    </w:div>
    <w:div w:id="873731087">
      <w:bodyDiv w:val="1"/>
      <w:marLeft w:val="0"/>
      <w:marRight w:val="0"/>
      <w:marTop w:val="0"/>
      <w:marBottom w:val="0"/>
      <w:divBdr>
        <w:top w:val="none" w:sz="0" w:space="0" w:color="auto"/>
        <w:left w:val="none" w:sz="0" w:space="0" w:color="auto"/>
        <w:bottom w:val="none" w:sz="0" w:space="0" w:color="auto"/>
        <w:right w:val="none" w:sz="0" w:space="0" w:color="auto"/>
      </w:divBdr>
    </w:div>
    <w:div w:id="888608872">
      <w:bodyDiv w:val="1"/>
      <w:marLeft w:val="0"/>
      <w:marRight w:val="0"/>
      <w:marTop w:val="0"/>
      <w:marBottom w:val="0"/>
      <w:divBdr>
        <w:top w:val="none" w:sz="0" w:space="0" w:color="auto"/>
        <w:left w:val="none" w:sz="0" w:space="0" w:color="auto"/>
        <w:bottom w:val="none" w:sz="0" w:space="0" w:color="auto"/>
        <w:right w:val="none" w:sz="0" w:space="0" w:color="auto"/>
      </w:divBdr>
      <w:divsChild>
        <w:div w:id="1763330271">
          <w:marLeft w:val="0"/>
          <w:marRight w:val="0"/>
          <w:marTop w:val="0"/>
          <w:marBottom w:val="0"/>
          <w:divBdr>
            <w:top w:val="none" w:sz="0" w:space="0" w:color="auto"/>
            <w:left w:val="none" w:sz="0" w:space="0" w:color="auto"/>
            <w:bottom w:val="none" w:sz="0" w:space="0" w:color="auto"/>
            <w:right w:val="none" w:sz="0" w:space="0" w:color="auto"/>
          </w:divBdr>
          <w:divsChild>
            <w:div w:id="1491092074">
              <w:marLeft w:val="0"/>
              <w:marRight w:val="0"/>
              <w:marTop w:val="0"/>
              <w:marBottom w:val="0"/>
              <w:divBdr>
                <w:top w:val="none" w:sz="0" w:space="0" w:color="auto"/>
                <w:left w:val="none" w:sz="0" w:space="0" w:color="auto"/>
                <w:bottom w:val="none" w:sz="0" w:space="0" w:color="auto"/>
                <w:right w:val="none" w:sz="0" w:space="0" w:color="auto"/>
              </w:divBdr>
              <w:divsChild>
                <w:div w:id="563569483">
                  <w:marLeft w:val="0"/>
                  <w:marRight w:val="0"/>
                  <w:marTop w:val="0"/>
                  <w:marBottom w:val="0"/>
                  <w:divBdr>
                    <w:top w:val="none" w:sz="0" w:space="0" w:color="auto"/>
                    <w:left w:val="none" w:sz="0" w:space="0" w:color="auto"/>
                    <w:bottom w:val="none" w:sz="0" w:space="0" w:color="auto"/>
                    <w:right w:val="none" w:sz="0" w:space="0" w:color="auto"/>
                  </w:divBdr>
                  <w:divsChild>
                    <w:div w:id="1314600524">
                      <w:marLeft w:val="0"/>
                      <w:marRight w:val="0"/>
                      <w:marTop w:val="0"/>
                      <w:marBottom w:val="0"/>
                      <w:divBdr>
                        <w:top w:val="none" w:sz="0" w:space="0" w:color="auto"/>
                        <w:left w:val="none" w:sz="0" w:space="0" w:color="auto"/>
                        <w:bottom w:val="none" w:sz="0" w:space="0" w:color="auto"/>
                        <w:right w:val="none" w:sz="0" w:space="0" w:color="auto"/>
                      </w:divBdr>
                      <w:divsChild>
                        <w:div w:id="173081525">
                          <w:marLeft w:val="0"/>
                          <w:marRight w:val="0"/>
                          <w:marTop w:val="0"/>
                          <w:marBottom w:val="0"/>
                          <w:divBdr>
                            <w:top w:val="none" w:sz="0" w:space="0" w:color="auto"/>
                            <w:left w:val="none" w:sz="0" w:space="0" w:color="auto"/>
                            <w:bottom w:val="none" w:sz="0" w:space="0" w:color="auto"/>
                            <w:right w:val="none" w:sz="0" w:space="0" w:color="auto"/>
                          </w:divBdr>
                          <w:divsChild>
                            <w:div w:id="298537283">
                              <w:marLeft w:val="0"/>
                              <w:marRight w:val="0"/>
                              <w:marTop w:val="0"/>
                              <w:marBottom w:val="0"/>
                              <w:divBdr>
                                <w:top w:val="none" w:sz="0" w:space="0" w:color="auto"/>
                                <w:left w:val="none" w:sz="0" w:space="0" w:color="auto"/>
                                <w:bottom w:val="none" w:sz="0" w:space="0" w:color="auto"/>
                                <w:right w:val="none" w:sz="0" w:space="0" w:color="auto"/>
                              </w:divBdr>
                            </w:div>
                            <w:div w:id="141250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8960974">
      <w:bodyDiv w:val="1"/>
      <w:marLeft w:val="0"/>
      <w:marRight w:val="0"/>
      <w:marTop w:val="0"/>
      <w:marBottom w:val="0"/>
      <w:divBdr>
        <w:top w:val="none" w:sz="0" w:space="0" w:color="auto"/>
        <w:left w:val="none" w:sz="0" w:space="0" w:color="auto"/>
        <w:bottom w:val="none" w:sz="0" w:space="0" w:color="auto"/>
        <w:right w:val="none" w:sz="0" w:space="0" w:color="auto"/>
      </w:divBdr>
    </w:div>
    <w:div w:id="889532802">
      <w:bodyDiv w:val="1"/>
      <w:marLeft w:val="0"/>
      <w:marRight w:val="0"/>
      <w:marTop w:val="0"/>
      <w:marBottom w:val="0"/>
      <w:divBdr>
        <w:top w:val="none" w:sz="0" w:space="0" w:color="auto"/>
        <w:left w:val="none" w:sz="0" w:space="0" w:color="auto"/>
        <w:bottom w:val="none" w:sz="0" w:space="0" w:color="auto"/>
        <w:right w:val="none" w:sz="0" w:space="0" w:color="auto"/>
      </w:divBdr>
      <w:divsChild>
        <w:div w:id="1758093136">
          <w:marLeft w:val="0"/>
          <w:marRight w:val="0"/>
          <w:marTop w:val="0"/>
          <w:marBottom w:val="0"/>
          <w:divBdr>
            <w:top w:val="none" w:sz="0" w:space="0" w:color="auto"/>
            <w:left w:val="none" w:sz="0" w:space="0" w:color="auto"/>
            <w:bottom w:val="none" w:sz="0" w:space="0" w:color="auto"/>
            <w:right w:val="none" w:sz="0" w:space="0" w:color="auto"/>
          </w:divBdr>
          <w:divsChild>
            <w:div w:id="1962150792">
              <w:marLeft w:val="0"/>
              <w:marRight w:val="0"/>
              <w:marTop w:val="0"/>
              <w:marBottom w:val="0"/>
              <w:divBdr>
                <w:top w:val="none" w:sz="0" w:space="0" w:color="auto"/>
                <w:left w:val="none" w:sz="0" w:space="0" w:color="auto"/>
                <w:bottom w:val="none" w:sz="0" w:space="0" w:color="auto"/>
                <w:right w:val="none" w:sz="0" w:space="0" w:color="auto"/>
              </w:divBdr>
              <w:divsChild>
                <w:div w:id="720635283">
                  <w:marLeft w:val="0"/>
                  <w:marRight w:val="0"/>
                  <w:marTop w:val="0"/>
                  <w:marBottom w:val="0"/>
                  <w:divBdr>
                    <w:top w:val="none" w:sz="0" w:space="0" w:color="auto"/>
                    <w:left w:val="none" w:sz="0" w:space="0" w:color="auto"/>
                    <w:bottom w:val="none" w:sz="0" w:space="0" w:color="auto"/>
                    <w:right w:val="none" w:sz="0" w:space="0" w:color="auto"/>
                  </w:divBdr>
                  <w:divsChild>
                    <w:div w:id="405226552">
                      <w:marLeft w:val="0"/>
                      <w:marRight w:val="0"/>
                      <w:marTop w:val="0"/>
                      <w:marBottom w:val="0"/>
                      <w:divBdr>
                        <w:top w:val="none" w:sz="0" w:space="0" w:color="auto"/>
                        <w:left w:val="none" w:sz="0" w:space="0" w:color="auto"/>
                        <w:bottom w:val="none" w:sz="0" w:space="0" w:color="auto"/>
                        <w:right w:val="none" w:sz="0" w:space="0" w:color="auto"/>
                      </w:divBdr>
                      <w:divsChild>
                        <w:div w:id="1197500050">
                          <w:marLeft w:val="0"/>
                          <w:marRight w:val="0"/>
                          <w:marTop w:val="0"/>
                          <w:marBottom w:val="0"/>
                          <w:divBdr>
                            <w:top w:val="none" w:sz="0" w:space="0" w:color="auto"/>
                            <w:left w:val="none" w:sz="0" w:space="0" w:color="auto"/>
                            <w:bottom w:val="none" w:sz="0" w:space="0" w:color="auto"/>
                            <w:right w:val="none" w:sz="0" w:space="0" w:color="auto"/>
                          </w:divBdr>
                          <w:divsChild>
                            <w:div w:id="25535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0653338">
      <w:bodyDiv w:val="1"/>
      <w:marLeft w:val="0"/>
      <w:marRight w:val="0"/>
      <w:marTop w:val="0"/>
      <w:marBottom w:val="0"/>
      <w:divBdr>
        <w:top w:val="none" w:sz="0" w:space="0" w:color="auto"/>
        <w:left w:val="none" w:sz="0" w:space="0" w:color="auto"/>
        <w:bottom w:val="none" w:sz="0" w:space="0" w:color="auto"/>
        <w:right w:val="none" w:sz="0" w:space="0" w:color="auto"/>
      </w:divBdr>
    </w:div>
    <w:div w:id="895778570">
      <w:bodyDiv w:val="1"/>
      <w:marLeft w:val="0"/>
      <w:marRight w:val="0"/>
      <w:marTop w:val="0"/>
      <w:marBottom w:val="0"/>
      <w:divBdr>
        <w:top w:val="none" w:sz="0" w:space="0" w:color="auto"/>
        <w:left w:val="none" w:sz="0" w:space="0" w:color="auto"/>
        <w:bottom w:val="none" w:sz="0" w:space="0" w:color="auto"/>
        <w:right w:val="none" w:sz="0" w:space="0" w:color="auto"/>
      </w:divBdr>
    </w:div>
    <w:div w:id="899827137">
      <w:bodyDiv w:val="1"/>
      <w:marLeft w:val="0"/>
      <w:marRight w:val="0"/>
      <w:marTop w:val="0"/>
      <w:marBottom w:val="0"/>
      <w:divBdr>
        <w:top w:val="none" w:sz="0" w:space="0" w:color="auto"/>
        <w:left w:val="none" w:sz="0" w:space="0" w:color="auto"/>
        <w:bottom w:val="none" w:sz="0" w:space="0" w:color="auto"/>
        <w:right w:val="none" w:sz="0" w:space="0" w:color="auto"/>
      </w:divBdr>
      <w:divsChild>
        <w:div w:id="349138094">
          <w:marLeft w:val="0"/>
          <w:marRight w:val="0"/>
          <w:marTop w:val="0"/>
          <w:marBottom w:val="0"/>
          <w:divBdr>
            <w:top w:val="none" w:sz="0" w:space="0" w:color="auto"/>
            <w:left w:val="none" w:sz="0" w:space="0" w:color="auto"/>
            <w:bottom w:val="none" w:sz="0" w:space="0" w:color="auto"/>
            <w:right w:val="none" w:sz="0" w:space="0" w:color="auto"/>
          </w:divBdr>
        </w:div>
        <w:div w:id="1535726112">
          <w:marLeft w:val="0"/>
          <w:marRight w:val="0"/>
          <w:marTop w:val="0"/>
          <w:marBottom w:val="0"/>
          <w:divBdr>
            <w:top w:val="none" w:sz="0" w:space="0" w:color="auto"/>
            <w:left w:val="none" w:sz="0" w:space="0" w:color="auto"/>
            <w:bottom w:val="none" w:sz="0" w:space="0" w:color="auto"/>
            <w:right w:val="none" w:sz="0" w:space="0" w:color="auto"/>
          </w:divBdr>
        </w:div>
        <w:div w:id="1992785714">
          <w:marLeft w:val="0"/>
          <w:marRight w:val="0"/>
          <w:marTop w:val="0"/>
          <w:marBottom w:val="0"/>
          <w:divBdr>
            <w:top w:val="none" w:sz="0" w:space="0" w:color="auto"/>
            <w:left w:val="none" w:sz="0" w:space="0" w:color="auto"/>
            <w:bottom w:val="none" w:sz="0" w:space="0" w:color="auto"/>
            <w:right w:val="none" w:sz="0" w:space="0" w:color="auto"/>
          </w:divBdr>
        </w:div>
      </w:divsChild>
    </w:div>
    <w:div w:id="900823011">
      <w:bodyDiv w:val="1"/>
      <w:marLeft w:val="0"/>
      <w:marRight w:val="0"/>
      <w:marTop w:val="0"/>
      <w:marBottom w:val="0"/>
      <w:divBdr>
        <w:top w:val="none" w:sz="0" w:space="0" w:color="auto"/>
        <w:left w:val="none" w:sz="0" w:space="0" w:color="auto"/>
        <w:bottom w:val="none" w:sz="0" w:space="0" w:color="auto"/>
        <w:right w:val="none" w:sz="0" w:space="0" w:color="auto"/>
      </w:divBdr>
    </w:div>
    <w:div w:id="909121424">
      <w:bodyDiv w:val="1"/>
      <w:marLeft w:val="0"/>
      <w:marRight w:val="0"/>
      <w:marTop w:val="0"/>
      <w:marBottom w:val="0"/>
      <w:divBdr>
        <w:top w:val="none" w:sz="0" w:space="0" w:color="auto"/>
        <w:left w:val="none" w:sz="0" w:space="0" w:color="auto"/>
        <w:bottom w:val="none" w:sz="0" w:space="0" w:color="auto"/>
        <w:right w:val="none" w:sz="0" w:space="0" w:color="auto"/>
      </w:divBdr>
    </w:div>
    <w:div w:id="915549066">
      <w:bodyDiv w:val="1"/>
      <w:marLeft w:val="0"/>
      <w:marRight w:val="0"/>
      <w:marTop w:val="0"/>
      <w:marBottom w:val="0"/>
      <w:divBdr>
        <w:top w:val="none" w:sz="0" w:space="0" w:color="auto"/>
        <w:left w:val="none" w:sz="0" w:space="0" w:color="auto"/>
        <w:bottom w:val="none" w:sz="0" w:space="0" w:color="auto"/>
        <w:right w:val="none" w:sz="0" w:space="0" w:color="auto"/>
      </w:divBdr>
    </w:div>
    <w:div w:id="921572064">
      <w:bodyDiv w:val="1"/>
      <w:marLeft w:val="0"/>
      <w:marRight w:val="0"/>
      <w:marTop w:val="0"/>
      <w:marBottom w:val="0"/>
      <w:divBdr>
        <w:top w:val="none" w:sz="0" w:space="0" w:color="auto"/>
        <w:left w:val="none" w:sz="0" w:space="0" w:color="auto"/>
        <w:bottom w:val="none" w:sz="0" w:space="0" w:color="auto"/>
        <w:right w:val="none" w:sz="0" w:space="0" w:color="auto"/>
      </w:divBdr>
      <w:divsChild>
        <w:div w:id="1932011090">
          <w:marLeft w:val="547"/>
          <w:marRight w:val="0"/>
          <w:marTop w:val="0"/>
          <w:marBottom w:val="0"/>
          <w:divBdr>
            <w:top w:val="none" w:sz="0" w:space="0" w:color="auto"/>
            <w:left w:val="none" w:sz="0" w:space="0" w:color="auto"/>
            <w:bottom w:val="none" w:sz="0" w:space="0" w:color="auto"/>
            <w:right w:val="none" w:sz="0" w:space="0" w:color="auto"/>
          </w:divBdr>
        </w:div>
      </w:divsChild>
    </w:div>
    <w:div w:id="924072360">
      <w:bodyDiv w:val="1"/>
      <w:marLeft w:val="0"/>
      <w:marRight w:val="0"/>
      <w:marTop w:val="0"/>
      <w:marBottom w:val="0"/>
      <w:divBdr>
        <w:top w:val="none" w:sz="0" w:space="0" w:color="auto"/>
        <w:left w:val="none" w:sz="0" w:space="0" w:color="auto"/>
        <w:bottom w:val="none" w:sz="0" w:space="0" w:color="auto"/>
        <w:right w:val="none" w:sz="0" w:space="0" w:color="auto"/>
      </w:divBdr>
    </w:div>
    <w:div w:id="928390985">
      <w:bodyDiv w:val="1"/>
      <w:marLeft w:val="0"/>
      <w:marRight w:val="0"/>
      <w:marTop w:val="0"/>
      <w:marBottom w:val="0"/>
      <w:divBdr>
        <w:top w:val="none" w:sz="0" w:space="0" w:color="auto"/>
        <w:left w:val="none" w:sz="0" w:space="0" w:color="auto"/>
        <w:bottom w:val="none" w:sz="0" w:space="0" w:color="auto"/>
        <w:right w:val="none" w:sz="0" w:space="0" w:color="auto"/>
      </w:divBdr>
      <w:divsChild>
        <w:div w:id="2069573657">
          <w:marLeft w:val="547"/>
          <w:marRight w:val="0"/>
          <w:marTop w:val="0"/>
          <w:marBottom w:val="0"/>
          <w:divBdr>
            <w:top w:val="none" w:sz="0" w:space="0" w:color="auto"/>
            <w:left w:val="none" w:sz="0" w:space="0" w:color="auto"/>
            <w:bottom w:val="none" w:sz="0" w:space="0" w:color="auto"/>
            <w:right w:val="none" w:sz="0" w:space="0" w:color="auto"/>
          </w:divBdr>
        </w:div>
      </w:divsChild>
    </w:div>
    <w:div w:id="931546621">
      <w:bodyDiv w:val="1"/>
      <w:marLeft w:val="0"/>
      <w:marRight w:val="0"/>
      <w:marTop w:val="0"/>
      <w:marBottom w:val="0"/>
      <w:divBdr>
        <w:top w:val="none" w:sz="0" w:space="0" w:color="auto"/>
        <w:left w:val="none" w:sz="0" w:space="0" w:color="auto"/>
        <w:bottom w:val="none" w:sz="0" w:space="0" w:color="auto"/>
        <w:right w:val="none" w:sz="0" w:space="0" w:color="auto"/>
      </w:divBdr>
      <w:divsChild>
        <w:div w:id="154106003">
          <w:marLeft w:val="0"/>
          <w:marRight w:val="0"/>
          <w:marTop w:val="0"/>
          <w:marBottom w:val="0"/>
          <w:divBdr>
            <w:top w:val="none" w:sz="0" w:space="0" w:color="auto"/>
            <w:left w:val="none" w:sz="0" w:space="0" w:color="auto"/>
            <w:bottom w:val="none" w:sz="0" w:space="0" w:color="auto"/>
            <w:right w:val="none" w:sz="0" w:space="0" w:color="auto"/>
          </w:divBdr>
        </w:div>
        <w:div w:id="312754348">
          <w:marLeft w:val="0"/>
          <w:marRight w:val="0"/>
          <w:marTop w:val="0"/>
          <w:marBottom w:val="0"/>
          <w:divBdr>
            <w:top w:val="none" w:sz="0" w:space="0" w:color="auto"/>
            <w:left w:val="none" w:sz="0" w:space="0" w:color="auto"/>
            <w:bottom w:val="none" w:sz="0" w:space="0" w:color="auto"/>
            <w:right w:val="none" w:sz="0" w:space="0" w:color="auto"/>
          </w:divBdr>
        </w:div>
        <w:div w:id="354817879">
          <w:marLeft w:val="0"/>
          <w:marRight w:val="0"/>
          <w:marTop w:val="0"/>
          <w:marBottom w:val="0"/>
          <w:divBdr>
            <w:top w:val="none" w:sz="0" w:space="0" w:color="auto"/>
            <w:left w:val="none" w:sz="0" w:space="0" w:color="auto"/>
            <w:bottom w:val="none" w:sz="0" w:space="0" w:color="auto"/>
            <w:right w:val="none" w:sz="0" w:space="0" w:color="auto"/>
          </w:divBdr>
        </w:div>
        <w:div w:id="376663253">
          <w:marLeft w:val="0"/>
          <w:marRight w:val="0"/>
          <w:marTop w:val="0"/>
          <w:marBottom w:val="0"/>
          <w:divBdr>
            <w:top w:val="none" w:sz="0" w:space="0" w:color="auto"/>
            <w:left w:val="none" w:sz="0" w:space="0" w:color="auto"/>
            <w:bottom w:val="none" w:sz="0" w:space="0" w:color="auto"/>
            <w:right w:val="none" w:sz="0" w:space="0" w:color="auto"/>
          </w:divBdr>
        </w:div>
        <w:div w:id="804809030">
          <w:marLeft w:val="0"/>
          <w:marRight w:val="0"/>
          <w:marTop w:val="0"/>
          <w:marBottom w:val="0"/>
          <w:divBdr>
            <w:top w:val="none" w:sz="0" w:space="0" w:color="auto"/>
            <w:left w:val="none" w:sz="0" w:space="0" w:color="auto"/>
            <w:bottom w:val="none" w:sz="0" w:space="0" w:color="auto"/>
            <w:right w:val="none" w:sz="0" w:space="0" w:color="auto"/>
          </w:divBdr>
        </w:div>
        <w:div w:id="832835907">
          <w:marLeft w:val="0"/>
          <w:marRight w:val="0"/>
          <w:marTop w:val="0"/>
          <w:marBottom w:val="0"/>
          <w:divBdr>
            <w:top w:val="none" w:sz="0" w:space="0" w:color="auto"/>
            <w:left w:val="none" w:sz="0" w:space="0" w:color="auto"/>
            <w:bottom w:val="none" w:sz="0" w:space="0" w:color="auto"/>
            <w:right w:val="none" w:sz="0" w:space="0" w:color="auto"/>
          </w:divBdr>
        </w:div>
        <w:div w:id="1051422399">
          <w:marLeft w:val="0"/>
          <w:marRight w:val="0"/>
          <w:marTop w:val="0"/>
          <w:marBottom w:val="0"/>
          <w:divBdr>
            <w:top w:val="none" w:sz="0" w:space="0" w:color="auto"/>
            <w:left w:val="none" w:sz="0" w:space="0" w:color="auto"/>
            <w:bottom w:val="none" w:sz="0" w:space="0" w:color="auto"/>
            <w:right w:val="none" w:sz="0" w:space="0" w:color="auto"/>
          </w:divBdr>
        </w:div>
        <w:div w:id="1051922925">
          <w:marLeft w:val="0"/>
          <w:marRight w:val="0"/>
          <w:marTop w:val="0"/>
          <w:marBottom w:val="0"/>
          <w:divBdr>
            <w:top w:val="none" w:sz="0" w:space="0" w:color="auto"/>
            <w:left w:val="none" w:sz="0" w:space="0" w:color="auto"/>
            <w:bottom w:val="none" w:sz="0" w:space="0" w:color="auto"/>
            <w:right w:val="none" w:sz="0" w:space="0" w:color="auto"/>
          </w:divBdr>
        </w:div>
        <w:div w:id="1232737132">
          <w:marLeft w:val="0"/>
          <w:marRight w:val="0"/>
          <w:marTop w:val="0"/>
          <w:marBottom w:val="0"/>
          <w:divBdr>
            <w:top w:val="none" w:sz="0" w:space="0" w:color="auto"/>
            <w:left w:val="none" w:sz="0" w:space="0" w:color="auto"/>
            <w:bottom w:val="none" w:sz="0" w:space="0" w:color="auto"/>
            <w:right w:val="none" w:sz="0" w:space="0" w:color="auto"/>
          </w:divBdr>
        </w:div>
        <w:div w:id="1305348979">
          <w:marLeft w:val="0"/>
          <w:marRight w:val="0"/>
          <w:marTop w:val="0"/>
          <w:marBottom w:val="0"/>
          <w:divBdr>
            <w:top w:val="none" w:sz="0" w:space="0" w:color="auto"/>
            <w:left w:val="none" w:sz="0" w:space="0" w:color="auto"/>
            <w:bottom w:val="none" w:sz="0" w:space="0" w:color="auto"/>
            <w:right w:val="none" w:sz="0" w:space="0" w:color="auto"/>
          </w:divBdr>
        </w:div>
        <w:div w:id="1409309904">
          <w:marLeft w:val="0"/>
          <w:marRight w:val="0"/>
          <w:marTop w:val="0"/>
          <w:marBottom w:val="0"/>
          <w:divBdr>
            <w:top w:val="none" w:sz="0" w:space="0" w:color="auto"/>
            <w:left w:val="none" w:sz="0" w:space="0" w:color="auto"/>
            <w:bottom w:val="none" w:sz="0" w:space="0" w:color="auto"/>
            <w:right w:val="none" w:sz="0" w:space="0" w:color="auto"/>
          </w:divBdr>
        </w:div>
        <w:div w:id="1473717838">
          <w:marLeft w:val="0"/>
          <w:marRight w:val="0"/>
          <w:marTop w:val="0"/>
          <w:marBottom w:val="0"/>
          <w:divBdr>
            <w:top w:val="none" w:sz="0" w:space="0" w:color="auto"/>
            <w:left w:val="none" w:sz="0" w:space="0" w:color="auto"/>
            <w:bottom w:val="none" w:sz="0" w:space="0" w:color="auto"/>
            <w:right w:val="none" w:sz="0" w:space="0" w:color="auto"/>
          </w:divBdr>
        </w:div>
        <w:div w:id="1594388730">
          <w:marLeft w:val="0"/>
          <w:marRight w:val="0"/>
          <w:marTop w:val="0"/>
          <w:marBottom w:val="0"/>
          <w:divBdr>
            <w:top w:val="none" w:sz="0" w:space="0" w:color="auto"/>
            <w:left w:val="none" w:sz="0" w:space="0" w:color="auto"/>
            <w:bottom w:val="none" w:sz="0" w:space="0" w:color="auto"/>
            <w:right w:val="none" w:sz="0" w:space="0" w:color="auto"/>
          </w:divBdr>
        </w:div>
        <w:div w:id="1626043615">
          <w:marLeft w:val="0"/>
          <w:marRight w:val="0"/>
          <w:marTop w:val="0"/>
          <w:marBottom w:val="0"/>
          <w:divBdr>
            <w:top w:val="none" w:sz="0" w:space="0" w:color="auto"/>
            <w:left w:val="none" w:sz="0" w:space="0" w:color="auto"/>
            <w:bottom w:val="none" w:sz="0" w:space="0" w:color="auto"/>
            <w:right w:val="none" w:sz="0" w:space="0" w:color="auto"/>
          </w:divBdr>
        </w:div>
        <w:div w:id="1733774959">
          <w:marLeft w:val="0"/>
          <w:marRight w:val="0"/>
          <w:marTop w:val="0"/>
          <w:marBottom w:val="0"/>
          <w:divBdr>
            <w:top w:val="none" w:sz="0" w:space="0" w:color="auto"/>
            <w:left w:val="none" w:sz="0" w:space="0" w:color="auto"/>
            <w:bottom w:val="none" w:sz="0" w:space="0" w:color="auto"/>
            <w:right w:val="none" w:sz="0" w:space="0" w:color="auto"/>
          </w:divBdr>
        </w:div>
      </w:divsChild>
    </w:div>
    <w:div w:id="946422477">
      <w:bodyDiv w:val="1"/>
      <w:marLeft w:val="0"/>
      <w:marRight w:val="0"/>
      <w:marTop w:val="0"/>
      <w:marBottom w:val="0"/>
      <w:divBdr>
        <w:top w:val="none" w:sz="0" w:space="0" w:color="auto"/>
        <w:left w:val="none" w:sz="0" w:space="0" w:color="auto"/>
        <w:bottom w:val="none" w:sz="0" w:space="0" w:color="auto"/>
        <w:right w:val="none" w:sz="0" w:space="0" w:color="auto"/>
      </w:divBdr>
    </w:div>
    <w:div w:id="957109124">
      <w:bodyDiv w:val="1"/>
      <w:marLeft w:val="0"/>
      <w:marRight w:val="0"/>
      <w:marTop w:val="0"/>
      <w:marBottom w:val="0"/>
      <w:divBdr>
        <w:top w:val="none" w:sz="0" w:space="0" w:color="auto"/>
        <w:left w:val="none" w:sz="0" w:space="0" w:color="auto"/>
        <w:bottom w:val="none" w:sz="0" w:space="0" w:color="auto"/>
        <w:right w:val="none" w:sz="0" w:space="0" w:color="auto"/>
      </w:divBdr>
    </w:div>
    <w:div w:id="961107728">
      <w:bodyDiv w:val="1"/>
      <w:marLeft w:val="0"/>
      <w:marRight w:val="0"/>
      <w:marTop w:val="0"/>
      <w:marBottom w:val="0"/>
      <w:divBdr>
        <w:top w:val="none" w:sz="0" w:space="0" w:color="auto"/>
        <w:left w:val="none" w:sz="0" w:space="0" w:color="auto"/>
        <w:bottom w:val="none" w:sz="0" w:space="0" w:color="auto"/>
        <w:right w:val="none" w:sz="0" w:space="0" w:color="auto"/>
      </w:divBdr>
    </w:div>
    <w:div w:id="965624575">
      <w:bodyDiv w:val="1"/>
      <w:marLeft w:val="0"/>
      <w:marRight w:val="0"/>
      <w:marTop w:val="0"/>
      <w:marBottom w:val="0"/>
      <w:divBdr>
        <w:top w:val="none" w:sz="0" w:space="0" w:color="auto"/>
        <w:left w:val="none" w:sz="0" w:space="0" w:color="auto"/>
        <w:bottom w:val="none" w:sz="0" w:space="0" w:color="auto"/>
        <w:right w:val="none" w:sz="0" w:space="0" w:color="auto"/>
      </w:divBdr>
    </w:div>
    <w:div w:id="985547645">
      <w:bodyDiv w:val="1"/>
      <w:marLeft w:val="0"/>
      <w:marRight w:val="0"/>
      <w:marTop w:val="0"/>
      <w:marBottom w:val="0"/>
      <w:divBdr>
        <w:top w:val="none" w:sz="0" w:space="0" w:color="auto"/>
        <w:left w:val="none" w:sz="0" w:space="0" w:color="auto"/>
        <w:bottom w:val="none" w:sz="0" w:space="0" w:color="auto"/>
        <w:right w:val="none" w:sz="0" w:space="0" w:color="auto"/>
      </w:divBdr>
    </w:div>
    <w:div w:id="989016855">
      <w:bodyDiv w:val="1"/>
      <w:marLeft w:val="0"/>
      <w:marRight w:val="0"/>
      <w:marTop w:val="0"/>
      <w:marBottom w:val="0"/>
      <w:divBdr>
        <w:top w:val="none" w:sz="0" w:space="0" w:color="auto"/>
        <w:left w:val="none" w:sz="0" w:space="0" w:color="auto"/>
        <w:bottom w:val="none" w:sz="0" w:space="0" w:color="auto"/>
        <w:right w:val="none" w:sz="0" w:space="0" w:color="auto"/>
      </w:divBdr>
    </w:div>
    <w:div w:id="990212556">
      <w:bodyDiv w:val="1"/>
      <w:marLeft w:val="0"/>
      <w:marRight w:val="0"/>
      <w:marTop w:val="0"/>
      <w:marBottom w:val="0"/>
      <w:divBdr>
        <w:top w:val="none" w:sz="0" w:space="0" w:color="auto"/>
        <w:left w:val="none" w:sz="0" w:space="0" w:color="auto"/>
        <w:bottom w:val="none" w:sz="0" w:space="0" w:color="auto"/>
        <w:right w:val="none" w:sz="0" w:space="0" w:color="auto"/>
      </w:divBdr>
    </w:div>
    <w:div w:id="990476668">
      <w:bodyDiv w:val="1"/>
      <w:marLeft w:val="0"/>
      <w:marRight w:val="0"/>
      <w:marTop w:val="0"/>
      <w:marBottom w:val="0"/>
      <w:divBdr>
        <w:top w:val="none" w:sz="0" w:space="0" w:color="auto"/>
        <w:left w:val="none" w:sz="0" w:space="0" w:color="auto"/>
        <w:bottom w:val="none" w:sz="0" w:space="0" w:color="auto"/>
        <w:right w:val="none" w:sz="0" w:space="0" w:color="auto"/>
      </w:divBdr>
      <w:divsChild>
        <w:div w:id="1009947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1058773">
      <w:bodyDiv w:val="1"/>
      <w:marLeft w:val="0"/>
      <w:marRight w:val="0"/>
      <w:marTop w:val="0"/>
      <w:marBottom w:val="0"/>
      <w:divBdr>
        <w:top w:val="none" w:sz="0" w:space="0" w:color="auto"/>
        <w:left w:val="none" w:sz="0" w:space="0" w:color="auto"/>
        <w:bottom w:val="none" w:sz="0" w:space="0" w:color="auto"/>
        <w:right w:val="none" w:sz="0" w:space="0" w:color="auto"/>
      </w:divBdr>
      <w:divsChild>
        <w:div w:id="653218663">
          <w:marLeft w:val="547"/>
          <w:marRight w:val="0"/>
          <w:marTop w:val="0"/>
          <w:marBottom w:val="0"/>
          <w:divBdr>
            <w:top w:val="none" w:sz="0" w:space="0" w:color="auto"/>
            <w:left w:val="none" w:sz="0" w:space="0" w:color="auto"/>
            <w:bottom w:val="none" w:sz="0" w:space="0" w:color="auto"/>
            <w:right w:val="none" w:sz="0" w:space="0" w:color="auto"/>
          </w:divBdr>
        </w:div>
      </w:divsChild>
    </w:div>
    <w:div w:id="1001935900">
      <w:bodyDiv w:val="1"/>
      <w:marLeft w:val="0"/>
      <w:marRight w:val="0"/>
      <w:marTop w:val="0"/>
      <w:marBottom w:val="0"/>
      <w:divBdr>
        <w:top w:val="none" w:sz="0" w:space="0" w:color="auto"/>
        <w:left w:val="none" w:sz="0" w:space="0" w:color="auto"/>
        <w:bottom w:val="none" w:sz="0" w:space="0" w:color="auto"/>
        <w:right w:val="none" w:sz="0" w:space="0" w:color="auto"/>
      </w:divBdr>
      <w:divsChild>
        <w:div w:id="394596138">
          <w:marLeft w:val="0"/>
          <w:marRight w:val="0"/>
          <w:marTop w:val="0"/>
          <w:marBottom w:val="0"/>
          <w:divBdr>
            <w:top w:val="none" w:sz="0" w:space="0" w:color="auto"/>
            <w:left w:val="none" w:sz="0" w:space="0" w:color="auto"/>
            <w:bottom w:val="none" w:sz="0" w:space="0" w:color="auto"/>
            <w:right w:val="none" w:sz="0" w:space="0" w:color="auto"/>
          </w:divBdr>
        </w:div>
        <w:div w:id="438529587">
          <w:marLeft w:val="0"/>
          <w:marRight w:val="0"/>
          <w:marTop w:val="0"/>
          <w:marBottom w:val="0"/>
          <w:divBdr>
            <w:top w:val="none" w:sz="0" w:space="0" w:color="auto"/>
            <w:left w:val="none" w:sz="0" w:space="0" w:color="auto"/>
            <w:bottom w:val="none" w:sz="0" w:space="0" w:color="auto"/>
            <w:right w:val="none" w:sz="0" w:space="0" w:color="auto"/>
          </w:divBdr>
        </w:div>
      </w:divsChild>
    </w:div>
    <w:div w:id="1003707131">
      <w:bodyDiv w:val="1"/>
      <w:marLeft w:val="0"/>
      <w:marRight w:val="0"/>
      <w:marTop w:val="0"/>
      <w:marBottom w:val="0"/>
      <w:divBdr>
        <w:top w:val="none" w:sz="0" w:space="0" w:color="auto"/>
        <w:left w:val="none" w:sz="0" w:space="0" w:color="auto"/>
        <w:bottom w:val="none" w:sz="0" w:space="0" w:color="auto"/>
        <w:right w:val="none" w:sz="0" w:space="0" w:color="auto"/>
      </w:divBdr>
    </w:div>
    <w:div w:id="1005061276">
      <w:bodyDiv w:val="1"/>
      <w:marLeft w:val="0"/>
      <w:marRight w:val="0"/>
      <w:marTop w:val="0"/>
      <w:marBottom w:val="0"/>
      <w:divBdr>
        <w:top w:val="none" w:sz="0" w:space="0" w:color="auto"/>
        <w:left w:val="none" w:sz="0" w:space="0" w:color="auto"/>
        <w:bottom w:val="none" w:sz="0" w:space="0" w:color="auto"/>
        <w:right w:val="none" w:sz="0" w:space="0" w:color="auto"/>
      </w:divBdr>
      <w:divsChild>
        <w:div w:id="681736355">
          <w:marLeft w:val="0"/>
          <w:marRight w:val="0"/>
          <w:marTop w:val="0"/>
          <w:marBottom w:val="0"/>
          <w:divBdr>
            <w:top w:val="none" w:sz="0" w:space="0" w:color="auto"/>
            <w:left w:val="none" w:sz="0" w:space="0" w:color="auto"/>
            <w:bottom w:val="none" w:sz="0" w:space="0" w:color="auto"/>
            <w:right w:val="none" w:sz="0" w:space="0" w:color="auto"/>
          </w:divBdr>
        </w:div>
        <w:div w:id="1177186307">
          <w:marLeft w:val="0"/>
          <w:marRight w:val="0"/>
          <w:marTop w:val="0"/>
          <w:marBottom w:val="0"/>
          <w:divBdr>
            <w:top w:val="none" w:sz="0" w:space="0" w:color="auto"/>
            <w:left w:val="none" w:sz="0" w:space="0" w:color="auto"/>
            <w:bottom w:val="none" w:sz="0" w:space="0" w:color="auto"/>
            <w:right w:val="none" w:sz="0" w:space="0" w:color="auto"/>
          </w:divBdr>
        </w:div>
      </w:divsChild>
    </w:div>
    <w:div w:id="1010763422">
      <w:bodyDiv w:val="1"/>
      <w:marLeft w:val="0"/>
      <w:marRight w:val="0"/>
      <w:marTop w:val="0"/>
      <w:marBottom w:val="0"/>
      <w:divBdr>
        <w:top w:val="none" w:sz="0" w:space="0" w:color="auto"/>
        <w:left w:val="none" w:sz="0" w:space="0" w:color="auto"/>
        <w:bottom w:val="none" w:sz="0" w:space="0" w:color="auto"/>
        <w:right w:val="none" w:sz="0" w:space="0" w:color="auto"/>
      </w:divBdr>
    </w:div>
    <w:div w:id="1011251648">
      <w:bodyDiv w:val="1"/>
      <w:marLeft w:val="0"/>
      <w:marRight w:val="0"/>
      <w:marTop w:val="0"/>
      <w:marBottom w:val="0"/>
      <w:divBdr>
        <w:top w:val="none" w:sz="0" w:space="0" w:color="auto"/>
        <w:left w:val="none" w:sz="0" w:space="0" w:color="auto"/>
        <w:bottom w:val="none" w:sz="0" w:space="0" w:color="auto"/>
        <w:right w:val="none" w:sz="0" w:space="0" w:color="auto"/>
      </w:divBdr>
    </w:div>
    <w:div w:id="1011564397">
      <w:bodyDiv w:val="1"/>
      <w:marLeft w:val="0"/>
      <w:marRight w:val="0"/>
      <w:marTop w:val="0"/>
      <w:marBottom w:val="0"/>
      <w:divBdr>
        <w:top w:val="none" w:sz="0" w:space="0" w:color="auto"/>
        <w:left w:val="none" w:sz="0" w:space="0" w:color="auto"/>
        <w:bottom w:val="none" w:sz="0" w:space="0" w:color="auto"/>
        <w:right w:val="none" w:sz="0" w:space="0" w:color="auto"/>
      </w:divBdr>
    </w:div>
    <w:div w:id="1011881056">
      <w:bodyDiv w:val="1"/>
      <w:marLeft w:val="0"/>
      <w:marRight w:val="0"/>
      <w:marTop w:val="0"/>
      <w:marBottom w:val="0"/>
      <w:divBdr>
        <w:top w:val="none" w:sz="0" w:space="0" w:color="auto"/>
        <w:left w:val="none" w:sz="0" w:space="0" w:color="auto"/>
        <w:bottom w:val="none" w:sz="0" w:space="0" w:color="auto"/>
        <w:right w:val="none" w:sz="0" w:space="0" w:color="auto"/>
      </w:divBdr>
    </w:div>
    <w:div w:id="1017849088">
      <w:bodyDiv w:val="1"/>
      <w:marLeft w:val="0"/>
      <w:marRight w:val="0"/>
      <w:marTop w:val="0"/>
      <w:marBottom w:val="0"/>
      <w:divBdr>
        <w:top w:val="none" w:sz="0" w:space="0" w:color="auto"/>
        <w:left w:val="none" w:sz="0" w:space="0" w:color="auto"/>
        <w:bottom w:val="none" w:sz="0" w:space="0" w:color="auto"/>
        <w:right w:val="none" w:sz="0" w:space="0" w:color="auto"/>
      </w:divBdr>
      <w:divsChild>
        <w:div w:id="2089233149">
          <w:marLeft w:val="0"/>
          <w:marRight w:val="0"/>
          <w:marTop w:val="0"/>
          <w:marBottom w:val="0"/>
          <w:divBdr>
            <w:top w:val="none" w:sz="0" w:space="0" w:color="auto"/>
            <w:left w:val="none" w:sz="0" w:space="0" w:color="auto"/>
            <w:bottom w:val="none" w:sz="0" w:space="0" w:color="auto"/>
            <w:right w:val="none" w:sz="0" w:space="0" w:color="auto"/>
          </w:divBdr>
          <w:divsChild>
            <w:div w:id="1518351537">
              <w:marLeft w:val="0"/>
              <w:marRight w:val="0"/>
              <w:marTop w:val="0"/>
              <w:marBottom w:val="0"/>
              <w:divBdr>
                <w:top w:val="none" w:sz="0" w:space="0" w:color="auto"/>
                <w:left w:val="none" w:sz="0" w:space="0" w:color="auto"/>
                <w:bottom w:val="none" w:sz="0" w:space="0" w:color="auto"/>
                <w:right w:val="none" w:sz="0" w:space="0" w:color="auto"/>
              </w:divBdr>
              <w:divsChild>
                <w:div w:id="1443843737">
                  <w:marLeft w:val="0"/>
                  <w:marRight w:val="0"/>
                  <w:marTop w:val="0"/>
                  <w:marBottom w:val="0"/>
                  <w:divBdr>
                    <w:top w:val="none" w:sz="0" w:space="0" w:color="auto"/>
                    <w:left w:val="none" w:sz="0" w:space="0" w:color="auto"/>
                    <w:bottom w:val="none" w:sz="0" w:space="0" w:color="auto"/>
                    <w:right w:val="none" w:sz="0" w:space="0" w:color="auto"/>
                  </w:divBdr>
                  <w:divsChild>
                    <w:div w:id="1104955960">
                      <w:marLeft w:val="0"/>
                      <w:marRight w:val="0"/>
                      <w:marTop w:val="0"/>
                      <w:marBottom w:val="0"/>
                      <w:divBdr>
                        <w:top w:val="none" w:sz="0" w:space="0" w:color="auto"/>
                        <w:left w:val="none" w:sz="0" w:space="0" w:color="auto"/>
                        <w:bottom w:val="none" w:sz="0" w:space="0" w:color="auto"/>
                        <w:right w:val="none" w:sz="0" w:space="0" w:color="auto"/>
                      </w:divBdr>
                      <w:divsChild>
                        <w:div w:id="560290310">
                          <w:marLeft w:val="0"/>
                          <w:marRight w:val="0"/>
                          <w:marTop w:val="0"/>
                          <w:marBottom w:val="0"/>
                          <w:divBdr>
                            <w:top w:val="none" w:sz="0" w:space="0" w:color="auto"/>
                            <w:left w:val="none" w:sz="0" w:space="0" w:color="auto"/>
                            <w:bottom w:val="none" w:sz="0" w:space="0" w:color="auto"/>
                            <w:right w:val="none" w:sz="0" w:space="0" w:color="auto"/>
                          </w:divBdr>
                          <w:divsChild>
                            <w:div w:id="25212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6711763">
      <w:bodyDiv w:val="1"/>
      <w:marLeft w:val="0"/>
      <w:marRight w:val="0"/>
      <w:marTop w:val="0"/>
      <w:marBottom w:val="0"/>
      <w:divBdr>
        <w:top w:val="none" w:sz="0" w:space="0" w:color="auto"/>
        <w:left w:val="none" w:sz="0" w:space="0" w:color="auto"/>
        <w:bottom w:val="none" w:sz="0" w:space="0" w:color="auto"/>
        <w:right w:val="none" w:sz="0" w:space="0" w:color="auto"/>
      </w:divBdr>
    </w:div>
    <w:div w:id="1035349727">
      <w:bodyDiv w:val="1"/>
      <w:marLeft w:val="0"/>
      <w:marRight w:val="0"/>
      <w:marTop w:val="0"/>
      <w:marBottom w:val="0"/>
      <w:divBdr>
        <w:top w:val="none" w:sz="0" w:space="0" w:color="auto"/>
        <w:left w:val="none" w:sz="0" w:space="0" w:color="auto"/>
        <w:bottom w:val="none" w:sz="0" w:space="0" w:color="auto"/>
        <w:right w:val="none" w:sz="0" w:space="0" w:color="auto"/>
      </w:divBdr>
      <w:divsChild>
        <w:div w:id="1529179469">
          <w:marLeft w:val="547"/>
          <w:marRight w:val="0"/>
          <w:marTop w:val="0"/>
          <w:marBottom w:val="0"/>
          <w:divBdr>
            <w:top w:val="none" w:sz="0" w:space="0" w:color="auto"/>
            <w:left w:val="none" w:sz="0" w:space="0" w:color="auto"/>
            <w:bottom w:val="none" w:sz="0" w:space="0" w:color="auto"/>
            <w:right w:val="none" w:sz="0" w:space="0" w:color="auto"/>
          </w:divBdr>
        </w:div>
      </w:divsChild>
    </w:div>
    <w:div w:id="1036345538">
      <w:bodyDiv w:val="1"/>
      <w:marLeft w:val="0"/>
      <w:marRight w:val="0"/>
      <w:marTop w:val="0"/>
      <w:marBottom w:val="0"/>
      <w:divBdr>
        <w:top w:val="none" w:sz="0" w:space="0" w:color="auto"/>
        <w:left w:val="none" w:sz="0" w:space="0" w:color="auto"/>
        <w:bottom w:val="none" w:sz="0" w:space="0" w:color="auto"/>
        <w:right w:val="none" w:sz="0" w:space="0" w:color="auto"/>
      </w:divBdr>
    </w:div>
    <w:div w:id="1036589230">
      <w:bodyDiv w:val="1"/>
      <w:marLeft w:val="0"/>
      <w:marRight w:val="0"/>
      <w:marTop w:val="0"/>
      <w:marBottom w:val="0"/>
      <w:divBdr>
        <w:top w:val="none" w:sz="0" w:space="0" w:color="auto"/>
        <w:left w:val="none" w:sz="0" w:space="0" w:color="auto"/>
        <w:bottom w:val="none" w:sz="0" w:space="0" w:color="auto"/>
        <w:right w:val="none" w:sz="0" w:space="0" w:color="auto"/>
      </w:divBdr>
      <w:divsChild>
        <w:div w:id="1205556286">
          <w:marLeft w:val="1166"/>
          <w:marRight w:val="0"/>
          <w:marTop w:val="0"/>
          <w:marBottom w:val="0"/>
          <w:divBdr>
            <w:top w:val="none" w:sz="0" w:space="0" w:color="auto"/>
            <w:left w:val="none" w:sz="0" w:space="0" w:color="auto"/>
            <w:bottom w:val="none" w:sz="0" w:space="0" w:color="auto"/>
            <w:right w:val="none" w:sz="0" w:space="0" w:color="auto"/>
          </w:divBdr>
        </w:div>
        <w:div w:id="1529678023">
          <w:marLeft w:val="1166"/>
          <w:marRight w:val="0"/>
          <w:marTop w:val="0"/>
          <w:marBottom w:val="0"/>
          <w:divBdr>
            <w:top w:val="none" w:sz="0" w:space="0" w:color="auto"/>
            <w:left w:val="none" w:sz="0" w:space="0" w:color="auto"/>
            <w:bottom w:val="none" w:sz="0" w:space="0" w:color="auto"/>
            <w:right w:val="none" w:sz="0" w:space="0" w:color="auto"/>
          </w:divBdr>
        </w:div>
      </w:divsChild>
    </w:div>
    <w:div w:id="1039091899">
      <w:bodyDiv w:val="1"/>
      <w:marLeft w:val="0"/>
      <w:marRight w:val="0"/>
      <w:marTop w:val="0"/>
      <w:marBottom w:val="0"/>
      <w:divBdr>
        <w:top w:val="none" w:sz="0" w:space="0" w:color="auto"/>
        <w:left w:val="none" w:sz="0" w:space="0" w:color="auto"/>
        <w:bottom w:val="none" w:sz="0" w:space="0" w:color="auto"/>
        <w:right w:val="none" w:sz="0" w:space="0" w:color="auto"/>
      </w:divBdr>
    </w:div>
    <w:div w:id="1042754366">
      <w:bodyDiv w:val="1"/>
      <w:marLeft w:val="0"/>
      <w:marRight w:val="0"/>
      <w:marTop w:val="0"/>
      <w:marBottom w:val="0"/>
      <w:divBdr>
        <w:top w:val="none" w:sz="0" w:space="0" w:color="auto"/>
        <w:left w:val="none" w:sz="0" w:space="0" w:color="auto"/>
        <w:bottom w:val="none" w:sz="0" w:space="0" w:color="auto"/>
        <w:right w:val="none" w:sz="0" w:space="0" w:color="auto"/>
      </w:divBdr>
      <w:divsChild>
        <w:div w:id="1916012599">
          <w:marLeft w:val="0"/>
          <w:marRight w:val="0"/>
          <w:marTop w:val="0"/>
          <w:marBottom w:val="0"/>
          <w:divBdr>
            <w:top w:val="none" w:sz="0" w:space="0" w:color="auto"/>
            <w:left w:val="none" w:sz="0" w:space="0" w:color="auto"/>
            <w:bottom w:val="none" w:sz="0" w:space="0" w:color="auto"/>
            <w:right w:val="none" w:sz="0" w:space="0" w:color="auto"/>
          </w:divBdr>
          <w:divsChild>
            <w:div w:id="977535990">
              <w:marLeft w:val="0"/>
              <w:marRight w:val="0"/>
              <w:marTop w:val="0"/>
              <w:marBottom w:val="0"/>
              <w:divBdr>
                <w:top w:val="none" w:sz="0" w:space="0" w:color="auto"/>
                <w:left w:val="none" w:sz="0" w:space="0" w:color="auto"/>
                <w:bottom w:val="none" w:sz="0" w:space="0" w:color="auto"/>
                <w:right w:val="none" w:sz="0" w:space="0" w:color="auto"/>
              </w:divBdr>
              <w:divsChild>
                <w:div w:id="1371492049">
                  <w:marLeft w:val="0"/>
                  <w:marRight w:val="0"/>
                  <w:marTop w:val="0"/>
                  <w:marBottom w:val="0"/>
                  <w:divBdr>
                    <w:top w:val="none" w:sz="0" w:space="0" w:color="auto"/>
                    <w:left w:val="none" w:sz="0" w:space="0" w:color="auto"/>
                    <w:bottom w:val="none" w:sz="0" w:space="0" w:color="auto"/>
                    <w:right w:val="none" w:sz="0" w:space="0" w:color="auto"/>
                  </w:divBdr>
                  <w:divsChild>
                    <w:div w:id="610941141">
                      <w:marLeft w:val="0"/>
                      <w:marRight w:val="0"/>
                      <w:marTop w:val="0"/>
                      <w:marBottom w:val="0"/>
                      <w:divBdr>
                        <w:top w:val="none" w:sz="0" w:space="0" w:color="auto"/>
                        <w:left w:val="none" w:sz="0" w:space="0" w:color="auto"/>
                        <w:bottom w:val="none" w:sz="0" w:space="0" w:color="auto"/>
                        <w:right w:val="none" w:sz="0" w:space="0" w:color="auto"/>
                      </w:divBdr>
                      <w:divsChild>
                        <w:div w:id="1080902722">
                          <w:marLeft w:val="0"/>
                          <w:marRight w:val="0"/>
                          <w:marTop w:val="0"/>
                          <w:marBottom w:val="0"/>
                          <w:divBdr>
                            <w:top w:val="none" w:sz="0" w:space="0" w:color="auto"/>
                            <w:left w:val="none" w:sz="0" w:space="0" w:color="auto"/>
                            <w:bottom w:val="none" w:sz="0" w:space="0" w:color="auto"/>
                            <w:right w:val="none" w:sz="0" w:space="0" w:color="auto"/>
                          </w:divBdr>
                          <w:divsChild>
                            <w:div w:id="569579470">
                              <w:marLeft w:val="0"/>
                              <w:marRight w:val="0"/>
                              <w:marTop w:val="0"/>
                              <w:marBottom w:val="0"/>
                              <w:divBdr>
                                <w:top w:val="none" w:sz="0" w:space="0" w:color="auto"/>
                                <w:left w:val="none" w:sz="0" w:space="0" w:color="auto"/>
                                <w:bottom w:val="none" w:sz="0" w:space="0" w:color="auto"/>
                                <w:right w:val="none" w:sz="0" w:space="0" w:color="auto"/>
                              </w:divBdr>
                              <w:divsChild>
                                <w:div w:id="1489592434">
                                  <w:marLeft w:val="0"/>
                                  <w:marRight w:val="0"/>
                                  <w:marTop w:val="0"/>
                                  <w:marBottom w:val="0"/>
                                  <w:divBdr>
                                    <w:top w:val="none" w:sz="0" w:space="0" w:color="auto"/>
                                    <w:left w:val="none" w:sz="0" w:space="0" w:color="auto"/>
                                    <w:bottom w:val="none" w:sz="0" w:space="0" w:color="auto"/>
                                    <w:right w:val="none" w:sz="0" w:space="0" w:color="auto"/>
                                  </w:divBdr>
                                  <w:divsChild>
                                    <w:div w:id="51471229">
                                      <w:marLeft w:val="0"/>
                                      <w:marRight w:val="0"/>
                                      <w:marTop w:val="0"/>
                                      <w:marBottom w:val="0"/>
                                      <w:divBdr>
                                        <w:top w:val="none" w:sz="0" w:space="0" w:color="auto"/>
                                        <w:left w:val="none" w:sz="0" w:space="0" w:color="auto"/>
                                        <w:bottom w:val="none" w:sz="0" w:space="0" w:color="auto"/>
                                        <w:right w:val="none" w:sz="0" w:space="0" w:color="auto"/>
                                      </w:divBdr>
                                      <w:divsChild>
                                        <w:div w:id="27074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43754131">
      <w:bodyDiv w:val="1"/>
      <w:marLeft w:val="0"/>
      <w:marRight w:val="0"/>
      <w:marTop w:val="0"/>
      <w:marBottom w:val="0"/>
      <w:divBdr>
        <w:top w:val="none" w:sz="0" w:space="0" w:color="auto"/>
        <w:left w:val="none" w:sz="0" w:space="0" w:color="auto"/>
        <w:bottom w:val="none" w:sz="0" w:space="0" w:color="auto"/>
        <w:right w:val="none" w:sz="0" w:space="0" w:color="auto"/>
      </w:divBdr>
      <w:divsChild>
        <w:div w:id="1061556270">
          <w:marLeft w:val="0"/>
          <w:marRight w:val="0"/>
          <w:marTop w:val="0"/>
          <w:marBottom w:val="0"/>
          <w:divBdr>
            <w:top w:val="none" w:sz="0" w:space="0" w:color="auto"/>
            <w:left w:val="none" w:sz="0" w:space="0" w:color="auto"/>
            <w:bottom w:val="none" w:sz="0" w:space="0" w:color="auto"/>
            <w:right w:val="none" w:sz="0" w:space="0" w:color="auto"/>
          </w:divBdr>
        </w:div>
        <w:div w:id="1935240415">
          <w:marLeft w:val="0"/>
          <w:marRight w:val="0"/>
          <w:marTop w:val="0"/>
          <w:marBottom w:val="0"/>
          <w:divBdr>
            <w:top w:val="none" w:sz="0" w:space="0" w:color="auto"/>
            <w:left w:val="none" w:sz="0" w:space="0" w:color="auto"/>
            <w:bottom w:val="none" w:sz="0" w:space="0" w:color="auto"/>
            <w:right w:val="none" w:sz="0" w:space="0" w:color="auto"/>
          </w:divBdr>
        </w:div>
      </w:divsChild>
    </w:div>
    <w:div w:id="1044603258">
      <w:bodyDiv w:val="1"/>
      <w:marLeft w:val="0"/>
      <w:marRight w:val="0"/>
      <w:marTop w:val="0"/>
      <w:marBottom w:val="0"/>
      <w:divBdr>
        <w:top w:val="none" w:sz="0" w:space="0" w:color="auto"/>
        <w:left w:val="none" w:sz="0" w:space="0" w:color="auto"/>
        <w:bottom w:val="none" w:sz="0" w:space="0" w:color="auto"/>
        <w:right w:val="none" w:sz="0" w:space="0" w:color="auto"/>
      </w:divBdr>
    </w:div>
    <w:div w:id="1046220772">
      <w:bodyDiv w:val="1"/>
      <w:marLeft w:val="0"/>
      <w:marRight w:val="0"/>
      <w:marTop w:val="0"/>
      <w:marBottom w:val="0"/>
      <w:divBdr>
        <w:top w:val="none" w:sz="0" w:space="0" w:color="auto"/>
        <w:left w:val="none" w:sz="0" w:space="0" w:color="auto"/>
        <w:bottom w:val="none" w:sz="0" w:space="0" w:color="auto"/>
        <w:right w:val="none" w:sz="0" w:space="0" w:color="auto"/>
      </w:divBdr>
    </w:div>
    <w:div w:id="1048266085">
      <w:bodyDiv w:val="1"/>
      <w:marLeft w:val="0"/>
      <w:marRight w:val="0"/>
      <w:marTop w:val="0"/>
      <w:marBottom w:val="0"/>
      <w:divBdr>
        <w:top w:val="none" w:sz="0" w:space="0" w:color="auto"/>
        <w:left w:val="none" w:sz="0" w:space="0" w:color="auto"/>
        <w:bottom w:val="none" w:sz="0" w:space="0" w:color="auto"/>
        <w:right w:val="none" w:sz="0" w:space="0" w:color="auto"/>
      </w:divBdr>
      <w:divsChild>
        <w:div w:id="854073291">
          <w:marLeft w:val="0"/>
          <w:marRight w:val="0"/>
          <w:marTop w:val="0"/>
          <w:marBottom w:val="0"/>
          <w:divBdr>
            <w:top w:val="none" w:sz="0" w:space="0" w:color="auto"/>
            <w:left w:val="none" w:sz="0" w:space="0" w:color="auto"/>
            <w:bottom w:val="none" w:sz="0" w:space="0" w:color="auto"/>
            <w:right w:val="none" w:sz="0" w:space="0" w:color="auto"/>
          </w:divBdr>
        </w:div>
        <w:div w:id="876044811">
          <w:marLeft w:val="0"/>
          <w:marRight w:val="0"/>
          <w:marTop w:val="0"/>
          <w:marBottom w:val="0"/>
          <w:divBdr>
            <w:top w:val="none" w:sz="0" w:space="0" w:color="auto"/>
            <w:left w:val="none" w:sz="0" w:space="0" w:color="auto"/>
            <w:bottom w:val="none" w:sz="0" w:space="0" w:color="auto"/>
            <w:right w:val="none" w:sz="0" w:space="0" w:color="auto"/>
          </w:divBdr>
        </w:div>
        <w:div w:id="1306423645">
          <w:marLeft w:val="0"/>
          <w:marRight w:val="0"/>
          <w:marTop w:val="0"/>
          <w:marBottom w:val="0"/>
          <w:divBdr>
            <w:top w:val="none" w:sz="0" w:space="0" w:color="auto"/>
            <w:left w:val="none" w:sz="0" w:space="0" w:color="auto"/>
            <w:bottom w:val="none" w:sz="0" w:space="0" w:color="auto"/>
            <w:right w:val="none" w:sz="0" w:space="0" w:color="auto"/>
          </w:divBdr>
        </w:div>
        <w:div w:id="1944605678">
          <w:marLeft w:val="0"/>
          <w:marRight w:val="0"/>
          <w:marTop w:val="0"/>
          <w:marBottom w:val="0"/>
          <w:divBdr>
            <w:top w:val="none" w:sz="0" w:space="0" w:color="auto"/>
            <w:left w:val="none" w:sz="0" w:space="0" w:color="auto"/>
            <w:bottom w:val="none" w:sz="0" w:space="0" w:color="auto"/>
            <w:right w:val="none" w:sz="0" w:space="0" w:color="auto"/>
          </w:divBdr>
        </w:div>
        <w:div w:id="2111466062">
          <w:marLeft w:val="0"/>
          <w:marRight w:val="0"/>
          <w:marTop w:val="0"/>
          <w:marBottom w:val="0"/>
          <w:divBdr>
            <w:top w:val="none" w:sz="0" w:space="0" w:color="auto"/>
            <w:left w:val="none" w:sz="0" w:space="0" w:color="auto"/>
            <w:bottom w:val="none" w:sz="0" w:space="0" w:color="auto"/>
            <w:right w:val="none" w:sz="0" w:space="0" w:color="auto"/>
          </w:divBdr>
        </w:div>
      </w:divsChild>
    </w:div>
    <w:div w:id="1053121825">
      <w:bodyDiv w:val="1"/>
      <w:marLeft w:val="0"/>
      <w:marRight w:val="0"/>
      <w:marTop w:val="0"/>
      <w:marBottom w:val="0"/>
      <w:divBdr>
        <w:top w:val="none" w:sz="0" w:space="0" w:color="auto"/>
        <w:left w:val="none" w:sz="0" w:space="0" w:color="auto"/>
        <w:bottom w:val="none" w:sz="0" w:space="0" w:color="auto"/>
        <w:right w:val="none" w:sz="0" w:space="0" w:color="auto"/>
      </w:divBdr>
    </w:div>
    <w:div w:id="1060635756">
      <w:bodyDiv w:val="1"/>
      <w:marLeft w:val="0"/>
      <w:marRight w:val="0"/>
      <w:marTop w:val="0"/>
      <w:marBottom w:val="0"/>
      <w:divBdr>
        <w:top w:val="none" w:sz="0" w:space="0" w:color="auto"/>
        <w:left w:val="none" w:sz="0" w:space="0" w:color="auto"/>
        <w:bottom w:val="none" w:sz="0" w:space="0" w:color="auto"/>
        <w:right w:val="none" w:sz="0" w:space="0" w:color="auto"/>
      </w:divBdr>
      <w:divsChild>
        <w:div w:id="991326734">
          <w:marLeft w:val="547"/>
          <w:marRight w:val="0"/>
          <w:marTop w:val="0"/>
          <w:marBottom w:val="0"/>
          <w:divBdr>
            <w:top w:val="none" w:sz="0" w:space="0" w:color="auto"/>
            <w:left w:val="none" w:sz="0" w:space="0" w:color="auto"/>
            <w:bottom w:val="none" w:sz="0" w:space="0" w:color="auto"/>
            <w:right w:val="none" w:sz="0" w:space="0" w:color="auto"/>
          </w:divBdr>
        </w:div>
      </w:divsChild>
    </w:div>
    <w:div w:id="1064330505">
      <w:bodyDiv w:val="1"/>
      <w:marLeft w:val="0"/>
      <w:marRight w:val="0"/>
      <w:marTop w:val="0"/>
      <w:marBottom w:val="0"/>
      <w:divBdr>
        <w:top w:val="none" w:sz="0" w:space="0" w:color="auto"/>
        <w:left w:val="none" w:sz="0" w:space="0" w:color="auto"/>
        <w:bottom w:val="none" w:sz="0" w:space="0" w:color="auto"/>
        <w:right w:val="none" w:sz="0" w:space="0" w:color="auto"/>
      </w:divBdr>
    </w:div>
    <w:div w:id="1068108859">
      <w:bodyDiv w:val="1"/>
      <w:marLeft w:val="0"/>
      <w:marRight w:val="0"/>
      <w:marTop w:val="0"/>
      <w:marBottom w:val="0"/>
      <w:divBdr>
        <w:top w:val="none" w:sz="0" w:space="0" w:color="auto"/>
        <w:left w:val="none" w:sz="0" w:space="0" w:color="auto"/>
        <w:bottom w:val="none" w:sz="0" w:space="0" w:color="auto"/>
        <w:right w:val="none" w:sz="0" w:space="0" w:color="auto"/>
      </w:divBdr>
      <w:divsChild>
        <w:div w:id="449980384">
          <w:marLeft w:val="0"/>
          <w:marRight w:val="0"/>
          <w:marTop w:val="0"/>
          <w:marBottom w:val="0"/>
          <w:divBdr>
            <w:top w:val="none" w:sz="0" w:space="0" w:color="auto"/>
            <w:left w:val="none" w:sz="0" w:space="0" w:color="auto"/>
            <w:bottom w:val="none" w:sz="0" w:space="0" w:color="auto"/>
            <w:right w:val="none" w:sz="0" w:space="0" w:color="auto"/>
          </w:divBdr>
          <w:divsChild>
            <w:div w:id="1987320251">
              <w:marLeft w:val="0"/>
              <w:marRight w:val="0"/>
              <w:marTop w:val="0"/>
              <w:marBottom w:val="0"/>
              <w:divBdr>
                <w:top w:val="none" w:sz="0" w:space="0" w:color="auto"/>
                <w:left w:val="none" w:sz="0" w:space="0" w:color="auto"/>
                <w:bottom w:val="none" w:sz="0" w:space="0" w:color="auto"/>
                <w:right w:val="none" w:sz="0" w:space="0" w:color="auto"/>
              </w:divBdr>
              <w:divsChild>
                <w:div w:id="858665650">
                  <w:marLeft w:val="0"/>
                  <w:marRight w:val="0"/>
                  <w:marTop w:val="0"/>
                  <w:marBottom w:val="0"/>
                  <w:divBdr>
                    <w:top w:val="none" w:sz="0" w:space="0" w:color="auto"/>
                    <w:left w:val="none" w:sz="0" w:space="0" w:color="auto"/>
                    <w:bottom w:val="none" w:sz="0" w:space="0" w:color="auto"/>
                    <w:right w:val="none" w:sz="0" w:space="0" w:color="auto"/>
                  </w:divBdr>
                  <w:divsChild>
                    <w:div w:id="1341815411">
                      <w:marLeft w:val="0"/>
                      <w:marRight w:val="0"/>
                      <w:marTop w:val="0"/>
                      <w:marBottom w:val="0"/>
                      <w:divBdr>
                        <w:top w:val="none" w:sz="0" w:space="0" w:color="auto"/>
                        <w:left w:val="none" w:sz="0" w:space="0" w:color="auto"/>
                        <w:bottom w:val="none" w:sz="0" w:space="0" w:color="auto"/>
                        <w:right w:val="none" w:sz="0" w:space="0" w:color="auto"/>
                      </w:divBdr>
                      <w:divsChild>
                        <w:div w:id="1721901471">
                          <w:marLeft w:val="0"/>
                          <w:marRight w:val="0"/>
                          <w:marTop w:val="0"/>
                          <w:marBottom w:val="0"/>
                          <w:divBdr>
                            <w:top w:val="none" w:sz="0" w:space="0" w:color="auto"/>
                            <w:left w:val="none" w:sz="0" w:space="0" w:color="auto"/>
                            <w:bottom w:val="none" w:sz="0" w:space="0" w:color="auto"/>
                            <w:right w:val="none" w:sz="0" w:space="0" w:color="auto"/>
                          </w:divBdr>
                          <w:divsChild>
                            <w:div w:id="719942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8304849">
      <w:bodyDiv w:val="1"/>
      <w:marLeft w:val="0"/>
      <w:marRight w:val="0"/>
      <w:marTop w:val="0"/>
      <w:marBottom w:val="0"/>
      <w:divBdr>
        <w:top w:val="none" w:sz="0" w:space="0" w:color="auto"/>
        <w:left w:val="none" w:sz="0" w:space="0" w:color="auto"/>
        <w:bottom w:val="none" w:sz="0" w:space="0" w:color="auto"/>
        <w:right w:val="none" w:sz="0" w:space="0" w:color="auto"/>
      </w:divBdr>
    </w:div>
    <w:div w:id="1077240404">
      <w:bodyDiv w:val="1"/>
      <w:marLeft w:val="0"/>
      <w:marRight w:val="0"/>
      <w:marTop w:val="0"/>
      <w:marBottom w:val="0"/>
      <w:divBdr>
        <w:top w:val="none" w:sz="0" w:space="0" w:color="auto"/>
        <w:left w:val="none" w:sz="0" w:space="0" w:color="auto"/>
        <w:bottom w:val="none" w:sz="0" w:space="0" w:color="auto"/>
        <w:right w:val="none" w:sz="0" w:space="0" w:color="auto"/>
      </w:divBdr>
    </w:div>
    <w:div w:id="1096369287">
      <w:bodyDiv w:val="1"/>
      <w:marLeft w:val="0"/>
      <w:marRight w:val="0"/>
      <w:marTop w:val="0"/>
      <w:marBottom w:val="0"/>
      <w:divBdr>
        <w:top w:val="none" w:sz="0" w:space="0" w:color="auto"/>
        <w:left w:val="none" w:sz="0" w:space="0" w:color="auto"/>
        <w:bottom w:val="none" w:sz="0" w:space="0" w:color="auto"/>
        <w:right w:val="none" w:sz="0" w:space="0" w:color="auto"/>
      </w:divBdr>
      <w:divsChild>
        <w:div w:id="1445923379">
          <w:marLeft w:val="0"/>
          <w:marRight w:val="0"/>
          <w:marTop w:val="0"/>
          <w:marBottom w:val="0"/>
          <w:divBdr>
            <w:top w:val="none" w:sz="0" w:space="0" w:color="auto"/>
            <w:left w:val="none" w:sz="0" w:space="0" w:color="auto"/>
            <w:bottom w:val="none" w:sz="0" w:space="0" w:color="auto"/>
            <w:right w:val="none" w:sz="0" w:space="0" w:color="auto"/>
          </w:divBdr>
        </w:div>
        <w:div w:id="1622028674">
          <w:marLeft w:val="0"/>
          <w:marRight w:val="0"/>
          <w:marTop w:val="0"/>
          <w:marBottom w:val="0"/>
          <w:divBdr>
            <w:top w:val="none" w:sz="0" w:space="0" w:color="auto"/>
            <w:left w:val="none" w:sz="0" w:space="0" w:color="auto"/>
            <w:bottom w:val="none" w:sz="0" w:space="0" w:color="auto"/>
            <w:right w:val="none" w:sz="0" w:space="0" w:color="auto"/>
          </w:divBdr>
        </w:div>
        <w:div w:id="1800949554">
          <w:marLeft w:val="0"/>
          <w:marRight w:val="0"/>
          <w:marTop w:val="0"/>
          <w:marBottom w:val="0"/>
          <w:divBdr>
            <w:top w:val="none" w:sz="0" w:space="0" w:color="auto"/>
            <w:left w:val="none" w:sz="0" w:space="0" w:color="auto"/>
            <w:bottom w:val="none" w:sz="0" w:space="0" w:color="auto"/>
            <w:right w:val="none" w:sz="0" w:space="0" w:color="auto"/>
          </w:divBdr>
        </w:div>
      </w:divsChild>
    </w:div>
    <w:div w:id="1097796731">
      <w:bodyDiv w:val="1"/>
      <w:marLeft w:val="0"/>
      <w:marRight w:val="0"/>
      <w:marTop w:val="0"/>
      <w:marBottom w:val="0"/>
      <w:divBdr>
        <w:top w:val="none" w:sz="0" w:space="0" w:color="auto"/>
        <w:left w:val="none" w:sz="0" w:space="0" w:color="auto"/>
        <w:bottom w:val="none" w:sz="0" w:space="0" w:color="auto"/>
        <w:right w:val="none" w:sz="0" w:space="0" w:color="auto"/>
      </w:divBdr>
      <w:divsChild>
        <w:div w:id="1303539027">
          <w:marLeft w:val="547"/>
          <w:marRight w:val="0"/>
          <w:marTop w:val="0"/>
          <w:marBottom w:val="0"/>
          <w:divBdr>
            <w:top w:val="none" w:sz="0" w:space="0" w:color="auto"/>
            <w:left w:val="none" w:sz="0" w:space="0" w:color="auto"/>
            <w:bottom w:val="none" w:sz="0" w:space="0" w:color="auto"/>
            <w:right w:val="none" w:sz="0" w:space="0" w:color="auto"/>
          </w:divBdr>
        </w:div>
      </w:divsChild>
    </w:div>
    <w:div w:id="1104155680">
      <w:bodyDiv w:val="1"/>
      <w:marLeft w:val="0"/>
      <w:marRight w:val="0"/>
      <w:marTop w:val="0"/>
      <w:marBottom w:val="0"/>
      <w:divBdr>
        <w:top w:val="none" w:sz="0" w:space="0" w:color="auto"/>
        <w:left w:val="none" w:sz="0" w:space="0" w:color="auto"/>
        <w:bottom w:val="none" w:sz="0" w:space="0" w:color="auto"/>
        <w:right w:val="none" w:sz="0" w:space="0" w:color="auto"/>
      </w:divBdr>
    </w:div>
    <w:div w:id="1107382775">
      <w:bodyDiv w:val="1"/>
      <w:marLeft w:val="0"/>
      <w:marRight w:val="0"/>
      <w:marTop w:val="0"/>
      <w:marBottom w:val="0"/>
      <w:divBdr>
        <w:top w:val="none" w:sz="0" w:space="0" w:color="auto"/>
        <w:left w:val="none" w:sz="0" w:space="0" w:color="auto"/>
        <w:bottom w:val="none" w:sz="0" w:space="0" w:color="auto"/>
        <w:right w:val="none" w:sz="0" w:space="0" w:color="auto"/>
      </w:divBdr>
      <w:divsChild>
        <w:div w:id="1665206137">
          <w:marLeft w:val="0"/>
          <w:marRight w:val="0"/>
          <w:marTop w:val="0"/>
          <w:marBottom w:val="0"/>
          <w:divBdr>
            <w:top w:val="none" w:sz="0" w:space="0" w:color="auto"/>
            <w:left w:val="none" w:sz="0" w:space="0" w:color="auto"/>
            <w:bottom w:val="none" w:sz="0" w:space="0" w:color="auto"/>
            <w:right w:val="none" w:sz="0" w:space="0" w:color="auto"/>
          </w:divBdr>
        </w:div>
      </w:divsChild>
    </w:div>
    <w:div w:id="1111125192">
      <w:bodyDiv w:val="1"/>
      <w:marLeft w:val="0"/>
      <w:marRight w:val="0"/>
      <w:marTop w:val="0"/>
      <w:marBottom w:val="0"/>
      <w:divBdr>
        <w:top w:val="none" w:sz="0" w:space="0" w:color="auto"/>
        <w:left w:val="none" w:sz="0" w:space="0" w:color="auto"/>
        <w:bottom w:val="none" w:sz="0" w:space="0" w:color="auto"/>
        <w:right w:val="none" w:sz="0" w:space="0" w:color="auto"/>
      </w:divBdr>
    </w:div>
    <w:div w:id="1112361215">
      <w:bodyDiv w:val="1"/>
      <w:marLeft w:val="0"/>
      <w:marRight w:val="0"/>
      <w:marTop w:val="0"/>
      <w:marBottom w:val="0"/>
      <w:divBdr>
        <w:top w:val="none" w:sz="0" w:space="0" w:color="auto"/>
        <w:left w:val="none" w:sz="0" w:space="0" w:color="auto"/>
        <w:bottom w:val="none" w:sz="0" w:space="0" w:color="auto"/>
        <w:right w:val="none" w:sz="0" w:space="0" w:color="auto"/>
      </w:divBdr>
      <w:divsChild>
        <w:div w:id="644286943">
          <w:marLeft w:val="0"/>
          <w:marRight w:val="0"/>
          <w:marTop w:val="0"/>
          <w:marBottom w:val="0"/>
          <w:divBdr>
            <w:top w:val="none" w:sz="0" w:space="0" w:color="auto"/>
            <w:left w:val="none" w:sz="0" w:space="0" w:color="auto"/>
            <w:bottom w:val="none" w:sz="0" w:space="0" w:color="auto"/>
            <w:right w:val="none" w:sz="0" w:space="0" w:color="auto"/>
          </w:divBdr>
        </w:div>
      </w:divsChild>
    </w:div>
    <w:div w:id="1120144754">
      <w:bodyDiv w:val="1"/>
      <w:marLeft w:val="0"/>
      <w:marRight w:val="0"/>
      <w:marTop w:val="0"/>
      <w:marBottom w:val="0"/>
      <w:divBdr>
        <w:top w:val="none" w:sz="0" w:space="0" w:color="auto"/>
        <w:left w:val="none" w:sz="0" w:space="0" w:color="auto"/>
        <w:bottom w:val="none" w:sz="0" w:space="0" w:color="auto"/>
        <w:right w:val="none" w:sz="0" w:space="0" w:color="auto"/>
      </w:divBdr>
    </w:div>
    <w:div w:id="1125126445">
      <w:bodyDiv w:val="1"/>
      <w:marLeft w:val="0"/>
      <w:marRight w:val="0"/>
      <w:marTop w:val="0"/>
      <w:marBottom w:val="0"/>
      <w:divBdr>
        <w:top w:val="none" w:sz="0" w:space="0" w:color="auto"/>
        <w:left w:val="none" w:sz="0" w:space="0" w:color="auto"/>
        <w:bottom w:val="none" w:sz="0" w:space="0" w:color="auto"/>
        <w:right w:val="none" w:sz="0" w:space="0" w:color="auto"/>
      </w:divBdr>
      <w:divsChild>
        <w:div w:id="88351298">
          <w:marLeft w:val="0"/>
          <w:marRight w:val="0"/>
          <w:marTop w:val="0"/>
          <w:marBottom w:val="0"/>
          <w:divBdr>
            <w:top w:val="none" w:sz="0" w:space="0" w:color="auto"/>
            <w:left w:val="none" w:sz="0" w:space="0" w:color="auto"/>
            <w:bottom w:val="none" w:sz="0" w:space="0" w:color="auto"/>
            <w:right w:val="none" w:sz="0" w:space="0" w:color="auto"/>
          </w:divBdr>
        </w:div>
        <w:div w:id="1044603058">
          <w:marLeft w:val="0"/>
          <w:marRight w:val="0"/>
          <w:marTop w:val="0"/>
          <w:marBottom w:val="0"/>
          <w:divBdr>
            <w:top w:val="none" w:sz="0" w:space="0" w:color="auto"/>
            <w:left w:val="none" w:sz="0" w:space="0" w:color="auto"/>
            <w:bottom w:val="none" w:sz="0" w:space="0" w:color="auto"/>
            <w:right w:val="none" w:sz="0" w:space="0" w:color="auto"/>
          </w:divBdr>
        </w:div>
        <w:div w:id="575869494">
          <w:marLeft w:val="0"/>
          <w:marRight w:val="0"/>
          <w:marTop w:val="0"/>
          <w:marBottom w:val="0"/>
          <w:divBdr>
            <w:top w:val="none" w:sz="0" w:space="0" w:color="auto"/>
            <w:left w:val="none" w:sz="0" w:space="0" w:color="auto"/>
            <w:bottom w:val="none" w:sz="0" w:space="0" w:color="auto"/>
            <w:right w:val="none" w:sz="0" w:space="0" w:color="auto"/>
          </w:divBdr>
        </w:div>
        <w:div w:id="590819392">
          <w:marLeft w:val="0"/>
          <w:marRight w:val="0"/>
          <w:marTop w:val="0"/>
          <w:marBottom w:val="0"/>
          <w:divBdr>
            <w:top w:val="none" w:sz="0" w:space="0" w:color="auto"/>
            <w:left w:val="none" w:sz="0" w:space="0" w:color="auto"/>
            <w:bottom w:val="none" w:sz="0" w:space="0" w:color="auto"/>
            <w:right w:val="none" w:sz="0" w:space="0" w:color="auto"/>
          </w:divBdr>
        </w:div>
        <w:div w:id="815993714">
          <w:marLeft w:val="0"/>
          <w:marRight w:val="0"/>
          <w:marTop w:val="0"/>
          <w:marBottom w:val="0"/>
          <w:divBdr>
            <w:top w:val="none" w:sz="0" w:space="0" w:color="auto"/>
            <w:left w:val="none" w:sz="0" w:space="0" w:color="auto"/>
            <w:bottom w:val="none" w:sz="0" w:space="0" w:color="auto"/>
            <w:right w:val="none" w:sz="0" w:space="0" w:color="auto"/>
          </w:divBdr>
        </w:div>
        <w:div w:id="2130664029">
          <w:marLeft w:val="0"/>
          <w:marRight w:val="0"/>
          <w:marTop w:val="0"/>
          <w:marBottom w:val="0"/>
          <w:divBdr>
            <w:top w:val="none" w:sz="0" w:space="0" w:color="auto"/>
            <w:left w:val="none" w:sz="0" w:space="0" w:color="auto"/>
            <w:bottom w:val="none" w:sz="0" w:space="0" w:color="auto"/>
            <w:right w:val="none" w:sz="0" w:space="0" w:color="auto"/>
          </w:divBdr>
        </w:div>
        <w:div w:id="1260485196">
          <w:marLeft w:val="0"/>
          <w:marRight w:val="0"/>
          <w:marTop w:val="0"/>
          <w:marBottom w:val="0"/>
          <w:divBdr>
            <w:top w:val="none" w:sz="0" w:space="0" w:color="auto"/>
            <w:left w:val="none" w:sz="0" w:space="0" w:color="auto"/>
            <w:bottom w:val="none" w:sz="0" w:space="0" w:color="auto"/>
            <w:right w:val="none" w:sz="0" w:space="0" w:color="auto"/>
          </w:divBdr>
        </w:div>
        <w:div w:id="1909726557">
          <w:marLeft w:val="0"/>
          <w:marRight w:val="0"/>
          <w:marTop w:val="0"/>
          <w:marBottom w:val="0"/>
          <w:divBdr>
            <w:top w:val="none" w:sz="0" w:space="0" w:color="auto"/>
            <w:left w:val="none" w:sz="0" w:space="0" w:color="auto"/>
            <w:bottom w:val="none" w:sz="0" w:space="0" w:color="auto"/>
            <w:right w:val="none" w:sz="0" w:space="0" w:color="auto"/>
          </w:divBdr>
        </w:div>
        <w:div w:id="20086692">
          <w:marLeft w:val="0"/>
          <w:marRight w:val="0"/>
          <w:marTop w:val="0"/>
          <w:marBottom w:val="0"/>
          <w:divBdr>
            <w:top w:val="none" w:sz="0" w:space="0" w:color="auto"/>
            <w:left w:val="none" w:sz="0" w:space="0" w:color="auto"/>
            <w:bottom w:val="none" w:sz="0" w:space="0" w:color="auto"/>
            <w:right w:val="none" w:sz="0" w:space="0" w:color="auto"/>
          </w:divBdr>
        </w:div>
        <w:div w:id="1458530823">
          <w:marLeft w:val="0"/>
          <w:marRight w:val="0"/>
          <w:marTop w:val="0"/>
          <w:marBottom w:val="0"/>
          <w:divBdr>
            <w:top w:val="none" w:sz="0" w:space="0" w:color="auto"/>
            <w:left w:val="none" w:sz="0" w:space="0" w:color="auto"/>
            <w:bottom w:val="none" w:sz="0" w:space="0" w:color="auto"/>
            <w:right w:val="none" w:sz="0" w:space="0" w:color="auto"/>
          </w:divBdr>
        </w:div>
        <w:div w:id="775251001">
          <w:marLeft w:val="0"/>
          <w:marRight w:val="0"/>
          <w:marTop w:val="0"/>
          <w:marBottom w:val="0"/>
          <w:divBdr>
            <w:top w:val="none" w:sz="0" w:space="0" w:color="auto"/>
            <w:left w:val="none" w:sz="0" w:space="0" w:color="auto"/>
            <w:bottom w:val="none" w:sz="0" w:space="0" w:color="auto"/>
            <w:right w:val="none" w:sz="0" w:space="0" w:color="auto"/>
          </w:divBdr>
        </w:div>
        <w:div w:id="1921329143">
          <w:marLeft w:val="0"/>
          <w:marRight w:val="0"/>
          <w:marTop w:val="0"/>
          <w:marBottom w:val="0"/>
          <w:divBdr>
            <w:top w:val="none" w:sz="0" w:space="0" w:color="auto"/>
            <w:left w:val="none" w:sz="0" w:space="0" w:color="auto"/>
            <w:bottom w:val="none" w:sz="0" w:space="0" w:color="auto"/>
            <w:right w:val="none" w:sz="0" w:space="0" w:color="auto"/>
          </w:divBdr>
        </w:div>
        <w:div w:id="845753558">
          <w:marLeft w:val="0"/>
          <w:marRight w:val="0"/>
          <w:marTop w:val="0"/>
          <w:marBottom w:val="0"/>
          <w:divBdr>
            <w:top w:val="none" w:sz="0" w:space="0" w:color="auto"/>
            <w:left w:val="none" w:sz="0" w:space="0" w:color="auto"/>
            <w:bottom w:val="none" w:sz="0" w:space="0" w:color="auto"/>
            <w:right w:val="none" w:sz="0" w:space="0" w:color="auto"/>
          </w:divBdr>
        </w:div>
        <w:div w:id="542442341">
          <w:marLeft w:val="0"/>
          <w:marRight w:val="0"/>
          <w:marTop w:val="0"/>
          <w:marBottom w:val="0"/>
          <w:divBdr>
            <w:top w:val="none" w:sz="0" w:space="0" w:color="auto"/>
            <w:left w:val="none" w:sz="0" w:space="0" w:color="auto"/>
            <w:bottom w:val="none" w:sz="0" w:space="0" w:color="auto"/>
            <w:right w:val="none" w:sz="0" w:space="0" w:color="auto"/>
          </w:divBdr>
        </w:div>
        <w:div w:id="1327051111">
          <w:marLeft w:val="0"/>
          <w:marRight w:val="0"/>
          <w:marTop w:val="0"/>
          <w:marBottom w:val="0"/>
          <w:divBdr>
            <w:top w:val="none" w:sz="0" w:space="0" w:color="auto"/>
            <w:left w:val="none" w:sz="0" w:space="0" w:color="auto"/>
            <w:bottom w:val="none" w:sz="0" w:space="0" w:color="auto"/>
            <w:right w:val="none" w:sz="0" w:space="0" w:color="auto"/>
          </w:divBdr>
        </w:div>
        <w:div w:id="1495952636">
          <w:marLeft w:val="0"/>
          <w:marRight w:val="0"/>
          <w:marTop w:val="0"/>
          <w:marBottom w:val="0"/>
          <w:divBdr>
            <w:top w:val="none" w:sz="0" w:space="0" w:color="auto"/>
            <w:left w:val="none" w:sz="0" w:space="0" w:color="auto"/>
            <w:bottom w:val="none" w:sz="0" w:space="0" w:color="auto"/>
            <w:right w:val="none" w:sz="0" w:space="0" w:color="auto"/>
          </w:divBdr>
        </w:div>
        <w:div w:id="475799762">
          <w:marLeft w:val="0"/>
          <w:marRight w:val="0"/>
          <w:marTop w:val="0"/>
          <w:marBottom w:val="0"/>
          <w:divBdr>
            <w:top w:val="none" w:sz="0" w:space="0" w:color="auto"/>
            <w:left w:val="none" w:sz="0" w:space="0" w:color="auto"/>
            <w:bottom w:val="none" w:sz="0" w:space="0" w:color="auto"/>
            <w:right w:val="none" w:sz="0" w:space="0" w:color="auto"/>
          </w:divBdr>
        </w:div>
        <w:div w:id="831599144">
          <w:marLeft w:val="0"/>
          <w:marRight w:val="0"/>
          <w:marTop w:val="0"/>
          <w:marBottom w:val="0"/>
          <w:divBdr>
            <w:top w:val="none" w:sz="0" w:space="0" w:color="auto"/>
            <w:left w:val="none" w:sz="0" w:space="0" w:color="auto"/>
            <w:bottom w:val="none" w:sz="0" w:space="0" w:color="auto"/>
            <w:right w:val="none" w:sz="0" w:space="0" w:color="auto"/>
          </w:divBdr>
        </w:div>
        <w:div w:id="1227455439">
          <w:marLeft w:val="0"/>
          <w:marRight w:val="0"/>
          <w:marTop w:val="0"/>
          <w:marBottom w:val="0"/>
          <w:divBdr>
            <w:top w:val="none" w:sz="0" w:space="0" w:color="auto"/>
            <w:left w:val="none" w:sz="0" w:space="0" w:color="auto"/>
            <w:bottom w:val="none" w:sz="0" w:space="0" w:color="auto"/>
            <w:right w:val="none" w:sz="0" w:space="0" w:color="auto"/>
          </w:divBdr>
        </w:div>
        <w:div w:id="1843232187">
          <w:marLeft w:val="0"/>
          <w:marRight w:val="0"/>
          <w:marTop w:val="0"/>
          <w:marBottom w:val="0"/>
          <w:divBdr>
            <w:top w:val="none" w:sz="0" w:space="0" w:color="auto"/>
            <w:left w:val="none" w:sz="0" w:space="0" w:color="auto"/>
            <w:bottom w:val="none" w:sz="0" w:space="0" w:color="auto"/>
            <w:right w:val="none" w:sz="0" w:space="0" w:color="auto"/>
          </w:divBdr>
        </w:div>
        <w:div w:id="271011059">
          <w:marLeft w:val="0"/>
          <w:marRight w:val="0"/>
          <w:marTop w:val="0"/>
          <w:marBottom w:val="0"/>
          <w:divBdr>
            <w:top w:val="none" w:sz="0" w:space="0" w:color="auto"/>
            <w:left w:val="none" w:sz="0" w:space="0" w:color="auto"/>
            <w:bottom w:val="none" w:sz="0" w:space="0" w:color="auto"/>
            <w:right w:val="none" w:sz="0" w:space="0" w:color="auto"/>
          </w:divBdr>
        </w:div>
        <w:div w:id="770703851">
          <w:marLeft w:val="0"/>
          <w:marRight w:val="0"/>
          <w:marTop w:val="0"/>
          <w:marBottom w:val="0"/>
          <w:divBdr>
            <w:top w:val="none" w:sz="0" w:space="0" w:color="auto"/>
            <w:left w:val="none" w:sz="0" w:space="0" w:color="auto"/>
            <w:bottom w:val="none" w:sz="0" w:space="0" w:color="auto"/>
            <w:right w:val="none" w:sz="0" w:space="0" w:color="auto"/>
          </w:divBdr>
        </w:div>
        <w:div w:id="605502961">
          <w:marLeft w:val="0"/>
          <w:marRight w:val="0"/>
          <w:marTop w:val="0"/>
          <w:marBottom w:val="0"/>
          <w:divBdr>
            <w:top w:val="none" w:sz="0" w:space="0" w:color="auto"/>
            <w:left w:val="none" w:sz="0" w:space="0" w:color="auto"/>
            <w:bottom w:val="none" w:sz="0" w:space="0" w:color="auto"/>
            <w:right w:val="none" w:sz="0" w:space="0" w:color="auto"/>
          </w:divBdr>
        </w:div>
        <w:div w:id="1519347227">
          <w:marLeft w:val="0"/>
          <w:marRight w:val="0"/>
          <w:marTop w:val="0"/>
          <w:marBottom w:val="0"/>
          <w:divBdr>
            <w:top w:val="none" w:sz="0" w:space="0" w:color="auto"/>
            <w:left w:val="none" w:sz="0" w:space="0" w:color="auto"/>
            <w:bottom w:val="none" w:sz="0" w:space="0" w:color="auto"/>
            <w:right w:val="none" w:sz="0" w:space="0" w:color="auto"/>
          </w:divBdr>
        </w:div>
        <w:div w:id="1139763038">
          <w:marLeft w:val="0"/>
          <w:marRight w:val="0"/>
          <w:marTop w:val="0"/>
          <w:marBottom w:val="0"/>
          <w:divBdr>
            <w:top w:val="none" w:sz="0" w:space="0" w:color="auto"/>
            <w:left w:val="none" w:sz="0" w:space="0" w:color="auto"/>
            <w:bottom w:val="none" w:sz="0" w:space="0" w:color="auto"/>
            <w:right w:val="none" w:sz="0" w:space="0" w:color="auto"/>
          </w:divBdr>
        </w:div>
        <w:div w:id="379865345">
          <w:marLeft w:val="0"/>
          <w:marRight w:val="0"/>
          <w:marTop w:val="0"/>
          <w:marBottom w:val="0"/>
          <w:divBdr>
            <w:top w:val="none" w:sz="0" w:space="0" w:color="auto"/>
            <w:left w:val="none" w:sz="0" w:space="0" w:color="auto"/>
            <w:bottom w:val="none" w:sz="0" w:space="0" w:color="auto"/>
            <w:right w:val="none" w:sz="0" w:space="0" w:color="auto"/>
          </w:divBdr>
        </w:div>
        <w:div w:id="973801806">
          <w:marLeft w:val="0"/>
          <w:marRight w:val="0"/>
          <w:marTop w:val="0"/>
          <w:marBottom w:val="0"/>
          <w:divBdr>
            <w:top w:val="none" w:sz="0" w:space="0" w:color="auto"/>
            <w:left w:val="none" w:sz="0" w:space="0" w:color="auto"/>
            <w:bottom w:val="none" w:sz="0" w:space="0" w:color="auto"/>
            <w:right w:val="none" w:sz="0" w:space="0" w:color="auto"/>
          </w:divBdr>
        </w:div>
        <w:div w:id="2035569820">
          <w:marLeft w:val="0"/>
          <w:marRight w:val="0"/>
          <w:marTop w:val="0"/>
          <w:marBottom w:val="0"/>
          <w:divBdr>
            <w:top w:val="none" w:sz="0" w:space="0" w:color="auto"/>
            <w:left w:val="none" w:sz="0" w:space="0" w:color="auto"/>
            <w:bottom w:val="none" w:sz="0" w:space="0" w:color="auto"/>
            <w:right w:val="none" w:sz="0" w:space="0" w:color="auto"/>
          </w:divBdr>
        </w:div>
        <w:div w:id="2040927479">
          <w:marLeft w:val="0"/>
          <w:marRight w:val="0"/>
          <w:marTop w:val="0"/>
          <w:marBottom w:val="0"/>
          <w:divBdr>
            <w:top w:val="none" w:sz="0" w:space="0" w:color="auto"/>
            <w:left w:val="none" w:sz="0" w:space="0" w:color="auto"/>
            <w:bottom w:val="none" w:sz="0" w:space="0" w:color="auto"/>
            <w:right w:val="none" w:sz="0" w:space="0" w:color="auto"/>
          </w:divBdr>
        </w:div>
        <w:div w:id="1263757203">
          <w:marLeft w:val="0"/>
          <w:marRight w:val="0"/>
          <w:marTop w:val="0"/>
          <w:marBottom w:val="0"/>
          <w:divBdr>
            <w:top w:val="none" w:sz="0" w:space="0" w:color="auto"/>
            <w:left w:val="none" w:sz="0" w:space="0" w:color="auto"/>
            <w:bottom w:val="none" w:sz="0" w:space="0" w:color="auto"/>
            <w:right w:val="none" w:sz="0" w:space="0" w:color="auto"/>
          </w:divBdr>
        </w:div>
        <w:div w:id="157041386">
          <w:marLeft w:val="0"/>
          <w:marRight w:val="0"/>
          <w:marTop w:val="0"/>
          <w:marBottom w:val="0"/>
          <w:divBdr>
            <w:top w:val="none" w:sz="0" w:space="0" w:color="auto"/>
            <w:left w:val="none" w:sz="0" w:space="0" w:color="auto"/>
            <w:bottom w:val="none" w:sz="0" w:space="0" w:color="auto"/>
            <w:right w:val="none" w:sz="0" w:space="0" w:color="auto"/>
          </w:divBdr>
        </w:div>
        <w:div w:id="677998950">
          <w:marLeft w:val="0"/>
          <w:marRight w:val="0"/>
          <w:marTop w:val="0"/>
          <w:marBottom w:val="0"/>
          <w:divBdr>
            <w:top w:val="none" w:sz="0" w:space="0" w:color="auto"/>
            <w:left w:val="none" w:sz="0" w:space="0" w:color="auto"/>
            <w:bottom w:val="none" w:sz="0" w:space="0" w:color="auto"/>
            <w:right w:val="none" w:sz="0" w:space="0" w:color="auto"/>
          </w:divBdr>
        </w:div>
        <w:div w:id="2055034273">
          <w:marLeft w:val="0"/>
          <w:marRight w:val="0"/>
          <w:marTop w:val="0"/>
          <w:marBottom w:val="0"/>
          <w:divBdr>
            <w:top w:val="none" w:sz="0" w:space="0" w:color="auto"/>
            <w:left w:val="none" w:sz="0" w:space="0" w:color="auto"/>
            <w:bottom w:val="none" w:sz="0" w:space="0" w:color="auto"/>
            <w:right w:val="none" w:sz="0" w:space="0" w:color="auto"/>
          </w:divBdr>
        </w:div>
        <w:div w:id="472526084">
          <w:marLeft w:val="0"/>
          <w:marRight w:val="0"/>
          <w:marTop w:val="0"/>
          <w:marBottom w:val="0"/>
          <w:divBdr>
            <w:top w:val="none" w:sz="0" w:space="0" w:color="auto"/>
            <w:left w:val="none" w:sz="0" w:space="0" w:color="auto"/>
            <w:bottom w:val="none" w:sz="0" w:space="0" w:color="auto"/>
            <w:right w:val="none" w:sz="0" w:space="0" w:color="auto"/>
          </w:divBdr>
        </w:div>
        <w:div w:id="1960136590">
          <w:marLeft w:val="0"/>
          <w:marRight w:val="0"/>
          <w:marTop w:val="0"/>
          <w:marBottom w:val="0"/>
          <w:divBdr>
            <w:top w:val="none" w:sz="0" w:space="0" w:color="auto"/>
            <w:left w:val="none" w:sz="0" w:space="0" w:color="auto"/>
            <w:bottom w:val="none" w:sz="0" w:space="0" w:color="auto"/>
            <w:right w:val="none" w:sz="0" w:space="0" w:color="auto"/>
          </w:divBdr>
        </w:div>
        <w:div w:id="574706121">
          <w:marLeft w:val="0"/>
          <w:marRight w:val="0"/>
          <w:marTop w:val="0"/>
          <w:marBottom w:val="0"/>
          <w:divBdr>
            <w:top w:val="none" w:sz="0" w:space="0" w:color="auto"/>
            <w:left w:val="none" w:sz="0" w:space="0" w:color="auto"/>
            <w:bottom w:val="none" w:sz="0" w:space="0" w:color="auto"/>
            <w:right w:val="none" w:sz="0" w:space="0" w:color="auto"/>
          </w:divBdr>
        </w:div>
        <w:div w:id="493187984">
          <w:marLeft w:val="0"/>
          <w:marRight w:val="0"/>
          <w:marTop w:val="0"/>
          <w:marBottom w:val="0"/>
          <w:divBdr>
            <w:top w:val="none" w:sz="0" w:space="0" w:color="auto"/>
            <w:left w:val="none" w:sz="0" w:space="0" w:color="auto"/>
            <w:bottom w:val="none" w:sz="0" w:space="0" w:color="auto"/>
            <w:right w:val="none" w:sz="0" w:space="0" w:color="auto"/>
          </w:divBdr>
        </w:div>
        <w:div w:id="2073768368">
          <w:marLeft w:val="0"/>
          <w:marRight w:val="0"/>
          <w:marTop w:val="0"/>
          <w:marBottom w:val="0"/>
          <w:divBdr>
            <w:top w:val="none" w:sz="0" w:space="0" w:color="auto"/>
            <w:left w:val="none" w:sz="0" w:space="0" w:color="auto"/>
            <w:bottom w:val="none" w:sz="0" w:space="0" w:color="auto"/>
            <w:right w:val="none" w:sz="0" w:space="0" w:color="auto"/>
          </w:divBdr>
        </w:div>
        <w:div w:id="1393117200">
          <w:marLeft w:val="0"/>
          <w:marRight w:val="0"/>
          <w:marTop w:val="0"/>
          <w:marBottom w:val="0"/>
          <w:divBdr>
            <w:top w:val="none" w:sz="0" w:space="0" w:color="auto"/>
            <w:left w:val="none" w:sz="0" w:space="0" w:color="auto"/>
            <w:bottom w:val="none" w:sz="0" w:space="0" w:color="auto"/>
            <w:right w:val="none" w:sz="0" w:space="0" w:color="auto"/>
          </w:divBdr>
        </w:div>
        <w:div w:id="997729860">
          <w:marLeft w:val="0"/>
          <w:marRight w:val="0"/>
          <w:marTop w:val="0"/>
          <w:marBottom w:val="0"/>
          <w:divBdr>
            <w:top w:val="none" w:sz="0" w:space="0" w:color="auto"/>
            <w:left w:val="none" w:sz="0" w:space="0" w:color="auto"/>
            <w:bottom w:val="none" w:sz="0" w:space="0" w:color="auto"/>
            <w:right w:val="none" w:sz="0" w:space="0" w:color="auto"/>
          </w:divBdr>
        </w:div>
        <w:div w:id="418907702">
          <w:marLeft w:val="0"/>
          <w:marRight w:val="0"/>
          <w:marTop w:val="0"/>
          <w:marBottom w:val="0"/>
          <w:divBdr>
            <w:top w:val="none" w:sz="0" w:space="0" w:color="auto"/>
            <w:left w:val="none" w:sz="0" w:space="0" w:color="auto"/>
            <w:bottom w:val="none" w:sz="0" w:space="0" w:color="auto"/>
            <w:right w:val="none" w:sz="0" w:space="0" w:color="auto"/>
          </w:divBdr>
        </w:div>
        <w:div w:id="1383676534">
          <w:marLeft w:val="0"/>
          <w:marRight w:val="0"/>
          <w:marTop w:val="0"/>
          <w:marBottom w:val="0"/>
          <w:divBdr>
            <w:top w:val="none" w:sz="0" w:space="0" w:color="auto"/>
            <w:left w:val="none" w:sz="0" w:space="0" w:color="auto"/>
            <w:bottom w:val="none" w:sz="0" w:space="0" w:color="auto"/>
            <w:right w:val="none" w:sz="0" w:space="0" w:color="auto"/>
          </w:divBdr>
        </w:div>
        <w:div w:id="1422989113">
          <w:marLeft w:val="0"/>
          <w:marRight w:val="0"/>
          <w:marTop w:val="0"/>
          <w:marBottom w:val="0"/>
          <w:divBdr>
            <w:top w:val="none" w:sz="0" w:space="0" w:color="auto"/>
            <w:left w:val="none" w:sz="0" w:space="0" w:color="auto"/>
            <w:bottom w:val="none" w:sz="0" w:space="0" w:color="auto"/>
            <w:right w:val="none" w:sz="0" w:space="0" w:color="auto"/>
          </w:divBdr>
        </w:div>
        <w:div w:id="2000305819">
          <w:marLeft w:val="0"/>
          <w:marRight w:val="0"/>
          <w:marTop w:val="0"/>
          <w:marBottom w:val="0"/>
          <w:divBdr>
            <w:top w:val="none" w:sz="0" w:space="0" w:color="auto"/>
            <w:left w:val="none" w:sz="0" w:space="0" w:color="auto"/>
            <w:bottom w:val="none" w:sz="0" w:space="0" w:color="auto"/>
            <w:right w:val="none" w:sz="0" w:space="0" w:color="auto"/>
          </w:divBdr>
        </w:div>
        <w:div w:id="1722633518">
          <w:marLeft w:val="0"/>
          <w:marRight w:val="0"/>
          <w:marTop w:val="0"/>
          <w:marBottom w:val="0"/>
          <w:divBdr>
            <w:top w:val="none" w:sz="0" w:space="0" w:color="auto"/>
            <w:left w:val="none" w:sz="0" w:space="0" w:color="auto"/>
            <w:bottom w:val="none" w:sz="0" w:space="0" w:color="auto"/>
            <w:right w:val="none" w:sz="0" w:space="0" w:color="auto"/>
          </w:divBdr>
        </w:div>
        <w:div w:id="147095126">
          <w:marLeft w:val="0"/>
          <w:marRight w:val="0"/>
          <w:marTop w:val="0"/>
          <w:marBottom w:val="0"/>
          <w:divBdr>
            <w:top w:val="none" w:sz="0" w:space="0" w:color="auto"/>
            <w:left w:val="none" w:sz="0" w:space="0" w:color="auto"/>
            <w:bottom w:val="none" w:sz="0" w:space="0" w:color="auto"/>
            <w:right w:val="none" w:sz="0" w:space="0" w:color="auto"/>
          </w:divBdr>
        </w:div>
        <w:div w:id="1272277650">
          <w:marLeft w:val="0"/>
          <w:marRight w:val="0"/>
          <w:marTop w:val="0"/>
          <w:marBottom w:val="0"/>
          <w:divBdr>
            <w:top w:val="none" w:sz="0" w:space="0" w:color="auto"/>
            <w:left w:val="none" w:sz="0" w:space="0" w:color="auto"/>
            <w:bottom w:val="none" w:sz="0" w:space="0" w:color="auto"/>
            <w:right w:val="none" w:sz="0" w:space="0" w:color="auto"/>
          </w:divBdr>
        </w:div>
        <w:div w:id="464204095">
          <w:marLeft w:val="0"/>
          <w:marRight w:val="0"/>
          <w:marTop w:val="0"/>
          <w:marBottom w:val="0"/>
          <w:divBdr>
            <w:top w:val="none" w:sz="0" w:space="0" w:color="auto"/>
            <w:left w:val="none" w:sz="0" w:space="0" w:color="auto"/>
            <w:bottom w:val="none" w:sz="0" w:space="0" w:color="auto"/>
            <w:right w:val="none" w:sz="0" w:space="0" w:color="auto"/>
          </w:divBdr>
        </w:div>
        <w:div w:id="1326935415">
          <w:marLeft w:val="0"/>
          <w:marRight w:val="0"/>
          <w:marTop w:val="0"/>
          <w:marBottom w:val="0"/>
          <w:divBdr>
            <w:top w:val="none" w:sz="0" w:space="0" w:color="auto"/>
            <w:left w:val="none" w:sz="0" w:space="0" w:color="auto"/>
            <w:bottom w:val="none" w:sz="0" w:space="0" w:color="auto"/>
            <w:right w:val="none" w:sz="0" w:space="0" w:color="auto"/>
          </w:divBdr>
        </w:div>
        <w:div w:id="602809624">
          <w:marLeft w:val="0"/>
          <w:marRight w:val="0"/>
          <w:marTop w:val="0"/>
          <w:marBottom w:val="0"/>
          <w:divBdr>
            <w:top w:val="none" w:sz="0" w:space="0" w:color="auto"/>
            <w:left w:val="none" w:sz="0" w:space="0" w:color="auto"/>
            <w:bottom w:val="none" w:sz="0" w:space="0" w:color="auto"/>
            <w:right w:val="none" w:sz="0" w:space="0" w:color="auto"/>
          </w:divBdr>
        </w:div>
        <w:div w:id="406222504">
          <w:marLeft w:val="0"/>
          <w:marRight w:val="0"/>
          <w:marTop w:val="0"/>
          <w:marBottom w:val="0"/>
          <w:divBdr>
            <w:top w:val="none" w:sz="0" w:space="0" w:color="auto"/>
            <w:left w:val="none" w:sz="0" w:space="0" w:color="auto"/>
            <w:bottom w:val="none" w:sz="0" w:space="0" w:color="auto"/>
            <w:right w:val="none" w:sz="0" w:space="0" w:color="auto"/>
          </w:divBdr>
        </w:div>
        <w:div w:id="814839816">
          <w:marLeft w:val="0"/>
          <w:marRight w:val="0"/>
          <w:marTop w:val="0"/>
          <w:marBottom w:val="0"/>
          <w:divBdr>
            <w:top w:val="none" w:sz="0" w:space="0" w:color="auto"/>
            <w:left w:val="none" w:sz="0" w:space="0" w:color="auto"/>
            <w:bottom w:val="none" w:sz="0" w:space="0" w:color="auto"/>
            <w:right w:val="none" w:sz="0" w:space="0" w:color="auto"/>
          </w:divBdr>
        </w:div>
        <w:div w:id="2130851243">
          <w:marLeft w:val="0"/>
          <w:marRight w:val="0"/>
          <w:marTop w:val="0"/>
          <w:marBottom w:val="0"/>
          <w:divBdr>
            <w:top w:val="none" w:sz="0" w:space="0" w:color="auto"/>
            <w:left w:val="none" w:sz="0" w:space="0" w:color="auto"/>
            <w:bottom w:val="none" w:sz="0" w:space="0" w:color="auto"/>
            <w:right w:val="none" w:sz="0" w:space="0" w:color="auto"/>
          </w:divBdr>
        </w:div>
        <w:div w:id="1761950510">
          <w:marLeft w:val="0"/>
          <w:marRight w:val="0"/>
          <w:marTop w:val="0"/>
          <w:marBottom w:val="0"/>
          <w:divBdr>
            <w:top w:val="none" w:sz="0" w:space="0" w:color="auto"/>
            <w:left w:val="none" w:sz="0" w:space="0" w:color="auto"/>
            <w:bottom w:val="none" w:sz="0" w:space="0" w:color="auto"/>
            <w:right w:val="none" w:sz="0" w:space="0" w:color="auto"/>
          </w:divBdr>
        </w:div>
        <w:div w:id="1536044695">
          <w:marLeft w:val="0"/>
          <w:marRight w:val="0"/>
          <w:marTop w:val="0"/>
          <w:marBottom w:val="0"/>
          <w:divBdr>
            <w:top w:val="none" w:sz="0" w:space="0" w:color="auto"/>
            <w:left w:val="none" w:sz="0" w:space="0" w:color="auto"/>
            <w:bottom w:val="none" w:sz="0" w:space="0" w:color="auto"/>
            <w:right w:val="none" w:sz="0" w:space="0" w:color="auto"/>
          </w:divBdr>
        </w:div>
        <w:div w:id="2129398375">
          <w:marLeft w:val="0"/>
          <w:marRight w:val="0"/>
          <w:marTop w:val="0"/>
          <w:marBottom w:val="0"/>
          <w:divBdr>
            <w:top w:val="none" w:sz="0" w:space="0" w:color="auto"/>
            <w:left w:val="none" w:sz="0" w:space="0" w:color="auto"/>
            <w:bottom w:val="none" w:sz="0" w:space="0" w:color="auto"/>
            <w:right w:val="none" w:sz="0" w:space="0" w:color="auto"/>
          </w:divBdr>
        </w:div>
        <w:div w:id="549415844">
          <w:marLeft w:val="0"/>
          <w:marRight w:val="0"/>
          <w:marTop w:val="0"/>
          <w:marBottom w:val="0"/>
          <w:divBdr>
            <w:top w:val="none" w:sz="0" w:space="0" w:color="auto"/>
            <w:left w:val="none" w:sz="0" w:space="0" w:color="auto"/>
            <w:bottom w:val="none" w:sz="0" w:space="0" w:color="auto"/>
            <w:right w:val="none" w:sz="0" w:space="0" w:color="auto"/>
          </w:divBdr>
        </w:div>
        <w:div w:id="583075758">
          <w:marLeft w:val="0"/>
          <w:marRight w:val="0"/>
          <w:marTop w:val="0"/>
          <w:marBottom w:val="0"/>
          <w:divBdr>
            <w:top w:val="none" w:sz="0" w:space="0" w:color="auto"/>
            <w:left w:val="none" w:sz="0" w:space="0" w:color="auto"/>
            <w:bottom w:val="none" w:sz="0" w:space="0" w:color="auto"/>
            <w:right w:val="none" w:sz="0" w:space="0" w:color="auto"/>
          </w:divBdr>
        </w:div>
        <w:div w:id="605231929">
          <w:marLeft w:val="0"/>
          <w:marRight w:val="0"/>
          <w:marTop w:val="0"/>
          <w:marBottom w:val="0"/>
          <w:divBdr>
            <w:top w:val="none" w:sz="0" w:space="0" w:color="auto"/>
            <w:left w:val="none" w:sz="0" w:space="0" w:color="auto"/>
            <w:bottom w:val="none" w:sz="0" w:space="0" w:color="auto"/>
            <w:right w:val="none" w:sz="0" w:space="0" w:color="auto"/>
          </w:divBdr>
        </w:div>
        <w:div w:id="1585261966">
          <w:marLeft w:val="0"/>
          <w:marRight w:val="0"/>
          <w:marTop w:val="0"/>
          <w:marBottom w:val="0"/>
          <w:divBdr>
            <w:top w:val="none" w:sz="0" w:space="0" w:color="auto"/>
            <w:left w:val="none" w:sz="0" w:space="0" w:color="auto"/>
            <w:bottom w:val="none" w:sz="0" w:space="0" w:color="auto"/>
            <w:right w:val="none" w:sz="0" w:space="0" w:color="auto"/>
          </w:divBdr>
        </w:div>
        <w:div w:id="954410158">
          <w:marLeft w:val="0"/>
          <w:marRight w:val="0"/>
          <w:marTop w:val="0"/>
          <w:marBottom w:val="0"/>
          <w:divBdr>
            <w:top w:val="none" w:sz="0" w:space="0" w:color="auto"/>
            <w:left w:val="none" w:sz="0" w:space="0" w:color="auto"/>
            <w:bottom w:val="none" w:sz="0" w:space="0" w:color="auto"/>
            <w:right w:val="none" w:sz="0" w:space="0" w:color="auto"/>
          </w:divBdr>
        </w:div>
        <w:div w:id="1148089235">
          <w:marLeft w:val="0"/>
          <w:marRight w:val="0"/>
          <w:marTop w:val="0"/>
          <w:marBottom w:val="0"/>
          <w:divBdr>
            <w:top w:val="none" w:sz="0" w:space="0" w:color="auto"/>
            <w:left w:val="none" w:sz="0" w:space="0" w:color="auto"/>
            <w:bottom w:val="none" w:sz="0" w:space="0" w:color="auto"/>
            <w:right w:val="none" w:sz="0" w:space="0" w:color="auto"/>
          </w:divBdr>
        </w:div>
        <w:div w:id="1759862900">
          <w:marLeft w:val="0"/>
          <w:marRight w:val="0"/>
          <w:marTop w:val="0"/>
          <w:marBottom w:val="0"/>
          <w:divBdr>
            <w:top w:val="none" w:sz="0" w:space="0" w:color="auto"/>
            <w:left w:val="none" w:sz="0" w:space="0" w:color="auto"/>
            <w:bottom w:val="none" w:sz="0" w:space="0" w:color="auto"/>
            <w:right w:val="none" w:sz="0" w:space="0" w:color="auto"/>
          </w:divBdr>
        </w:div>
        <w:div w:id="1766878504">
          <w:marLeft w:val="0"/>
          <w:marRight w:val="0"/>
          <w:marTop w:val="0"/>
          <w:marBottom w:val="0"/>
          <w:divBdr>
            <w:top w:val="none" w:sz="0" w:space="0" w:color="auto"/>
            <w:left w:val="none" w:sz="0" w:space="0" w:color="auto"/>
            <w:bottom w:val="none" w:sz="0" w:space="0" w:color="auto"/>
            <w:right w:val="none" w:sz="0" w:space="0" w:color="auto"/>
          </w:divBdr>
        </w:div>
        <w:div w:id="1049957407">
          <w:marLeft w:val="0"/>
          <w:marRight w:val="0"/>
          <w:marTop w:val="0"/>
          <w:marBottom w:val="0"/>
          <w:divBdr>
            <w:top w:val="none" w:sz="0" w:space="0" w:color="auto"/>
            <w:left w:val="none" w:sz="0" w:space="0" w:color="auto"/>
            <w:bottom w:val="none" w:sz="0" w:space="0" w:color="auto"/>
            <w:right w:val="none" w:sz="0" w:space="0" w:color="auto"/>
          </w:divBdr>
        </w:div>
        <w:div w:id="1793866223">
          <w:marLeft w:val="0"/>
          <w:marRight w:val="0"/>
          <w:marTop w:val="0"/>
          <w:marBottom w:val="0"/>
          <w:divBdr>
            <w:top w:val="none" w:sz="0" w:space="0" w:color="auto"/>
            <w:left w:val="none" w:sz="0" w:space="0" w:color="auto"/>
            <w:bottom w:val="none" w:sz="0" w:space="0" w:color="auto"/>
            <w:right w:val="none" w:sz="0" w:space="0" w:color="auto"/>
          </w:divBdr>
        </w:div>
        <w:div w:id="465511043">
          <w:marLeft w:val="0"/>
          <w:marRight w:val="0"/>
          <w:marTop w:val="0"/>
          <w:marBottom w:val="0"/>
          <w:divBdr>
            <w:top w:val="none" w:sz="0" w:space="0" w:color="auto"/>
            <w:left w:val="none" w:sz="0" w:space="0" w:color="auto"/>
            <w:bottom w:val="none" w:sz="0" w:space="0" w:color="auto"/>
            <w:right w:val="none" w:sz="0" w:space="0" w:color="auto"/>
          </w:divBdr>
        </w:div>
        <w:div w:id="36591185">
          <w:marLeft w:val="0"/>
          <w:marRight w:val="0"/>
          <w:marTop w:val="0"/>
          <w:marBottom w:val="0"/>
          <w:divBdr>
            <w:top w:val="none" w:sz="0" w:space="0" w:color="auto"/>
            <w:left w:val="none" w:sz="0" w:space="0" w:color="auto"/>
            <w:bottom w:val="none" w:sz="0" w:space="0" w:color="auto"/>
            <w:right w:val="none" w:sz="0" w:space="0" w:color="auto"/>
          </w:divBdr>
        </w:div>
        <w:div w:id="321588784">
          <w:marLeft w:val="0"/>
          <w:marRight w:val="0"/>
          <w:marTop w:val="0"/>
          <w:marBottom w:val="0"/>
          <w:divBdr>
            <w:top w:val="none" w:sz="0" w:space="0" w:color="auto"/>
            <w:left w:val="none" w:sz="0" w:space="0" w:color="auto"/>
            <w:bottom w:val="none" w:sz="0" w:space="0" w:color="auto"/>
            <w:right w:val="none" w:sz="0" w:space="0" w:color="auto"/>
          </w:divBdr>
        </w:div>
        <w:div w:id="1300303693">
          <w:marLeft w:val="0"/>
          <w:marRight w:val="0"/>
          <w:marTop w:val="0"/>
          <w:marBottom w:val="0"/>
          <w:divBdr>
            <w:top w:val="none" w:sz="0" w:space="0" w:color="auto"/>
            <w:left w:val="none" w:sz="0" w:space="0" w:color="auto"/>
            <w:bottom w:val="none" w:sz="0" w:space="0" w:color="auto"/>
            <w:right w:val="none" w:sz="0" w:space="0" w:color="auto"/>
          </w:divBdr>
        </w:div>
        <w:div w:id="440146554">
          <w:marLeft w:val="0"/>
          <w:marRight w:val="0"/>
          <w:marTop w:val="0"/>
          <w:marBottom w:val="0"/>
          <w:divBdr>
            <w:top w:val="none" w:sz="0" w:space="0" w:color="auto"/>
            <w:left w:val="none" w:sz="0" w:space="0" w:color="auto"/>
            <w:bottom w:val="none" w:sz="0" w:space="0" w:color="auto"/>
            <w:right w:val="none" w:sz="0" w:space="0" w:color="auto"/>
          </w:divBdr>
        </w:div>
        <w:div w:id="1349482658">
          <w:marLeft w:val="0"/>
          <w:marRight w:val="0"/>
          <w:marTop w:val="0"/>
          <w:marBottom w:val="0"/>
          <w:divBdr>
            <w:top w:val="none" w:sz="0" w:space="0" w:color="auto"/>
            <w:left w:val="none" w:sz="0" w:space="0" w:color="auto"/>
            <w:bottom w:val="none" w:sz="0" w:space="0" w:color="auto"/>
            <w:right w:val="none" w:sz="0" w:space="0" w:color="auto"/>
          </w:divBdr>
        </w:div>
        <w:div w:id="2012759125">
          <w:marLeft w:val="0"/>
          <w:marRight w:val="0"/>
          <w:marTop w:val="0"/>
          <w:marBottom w:val="0"/>
          <w:divBdr>
            <w:top w:val="none" w:sz="0" w:space="0" w:color="auto"/>
            <w:left w:val="none" w:sz="0" w:space="0" w:color="auto"/>
            <w:bottom w:val="none" w:sz="0" w:space="0" w:color="auto"/>
            <w:right w:val="none" w:sz="0" w:space="0" w:color="auto"/>
          </w:divBdr>
        </w:div>
        <w:div w:id="385299821">
          <w:marLeft w:val="0"/>
          <w:marRight w:val="0"/>
          <w:marTop w:val="0"/>
          <w:marBottom w:val="0"/>
          <w:divBdr>
            <w:top w:val="none" w:sz="0" w:space="0" w:color="auto"/>
            <w:left w:val="none" w:sz="0" w:space="0" w:color="auto"/>
            <w:bottom w:val="none" w:sz="0" w:space="0" w:color="auto"/>
            <w:right w:val="none" w:sz="0" w:space="0" w:color="auto"/>
          </w:divBdr>
        </w:div>
        <w:div w:id="554509533">
          <w:marLeft w:val="0"/>
          <w:marRight w:val="0"/>
          <w:marTop w:val="0"/>
          <w:marBottom w:val="0"/>
          <w:divBdr>
            <w:top w:val="none" w:sz="0" w:space="0" w:color="auto"/>
            <w:left w:val="none" w:sz="0" w:space="0" w:color="auto"/>
            <w:bottom w:val="none" w:sz="0" w:space="0" w:color="auto"/>
            <w:right w:val="none" w:sz="0" w:space="0" w:color="auto"/>
          </w:divBdr>
        </w:div>
        <w:div w:id="1260871384">
          <w:marLeft w:val="0"/>
          <w:marRight w:val="0"/>
          <w:marTop w:val="0"/>
          <w:marBottom w:val="0"/>
          <w:divBdr>
            <w:top w:val="none" w:sz="0" w:space="0" w:color="auto"/>
            <w:left w:val="none" w:sz="0" w:space="0" w:color="auto"/>
            <w:bottom w:val="none" w:sz="0" w:space="0" w:color="auto"/>
            <w:right w:val="none" w:sz="0" w:space="0" w:color="auto"/>
          </w:divBdr>
        </w:div>
        <w:div w:id="487944958">
          <w:marLeft w:val="0"/>
          <w:marRight w:val="0"/>
          <w:marTop w:val="0"/>
          <w:marBottom w:val="0"/>
          <w:divBdr>
            <w:top w:val="none" w:sz="0" w:space="0" w:color="auto"/>
            <w:left w:val="none" w:sz="0" w:space="0" w:color="auto"/>
            <w:bottom w:val="none" w:sz="0" w:space="0" w:color="auto"/>
            <w:right w:val="none" w:sz="0" w:space="0" w:color="auto"/>
          </w:divBdr>
        </w:div>
        <w:div w:id="374039165">
          <w:marLeft w:val="0"/>
          <w:marRight w:val="0"/>
          <w:marTop w:val="0"/>
          <w:marBottom w:val="0"/>
          <w:divBdr>
            <w:top w:val="none" w:sz="0" w:space="0" w:color="auto"/>
            <w:left w:val="none" w:sz="0" w:space="0" w:color="auto"/>
            <w:bottom w:val="none" w:sz="0" w:space="0" w:color="auto"/>
            <w:right w:val="none" w:sz="0" w:space="0" w:color="auto"/>
          </w:divBdr>
        </w:div>
        <w:div w:id="1898200348">
          <w:marLeft w:val="0"/>
          <w:marRight w:val="0"/>
          <w:marTop w:val="0"/>
          <w:marBottom w:val="0"/>
          <w:divBdr>
            <w:top w:val="none" w:sz="0" w:space="0" w:color="auto"/>
            <w:left w:val="none" w:sz="0" w:space="0" w:color="auto"/>
            <w:bottom w:val="none" w:sz="0" w:space="0" w:color="auto"/>
            <w:right w:val="none" w:sz="0" w:space="0" w:color="auto"/>
          </w:divBdr>
        </w:div>
        <w:div w:id="737753">
          <w:marLeft w:val="0"/>
          <w:marRight w:val="0"/>
          <w:marTop w:val="0"/>
          <w:marBottom w:val="0"/>
          <w:divBdr>
            <w:top w:val="none" w:sz="0" w:space="0" w:color="auto"/>
            <w:left w:val="none" w:sz="0" w:space="0" w:color="auto"/>
            <w:bottom w:val="none" w:sz="0" w:space="0" w:color="auto"/>
            <w:right w:val="none" w:sz="0" w:space="0" w:color="auto"/>
          </w:divBdr>
        </w:div>
        <w:div w:id="1133789366">
          <w:marLeft w:val="0"/>
          <w:marRight w:val="0"/>
          <w:marTop w:val="0"/>
          <w:marBottom w:val="0"/>
          <w:divBdr>
            <w:top w:val="none" w:sz="0" w:space="0" w:color="auto"/>
            <w:left w:val="none" w:sz="0" w:space="0" w:color="auto"/>
            <w:bottom w:val="none" w:sz="0" w:space="0" w:color="auto"/>
            <w:right w:val="none" w:sz="0" w:space="0" w:color="auto"/>
          </w:divBdr>
        </w:div>
        <w:div w:id="768966287">
          <w:marLeft w:val="0"/>
          <w:marRight w:val="0"/>
          <w:marTop w:val="0"/>
          <w:marBottom w:val="0"/>
          <w:divBdr>
            <w:top w:val="none" w:sz="0" w:space="0" w:color="auto"/>
            <w:left w:val="none" w:sz="0" w:space="0" w:color="auto"/>
            <w:bottom w:val="none" w:sz="0" w:space="0" w:color="auto"/>
            <w:right w:val="none" w:sz="0" w:space="0" w:color="auto"/>
          </w:divBdr>
        </w:div>
        <w:div w:id="1348215621">
          <w:marLeft w:val="0"/>
          <w:marRight w:val="0"/>
          <w:marTop w:val="0"/>
          <w:marBottom w:val="0"/>
          <w:divBdr>
            <w:top w:val="none" w:sz="0" w:space="0" w:color="auto"/>
            <w:left w:val="none" w:sz="0" w:space="0" w:color="auto"/>
            <w:bottom w:val="none" w:sz="0" w:space="0" w:color="auto"/>
            <w:right w:val="none" w:sz="0" w:space="0" w:color="auto"/>
          </w:divBdr>
        </w:div>
        <w:div w:id="761489066">
          <w:marLeft w:val="0"/>
          <w:marRight w:val="0"/>
          <w:marTop w:val="0"/>
          <w:marBottom w:val="0"/>
          <w:divBdr>
            <w:top w:val="none" w:sz="0" w:space="0" w:color="auto"/>
            <w:left w:val="none" w:sz="0" w:space="0" w:color="auto"/>
            <w:bottom w:val="none" w:sz="0" w:space="0" w:color="auto"/>
            <w:right w:val="none" w:sz="0" w:space="0" w:color="auto"/>
          </w:divBdr>
        </w:div>
        <w:div w:id="703746327">
          <w:marLeft w:val="0"/>
          <w:marRight w:val="0"/>
          <w:marTop w:val="0"/>
          <w:marBottom w:val="0"/>
          <w:divBdr>
            <w:top w:val="none" w:sz="0" w:space="0" w:color="auto"/>
            <w:left w:val="none" w:sz="0" w:space="0" w:color="auto"/>
            <w:bottom w:val="none" w:sz="0" w:space="0" w:color="auto"/>
            <w:right w:val="none" w:sz="0" w:space="0" w:color="auto"/>
          </w:divBdr>
        </w:div>
        <w:div w:id="1895265015">
          <w:marLeft w:val="0"/>
          <w:marRight w:val="0"/>
          <w:marTop w:val="0"/>
          <w:marBottom w:val="0"/>
          <w:divBdr>
            <w:top w:val="none" w:sz="0" w:space="0" w:color="auto"/>
            <w:left w:val="none" w:sz="0" w:space="0" w:color="auto"/>
            <w:bottom w:val="none" w:sz="0" w:space="0" w:color="auto"/>
            <w:right w:val="none" w:sz="0" w:space="0" w:color="auto"/>
          </w:divBdr>
        </w:div>
        <w:div w:id="527375156">
          <w:marLeft w:val="0"/>
          <w:marRight w:val="0"/>
          <w:marTop w:val="0"/>
          <w:marBottom w:val="0"/>
          <w:divBdr>
            <w:top w:val="none" w:sz="0" w:space="0" w:color="auto"/>
            <w:left w:val="none" w:sz="0" w:space="0" w:color="auto"/>
            <w:bottom w:val="none" w:sz="0" w:space="0" w:color="auto"/>
            <w:right w:val="none" w:sz="0" w:space="0" w:color="auto"/>
          </w:divBdr>
        </w:div>
        <w:div w:id="797646378">
          <w:marLeft w:val="0"/>
          <w:marRight w:val="0"/>
          <w:marTop w:val="0"/>
          <w:marBottom w:val="0"/>
          <w:divBdr>
            <w:top w:val="none" w:sz="0" w:space="0" w:color="auto"/>
            <w:left w:val="none" w:sz="0" w:space="0" w:color="auto"/>
            <w:bottom w:val="none" w:sz="0" w:space="0" w:color="auto"/>
            <w:right w:val="none" w:sz="0" w:space="0" w:color="auto"/>
          </w:divBdr>
        </w:div>
        <w:div w:id="843204024">
          <w:marLeft w:val="0"/>
          <w:marRight w:val="0"/>
          <w:marTop w:val="0"/>
          <w:marBottom w:val="0"/>
          <w:divBdr>
            <w:top w:val="none" w:sz="0" w:space="0" w:color="auto"/>
            <w:left w:val="none" w:sz="0" w:space="0" w:color="auto"/>
            <w:bottom w:val="none" w:sz="0" w:space="0" w:color="auto"/>
            <w:right w:val="none" w:sz="0" w:space="0" w:color="auto"/>
          </w:divBdr>
        </w:div>
        <w:div w:id="1286694368">
          <w:marLeft w:val="0"/>
          <w:marRight w:val="0"/>
          <w:marTop w:val="0"/>
          <w:marBottom w:val="0"/>
          <w:divBdr>
            <w:top w:val="none" w:sz="0" w:space="0" w:color="auto"/>
            <w:left w:val="none" w:sz="0" w:space="0" w:color="auto"/>
            <w:bottom w:val="none" w:sz="0" w:space="0" w:color="auto"/>
            <w:right w:val="none" w:sz="0" w:space="0" w:color="auto"/>
          </w:divBdr>
        </w:div>
        <w:div w:id="2017340128">
          <w:marLeft w:val="0"/>
          <w:marRight w:val="0"/>
          <w:marTop w:val="0"/>
          <w:marBottom w:val="0"/>
          <w:divBdr>
            <w:top w:val="none" w:sz="0" w:space="0" w:color="auto"/>
            <w:left w:val="none" w:sz="0" w:space="0" w:color="auto"/>
            <w:bottom w:val="none" w:sz="0" w:space="0" w:color="auto"/>
            <w:right w:val="none" w:sz="0" w:space="0" w:color="auto"/>
          </w:divBdr>
        </w:div>
        <w:div w:id="1525631214">
          <w:marLeft w:val="0"/>
          <w:marRight w:val="0"/>
          <w:marTop w:val="0"/>
          <w:marBottom w:val="0"/>
          <w:divBdr>
            <w:top w:val="none" w:sz="0" w:space="0" w:color="auto"/>
            <w:left w:val="none" w:sz="0" w:space="0" w:color="auto"/>
            <w:bottom w:val="none" w:sz="0" w:space="0" w:color="auto"/>
            <w:right w:val="none" w:sz="0" w:space="0" w:color="auto"/>
          </w:divBdr>
        </w:div>
        <w:div w:id="1768035875">
          <w:marLeft w:val="0"/>
          <w:marRight w:val="0"/>
          <w:marTop w:val="0"/>
          <w:marBottom w:val="0"/>
          <w:divBdr>
            <w:top w:val="none" w:sz="0" w:space="0" w:color="auto"/>
            <w:left w:val="none" w:sz="0" w:space="0" w:color="auto"/>
            <w:bottom w:val="none" w:sz="0" w:space="0" w:color="auto"/>
            <w:right w:val="none" w:sz="0" w:space="0" w:color="auto"/>
          </w:divBdr>
        </w:div>
        <w:div w:id="1156143499">
          <w:marLeft w:val="0"/>
          <w:marRight w:val="0"/>
          <w:marTop w:val="0"/>
          <w:marBottom w:val="0"/>
          <w:divBdr>
            <w:top w:val="none" w:sz="0" w:space="0" w:color="auto"/>
            <w:left w:val="none" w:sz="0" w:space="0" w:color="auto"/>
            <w:bottom w:val="none" w:sz="0" w:space="0" w:color="auto"/>
            <w:right w:val="none" w:sz="0" w:space="0" w:color="auto"/>
          </w:divBdr>
        </w:div>
        <w:div w:id="1509981271">
          <w:marLeft w:val="0"/>
          <w:marRight w:val="0"/>
          <w:marTop w:val="0"/>
          <w:marBottom w:val="0"/>
          <w:divBdr>
            <w:top w:val="none" w:sz="0" w:space="0" w:color="auto"/>
            <w:left w:val="none" w:sz="0" w:space="0" w:color="auto"/>
            <w:bottom w:val="none" w:sz="0" w:space="0" w:color="auto"/>
            <w:right w:val="none" w:sz="0" w:space="0" w:color="auto"/>
          </w:divBdr>
        </w:div>
        <w:div w:id="860705079">
          <w:marLeft w:val="0"/>
          <w:marRight w:val="0"/>
          <w:marTop w:val="0"/>
          <w:marBottom w:val="0"/>
          <w:divBdr>
            <w:top w:val="none" w:sz="0" w:space="0" w:color="auto"/>
            <w:left w:val="none" w:sz="0" w:space="0" w:color="auto"/>
            <w:bottom w:val="none" w:sz="0" w:space="0" w:color="auto"/>
            <w:right w:val="none" w:sz="0" w:space="0" w:color="auto"/>
          </w:divBdr>
        </w:div>
        <w:div w:id="1136921422">
          <w:marLeft w:val="0"/>
          <w:marRight w:val="0"/>
          <w:marTop w:val="0"/>
          <w:marBottom w:val="0"/>
          <w:divBdr>
            <w:top w:val="none" w:sz="0" w:space="0" w:color="auto"/>
            <w:left w:val="none" w:sz="0" w:space="0" w:color="auto"/>
            <w:bottom w:val="none" w:sz="0" w:space="0" w:color="auto"/>
            <w:right w:val="none" w:sz="0" w:space="0" w:color="auto"/>
          </w:divBdr>
        </w:div>
        <w:div w:id="1057123252">
          <w:marLeft w:val="0"/>
          <w:marRight w:val="0"/>
          <w:marTop w:val="0"/>
          <w:marBottom w:val="0"/>
          <w:divBdr>
            <w:top w:val="none" w:sz="0" w:space="0" w:color="auto"/>
            <w:left w:val="none" w:sz="0" w:space="0" w:color="auto"/>
            <w:bottom w:val="none" w:sz="0" w:space="0" w:color="auto"/>
            <w:right w:val="none" w:sz="0" w:space="0" w:color="auto"/>
          </w:divBdr>
        </w:div>
        <w:div w:id="2242634">
          <w:marLeft w:val="0"/>
          <w:marRight w:val="0"/>
          <w:marTop w:val="0"/>
          <w:marBottom w:val="0"/>
          <w:divBdr>
            <w:top w:val="none" w:sz="0" w:space="0" w:color="auto"/>
            <w:left w:val="none" w:sz="0" w:space="0" w:color="auto"/>
            <w:bottom w:val="none" w:sz="0" w:space="0" w:color="auto"/>
            <w:right w:val="none" w:sz="0" w:space="0" w:color="auto"/>
          </w:divBdr>
        </w:div>
        <w:div w:id="12078300">
          <w:marLeft w:val="0"/>
          <w:marRight w:val="0"/>
          <w:marTop w:val="0"/>
          <w:marBottom w:val="0"/>
          <w:divBdr>
            <w:top w:val="none" w:sz="0" w:space="0" w:color="auto"/>
            <w:left w:val="none" w:sz="0" w:space="0" w:color="auto"/>
            <w:bottom w:val="none" w:sz="0" w:space="0" w:color="auto"/>
            <w:right w:val="none" w:sz="0" w:space="0" w:color="auto"/>
          </w:divBdr>
        </w:div>
      </w:divsChild>
    </w:div>
    <w:div w:id="1130980070">
      <w:bodyDiv w:val="1"/>
      <w:marLeft w:val="0"/>
      <w:marRight w:val="0"/>
      <w:marTop w:val="0"/>
      <w:marBottom w:val="0"/>
      <w:divBdr>
        <w:top w:val="none" w:sz="0" w:space="0" w:color="auto"/>
        <w:left w:val="none" w:sz="0" w:space="0" w:color="auto"/>
        <w:bottom w:val="none" w:sz="0" w:space="0" w:color="auto"/>
        <w:right w:val="none" w:sz="0" w:space="0" w:color="auto"/>
      </w:divBdr>
      <w:divsChild>
        <w:div w:id="750586428">
          <w:marLeft w:val="0"/>
          <w:marRight w:val="0"/>
          <w:marTop w:val="0"/>
          <w:marBottom w:val="0"/>
          <w:divBdr>
            <w:top w:val="none" w:sz="0" w:space="0" w:color="auto"/>
            <w:left w:val="none" w:sz="0" w:space="0" w:color="auto"/>
            <w:bottom w:val="none" w:sz="0" w:space="0" w:color="auto"/>
            <w:right w:val="none" w:sz="0" w:space="0" w:color="auto"/>
          </w:divBdr>
        </w:div>
        <w:div w:id="905531587">
          <w:marLeft w:val="0"/>
          <w:marRight w:val="0"/>
          <w:marTop w:val="0"/>
          <w:marBottom w:val="0"/>
          <w:divBdr>
            <w:top w:val="none" w:sz="0" w:space="0" w:color="auto"/>
            <w:left w:val="none" w:sz="0" w:space="0" w:color="auto"/>
            <w:bottom w:val="none" w:sz="0" w:space="0" w:color="auto"/>
            <w:right w:val="none" w:sz="0" w:space="0" w:color="auto"/>
          </w:divBdr>
        </w:div>
        <w:div w:id="1932544914">
          <w:marLeft w:val="0"/>
          <w:marRight w:val="0"/>
          <w:marTop w:val="0"/>
          <w:marBottom w:val="0"/>
          <w:divBdr>
            <w:top w:val="none" w:sz="0" w:space="0" w:color="auto"/>
            <w:left w:val="none" w:sz="0" w:space="0" w:color="auto"/>
            <w:bottom w:val="none" w:sz="0" w:space="0" w:color="auto"/>
            <w:right w:val="none" w:sz="0" w:space="0" w:color="auto"/>
          </w:divBdr>
        </w:div>
      </w:divsChild>
    </w:div>
    <w:div w:id="1137334097">
      <w:bodyDiv w:val="1"/>
      <w:marLeft w:val="0"/>
      <w:marRight w:val="0"/>
      <w:marTop w:val="0"/>
      <w:marBottom w:val="0"/>
      <w:divBdr>
        <w:top w:val="none" w:sz="0" w:space="0" w:color="auto"/>
        <w:left w:val="none" w:sz="0" w:space="0" w:color="auto"/>
        <w:bottom w:val="none" w:sz="0" w:space="0" w:color="auto"/>
        <w:right w:val="none" w:sz="0" w:space="0" w:color="auto"/>
      </w:divBdr>
      <w:divsChild>
        <w:div w:id="128326916">
          <w:marLeft w:val="0"/>
          <w:marRight w:val="0"/>
          <w:marTop w:val="0"/>
          <w:marBottom w:val="0"/>
          <w:divBdr>
            <w:top w:val="none" w:sz="0" w:space="0" w:color="auto"/>
            <w:left w:val="none" w:sz="0" w:space="0" w:color="auto"/>
            <w:bottom w:val="none" w:sz="0" w:space="0" w:color="auto"/>
            <w:right w:val="none" w:sz="0" w:space="0" w:color="auto"/>
          </w:divBdr>
          <w:divsChild>
            <w:div w:id="1042369134">
              <w:marLeft w:val="0"/>
              <w:marRight w:val="0"/>
              <w:marTop w:val="435"/>
              <w:marBottom w:val="502"/>
              <w:divBdr>
                <w:top w:val="none" w:sz="0" w:space="0" w:color="auto"/>
                <w:left w:val="none" w:sz="0" w:space="0" w:color="auto"/>
                <w:bottom w:val="none" w:sz="0" w:space="0" w:color="auto"/>
                <w:right w:val="none" w:sz="0" w:space="0" w:color="auto"/>
              </w:divBdr>
              <w:divsChild>
                <w:div w:id="126893742">
                  <w:marLeft w:val="0"/>
                  <w:marRight w:val="0"/>
                  <w:marTop w:val="0"/>
                  <w:marBottom w:val="0"/>
                  <w:divBdr>
                    <w:top w:val="none" w:sz="0" w:space="0" w:color="auto"/>
                    <w:left w:val="none" w:sz="0" w:space="0" w:color="auto"/>
                    <w:bottom w:val="none" w:sz="0" w:space="0" w:color="auto"/>
                    <w:right w:val="none" w:sz="0" w:space="0" w:color="auto"/>
                  </w:divBdr>
                  <w:divsChild>
                    <w:div w:id="1384870703">
                      <w:marLeft w:val="0"/>
                      <w:marRight w:val="0"/>
                      <w:marTop w:val="0"/>
                      <w:marBottom w:val="0"/>
                      <w:divBdr>
                        <w:top w:val="none" w:sz="0" w:space="0" w:color="auto"/>
                        <w:left w:val="none" w:sz="0" w:space="0" w:color="auto"/>
                        <w:bottom w:val="none" w:sz="0" w:space="0" w:color="auto"/>
                        <w:right w:val="none" w:sz="0" w:space="0" w:color="auto"/>
                      </w:divBdr>
                      <w:divsChild>
                        <w:div w:id="1565330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291270">
      <w:bodyDiv w:val="1"/>
      <w:marLeft w:val="0"/>
      <w:marRight w:val="0"/>
      <w:marTop w:val="0"/>
      <w:marBottom w:val="0"/>
      <w:divBdr>
        <w:top w:val="none" w:sz="0" w:space="0" w:color="auto"/>
        <w:left w:val="none" w:sz="0" w:space="0" w:color="auto"/>
        <w:bottom w:val="none" w:sz="0" w:space="0" w:color="auto"/>
        <w:right w:val="none" w:sz="0" w:space="0" w:color="auto"/>
      </w:divBdr>
    </w:div>
    <w:div w:id="1158963171">
      <w:bodyDiv w:val="1"/>
      <w:marLeft w:val="0"/>
      <w:marRight w:val="0"/>
      <w:marTop w:val="0"/>
      <w:marBottom w:val="0"/>
      <w:divBdr>
        <w:top w:val="none" w:sz="0" w:space="0" w:color="auto"/>
        <w:left w:val="none" w:sz="0" w:space="0" w:color="auto"/>
        <w:bottom w:val="none" w:sz="0" w:space="0" w:color="auto"/>
        <w:right w:val="none" w:sz="0" w:space="0" w:color="auto"/>
      </w:divBdr>
    </w:div>
    <w:div w:id="1164977889">
      <w:bodyDiv w:val="1"/>
      <w:marLeft w:val="0"/>
      <w:marRight w:val="0"/>
      <w:marTop w:val="0"/>
      <w:marBottom w:val="0"/>
      <w:divBdr>
        <w:top w:val="none" w:sz="0" w:space="0" w:color="auto"/>
        <w:left w:val="none" w:sz="0" w:space="0" w:color="auto"/>
        <w:bottom w:val="none" w:sz="0" w:space="0" w:color="auto"/>
        <w:right w:val="none" w:sz="0" w:space="0" w:color="auto"/>
      </w:divBdr>
      <w:divsChild>
        <w:div w:id="1248883638">
          <w:marLeft w:val="547"/>
          <w:marRight w:val="0"/>
          <w:marTop w:val="0"/>
          <w:marBottom w:val="0"/>
          <w:divBdr>
            <w:top w:val="none" w:sz="0" w:space="0" w:color="auto"/>
            <w:left w:val="none" w:sz="0" w:space="0" w:color="auto"/>
            <w:bottom w:val="none" w:sz="0" w:space="0" w:color="auto"/>
            <w:right w:val="none" w:sz="0" w:space="0" w:color="auto"/>
          </w:divBdr>
        </w:div>
      </w:divsChild>
    </w:div>
    <w:div w:id="1166479859">
      <w:bodyDiv w:val="1"/>
      <w:marLeft w:val="0"/>
      <w:marRight w:val="0"/>
      <w:marTop w:val="0"/>
      <w:marBottom w:val="0"/>
      <w:divBdr>
        <w:top w:val="none" w:sz="0" w:space="0" w:color="auto"/>
        <w:left w:val="none" w:sz="0" w:space="0" w:color="auto"/>
        <w:bottom w:val="none" w:sz="0" w:space="0" w:color="auto"/>
        <w:right w:val="none" w:sz="0" w:space="0" w:color="auto"/>
      </w:divBdr>
    </w:div>
    <w:div w:id="1166507127">
      <w:bodyDiv w:val="1"/>
      <w:marLeft w:val="0"/>
      <w:marRight w:val="0"/>
      <w:marTop w:val="0"/>
      <w:marBottom w:val="0"/>
      <w:divBdr>
        <w:top w:val="none" w:sz="0" w:space="0" w:color="auto"/>
        <w:left w:val="none" w:sz="0" w:space="0" w:color="auto"/>
        <w:bottom w:val="none" w:sz="0" w:space="0" w:color="auto"/>
        <w:right w:val="none" w:sz="0" w:space="0" w:color="auto"/>
      </w:divBdr>
    </w:div>
    <w:div w:id="1171990743">
      <w:bodyDiv w:val="1"/>
      <w:marLeft w:val="0"/>
      <w:marRight w:val="0"/>
      <w:marTop w:val="0"/>
      <w:marBottom w:val="0"/>
      <w:divBdr>
        <w:top w:val="none" w:sz="0" w:space="0" w:color="auto"/>
        <w:left w:val="none" w:sz="0" w:space="0" w:color="auto"/>
        <w:bottom w:val="none" w:sz="0" w:space="0" w:color="auto"/>
        <w:right w:val="none" w:sz="0" w:space="0" w:color="auto"/>
      </w:divBdr>
    </w:div>
    <w:div w:id="1174760654">
      <w:bodyDiv w:val="1"/>
      <w:marLeft w:val="0"/>
      <w:marRight w:val="0"/>
      <w:marTop w:val="0"/>
      <w:marBottom w:val="0"/>
      <w:divBdr>
        <w:top w:val="none" w:sz="0" w:space="0" w:color="auto"/>
        <w:left w:val="none" w:sz="0" w:space="0" w:color="auto"/>
        <w:bottom w:val="none" w:sz="0" w:space="0" w:color="auto"/>
        <w:right w:val="none" w:sz="0" w:space="0" w:color="auto"/>
      </w:divBdr>
    </w:div>
    <w:div w:id="1177112127">
      <w:bodyDiv w:val="1"/>
      <w:marLeft w:val="0"/>
      <w:marRight w:val="0"/>
      <w:marTop w:val="0"/>
      <w:marBottom w:val="0"/>
      <w:divBdr>
        <w:top w:val="none" w:sz="0" w:space="0" w:color="auto"/>
        <w:left w:val="none" w:sz="0" w:space="0" w:color="auto"/>
        <w:bottom w:val="none" w:sz="0" w:space="0" w:color="auto"/>
        <w:right w:val="none" w:sz="0" w:space="0" w:color="auto"/>
      </w:divBdr>
      <w:divsChild>
        <w:div w:id="778336613">
          <w:marLeft w:val="0"/>
          <w:marRight w:val="0"/>
          <w:marTop w:val="0"/>
          <w:marBottom w:val="0"/>
          <w:divBdr>
            <w:top w:val="none" w:sz="0" w:space="0" w:color="auto"/>
            <w:left w:val="none" w:sz="0" w:space="0" w:color="auto"/>
            <w:bottom w:val="none" w:sz="0" w:space="0" w:color="auto"/>
            <w:right w:val="none" w:sz="0" w:space="0" w:color="auto"/>
          </w:divBdr>
        </w:div>
        <w:div w:id="976179351">
          <w:marLeft w:val="0"/>
          <w:marRight w:val="0"/>
          <w:marTop w:val="0"/>
          <w:marBottom w:val="0"/>
          <w:divBdr>
            <w:top w:val="none" w:sz="0" w:space="0" w:color="auto"/>
            <w:left w:val="none" w:sz="0" w:space="0" w:color="auto"/>
            <w:bottom w:val="none" w:sz="0" w:space="0" w:color="auto"/>
            <w:right w:val="none" w:sz="0" w:space="0" w:color="auto"/>
          </w:divBdr>
        </w:div>
        <w:div w:id="1589656276">
          <w:marLeft w:val="0"/>
          <w:marRight w:val="0"/>
          <w:marTop w:val="0"/>
          <w:marBottom w:val="0"/>
          <w:divBdr>
            <w:top w:val="none" w:sz="0" w:space="0" w:color="auto"/>
            <w:left w:val="none" w:sz="0" w:space="0" w:color="auto"/>
            <w:bottom w:val="none" w:sz="0" w:space="0" w:color="auto"/>
            <w:right w:val="none" w:sz="0" w:space="0" w:color="auto"/>
          </w:divBdr>
        </w:div>
        <w:div w:id="2039617332">
          <w:marLeft w:val="0"/>
          <w:marRight w:val="0"/>
          <w:marTop w:val="0"/>
          <w:marBottom w:val="0"/>
          <w:divBdr>
            <w:top w:val="none" w:sz="0" w:space="0" w:color="auto"/>
            <w:left w:val="none" w:sz="0" w:space="0" w:color="auto"/>
            <w:bottom w:val="none" w:sz="0" w:space="0" w:color="auto"/>
            <w:right w:val="none" w:sz="0" w:space="0" w:color="auto"/>
          </w:divBdr>
        </w:div>
      </w:divsChild>
    </w:div>
    <w:div w:id="1178928333">
      <w:bodyDiv w:val="1"/>
      <w:marLeft w:val="0"/>
      <w:marRight w:val="0"/>
      <w:marTop w:val="0"/>
      <w:marBottom w:val="0"/>
      <w:divBdr>
        <w:top w:val="none" w:sz="0" w:space="0" w:color="auto"/>
        <w:left w:val="none" w:sz="0" w:space="0" w:color="auto"/>
        <w:bottom w:val="none" w:sz="0" w:space="0" w:color="auto"/>
        <w:right w:val="none" w:sz="0" w:space="0" w:color="auto"/>
      </w:divBdr>
      <w:divsChild>
        <w:div w:id="634608311">
          <w:marLeft w:val="0"/>
          <w:marRight w:val="0"/>
          <w:marTop w:val="0"/>
          <w:marBottom w:val="0"/>
          <w:divBdr>
            <w:top w:val="none" w:sz="0" w:space="0" w:color="auto"/>
            <w:left w:val="none" w:sz="0" w:space="0" w:color="auto"/>
            <w:bottom w:val="none" w:sz="0" w:space="0" w:color="auto"/>
            <w:right w:val="none" w:sz="0" w:space="0" w:color="auto"/>
          </w:divBdr>
          <w:divsChild>
            <w:div w:id="323749019">
              <w:marLeft w:val="0"/>
              <w:marRight w:val="0"/>
              <w:marTop w:val="435"/>
              <w:marBottom w:val="502"/>
              <w:divBdr>
                <w:top w:val="none" w:sz="0" w:space="0" w:color="auto"/>
                <w:left w:val="none" w:sz="0" w:space="0" w:color="auto"/>
                <w:bottom w:val="none" w:sz="0" w:space="0" w:color="auto"/>
                <w:right w:val="none" w:sz="0" w:space="0" w:color="auto"/>
              </w:divBdr>
              <w:divsChild>
                <w:div w:id="1843735042">
                  <w:marLeft w:val="0"/>
                  <w:marRight w:val="0"/>
                  <w:marTop w:val="0"/>
                  <w:marBottom w:val="0"/>
                  <w:divBdr>
                    <w:top w:val="none" w:sz="0" w:space="0" w:color="auto"/>
                    <w:left w:val="none" w:sz="0" w:space="0" w:color="auto"/>
                    <w:bottom w:val="none" w:sz="0" w:space="0" w:color="auto"/>
                    <w:right w:val="none" w:sz="0" w:space="0" w:color="auto"/>
                  </w:divBdr>
                  <w:divsChild>
                    <w:div w:id="578251052">
                      <w:marLeft w:val="0"/>
                      <w:marRight w:val="0"/>
                      <w:marTop w:val="0"/>
                      <w:marBottom w:val="0"/>
                      <w:divBdr>
                        <w:top w:val="none" w:sz="0" w:space="0" w:color="auto"/>
                        <w:left w:val="none" w:sz="0" w:space="0" w:color="auto"/>
                        <w:bottom w:val="none" w:sz="0" w:space="0" w:color="auto"/>
                        <w:right w:val="none" w:sz="0" w:space="0" w:color="auto"/>
                      </w:divBdr>
                      <w:divsChild>
                        <w:div w:id="84524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7714203">
      <w:bodyDiv w:val="1"/>
      <w:marLeft w:val="0"/>
      <w:marRight w:val="0"/>
      <w:marTop w:val="0"/>
      <w:marBottom w:val="0"/>
      <w:divBdr>
        <w:top w:val="none" w:sz="0" w:space="0" w:color="auto"/>
        <w:left w:val="none" w:sz="0" w:space="0" w:color="auto"/>
        <w:bottom w:val="none" w:sz="0" w:space="0" w:color="auto"/>
        <w:right w:val="none" w:sz="0" w:space="0" w:color="auto"/>
      </w:divBdr>
    </w:div>
    <w:div w:id="1191600527">
      <w:bodyDiv w:val="1"/>
      <w:marLeft w:val="0"/>
      <w:marRight w:val="0"/>
      <w:marTop w:val="0"/>
      <w:marBottom w:val="0"/>
      <w:divBdr>
        <w:top w:val="none" w:sz="0" w:space="0" w:color="auto"/>
        <w:left w:val="none" w:sz="0" w:space="0" w:color="auto"/>
        <w:bottom w:val="none" w:sz="0" w:space="0" w:color="auto"/>
        <w:right w:val="none" w:sz="0" w:space="0" w:color="auto"/>
      </w:divBdr>
    </w:div>
    <w:div w:id="1193349654">
      <w:bodyDiv w:val="1"/>
      <w:marLeft w:val="0"/>
      <w:marRight w:val="0"/>
      <w:marTop w:val="0"/>
      <w:marBottom w:val="0"/>
      <w:divBdr>
        <w:top w:val="none" w:sz="0" w:space="0" w:color="auto"/>
        <w:left w:val="none" w:sz="0" w:space="0" w:color="auto"/>
        <w:bottom w:val="none" w:sz="0" w:space="0" w:color="auto"/>
        <w:right w:val="none" w:sz="0" w:space="0" w:color="auto"/>
      </w:divBdr>
    </w:div>
    <w:div w:id="1196970197">
      <w:bodyDiv w:val="1"/>
      <w:marLeft w:val="0"/>
      <w:marRight w:val="0"/>
      <w:marTop w:val="0"/>
      <w:marBottom w:val="0"/>
      <w:divBdr>
        <w:top w:val="none" w:sz="0" w:space="0" w:color="auto"/>
        <w:left w:val="none" w:sz="0" w:space="0" w:color="auto"/>
        <w:bottom w:val="none" w:sz="0" w:space="0" w:color="auto"/>
        <w:right w:val="none" w:sz="0" w:space="0" w:color="auto"/>
      </w:divBdr>
      <w:divsChild>
        <w:div w:id="672223500">
          <w:marLeft w:val="0"/>
          <w:marRight w:val="0"/>
          <w:marTop w:val="0"/>
          <w:marBottom w:val="0"/>
          <w:divBdr>
            <w:top w:val="none" w:sz="0" w:space="0" w:color="auto"/>
            <w:left w:val="none" w:sz="0" w:space="0" w:color="auto"/>
            <w:bottom w:val="none" w:sz="0" w:space="0" w:color="auto"/>
            <w:right w:val="none" w:sz="0" w:space="0" w:color="auto"/>
          </w:divBdr>
        </w:div>
        <w:div w:id="1713646793">
          <w:marLeft w:val="0"/>
          <w:marRight w:val="0"/>
          <w:marTop w:val="0"/>
          <w:marBottom w:val="0"/>
          <w:divBdr>
            <w:top w:val="none" w:sz="0" w:space="0" w:color="auto"/>
            <w:left w:val="none" w:sz="0" w:space="0" w:color="auto"/>
            <w:bottom w:val="none" w:sz="0" w:space="0" w:color="auto"/>
            <w:right w:val="none" w:sz="0" w:space="0" w:color="auto"/>
          </w:divBdr>
        </w:div>
      </w:divsChild>
    </w:div>
    <w:div w:id="1206067518">
      <w:bodyDiv w:val="1"/>
      <w:marLeft w:val="0"/>
      <w:marRight w:val="0"/>
      <w:marTop w:val="0"/>
      <w:marBottom w:val="0"/>
      <w:divBdr>
        <w:top w:val="none" w:sz="0" w:space="0" w:color="auto"/>
        <w:left w:val="none" w:sz="0" w:space="0" w:color="auto"/>
        <w:bottom w:val="none" w:sz="0" w:space="0" w:color="auto"/>
        <w:right w:val="none" w:sz="0" w:space="0" w:color="auto"/>
      </w:divBdr>
    </w:div>
    <w:div w:id="1209103319">
      <w:bodyDiv w:val="1"/>
      <w:marLeft w:val="0"/>
      <w:marRight w:val="0"/>
      <w:marTop w:val="0"/>
      <w:marBottom w:val="0"/>
      <w:divBdr>
        <w:top w:val="none" w:sz="0" w:space="0" w:color="auto"/>
        <w:left w:val="none" w:sz="0" w:space="0" w:color="auto"/>
        <w:bottom w:val="none" w:sz="0" w:space="0" w:color="auto"/>
        <w:right w:val="none" w:sz="0" w:space="0" w:color="auto"/>
      </w:divBdr>
    </w:div>
    <w:div w:id="1210722941">
      <w:bodyDiv w:val="1"/>
      <w:marLeft w:val="0"/>
      <w:marRight w:val="0"/>
      <w:marTop w:val="0"/>
      <w:marBottom w:val="0"/>
      <w:divBdr>
        <w:top w:val="none" w:sz="0" w:space="0" w:color="auto"/>
        <w:left w:val="none" w:sz="0" w:space="0" w:color="auto"/>
        <w:bottom w:val="none" w:sz="0" w:space="0" w:color="auto"/>
        <w:right w:val="none" w:sz="0" w:space="0" w:color="auto"/>
      </w:divBdr>
    </w:div>
    <w:div w:id="1216351169">
      <w:bodyDiv w:val="1"/>
      <w:marLeft w:val="0"/>
      <w:marRight w:val="0"/>
      <w:marTop w:val="0"/>
      <w:marBottom w:val="0"/>
      <w:divBdr>
        <w:top w:val="none" w:sz="0" w:space="0" w:color="auto"/>
        <w:left w:val="none" w:sz="0" w:space="0" w:color="auto"/>
        <w:bottom w:val="none" w:sz="0" w:space="0" w:color="auto"/>
        <w:right w:val="none" w:sz="0" w:space="0" w:color="auto"/>
      </w:divBdr>
    </w:div>
    <w:div w:id="1220820357">
      <w:bodyDiv w:val="1"/>
      <w:marLeft w:val="0"/>
      <w:marRight w:val="0"/>
      <w:marTop w:val="0"/>
      <w:marBottom w:val="0"/>
      <w:divBdr>
        <w:top w:val="none" w:sz="0" w:space="0" w:color="auto"/>
        <w:left w:val="none" w:sz="0" w:space="0" w:color="auto"/>
        <w:bottom w:val="none" w:sz="0" w:space="0" w:color="auto"/>
        <w:right w:val="none" w:sz="0" w:space="0" w:color="auto"/>
      </w:divBdr>
      <w:divsChild>
        <w:div w:id="1142968794">
          <w:marLeft w:val="1166"/>
          <w:marRight w:val="0"/>
          <w:marTop w:val="0"/>
          <w:marBottom w:val="0"/>
          <w:divBdr>
            <w:top w:val="none" w:sz="0" w:space="0" w:color="auto"/>
            <w:left w:val="none" w:sz="0" w:space="0" w:color="auto"/>
            <w:bottom w:val="none" w:sz="0" w:space="0" w:color="auto"/>
            <w:right w:val="none" w:sz="0" w:space="0" w:color="auto"/>
          </w:divBdr>
        </w:div>
      </w:divsChild>
    </w:div>
    <w:div w:id="1221939753">
      <w:bodyDiv w:val="1"/>
      <w:marLeft w:val="0"/>
      <w:marRight w:val="0"/>
      <w:marTop w:val="0"/>
      <w:marBottom w:val="0"/>
      <w:divBdr>
        <w:top w:val="none" w:sz="0" w:space="0" w:color="auto"/>
        <w:left w:val="none" w:sz="0" w:space="0" w:color="auto"/>
        <w:bottom w:val="none" w:sz="0" w:space="0" w:color="auto"/>
        <w:right w:val="none" w:sz="0" w:space="0" w:color="auto"/>
      </w:divBdr>
    </w:div>
    <w:div w:id="1222130356">
      <w:bodyDiv w:val="1"/>
      <w:marLeft w:val="0"/>
      <w:marRight w:val="0"/>
      <w:marTop w:val="0"/>
      <w:marBottom w:val="0"/>
      <w:divBdr>
        <w:top w:val="none" w:sz="0" w:space="0" w:color="auto"/>
        <w:left w:val="none" w:sz="0" w:space="0" w:color="auto"/>
        <w:bottom w:val="none" w:sz="0" w:space="0" w:color="auto"/>
        <w:right w:val="none" w:sz="0" w:space="0" w:color="auto"/>
      </w:divBdr>
    </w:div>
    <w:div w:id="1225213168">
      <w:bodyDiv w:val="1"/>
      <w:marLeft w:val="0"/>
      <w:marRight w:val="0"/>
      <w:marTop w:val="0"/>
      <w:marBottom w:val="0"/>
      <w:divBdr>
        <w:top w:val="none" w:sz="0" w:space="0" w:color="auto"/>
        <w:left w:val="none" w:sz="0" w:space="0" w:color="auto"/>
        <w:bottom w:val="none" w:sz="0" w:space="0" w:color="auto"/>
        <w:right w:val="none" w:sz="0" w:space="0" w:color="auto"/>
      </w:divBdr>
      <w:divsChild>
        <w:div w:id="1471943573">
          <w:marLeft w:val="547"/>
          <w:marRight w:val="0"/>
          <w:marTop w:val="0"/>
          <w:marBottom w:val="0"/>
          <w:divBdr>
            <w:top w:val="none" w:sz="0" w:space="0" w:color="auto"/>
            <w:left w:val="none" w:sz="0" w:space="0" w:color="auto"/>
            <w:bottom w:val="none" w:sz="0" w:space="0" w:color="auto"/>
            <w:right w:val="none" w:sz="0" w:space="0" w:color="auto"/>
          </w:divBdr>
        </w:div>
      </w:divsChild>
    </w:div>
    <w:div w:id="1235118252">
      <w:bodyDiv w:val="1"/>
      <w:marLeft w:val="0"/>
      <w:marRight w:val="0"/>
      <w:marTop w:val="0"/>
      <w:marBottom w:val="0"/>
      <w:divBdr>
        <w:top w:val="none" w:sz="0" w:space="0" w:color="auto"/>
        <w:left w:val="none" w:sz="0" w:space="0" w:color="auto"/>
        <w:bottom w:val="none" w:sz="0" w:space="0" w:color="auto"/>
        <w:right w:val="none" w:sz="0" w:space="0" w:color="auto"/>
      </w:divBdr>
    </w:div>
    <w:div w:id="1237135112">
      <w:bodyDiv w:val="1"/>
      <w:marLeft w:val="0"/>
      <w:marRight w:val="0"/>
      <w:marTop w:val="0"/>
      <w:marBottom w:val="0"/>
      <w:divBdr>
        <w:top w:val="none" w:sz="0" w:space="0" w:color="auto"/>
        <w:left w:val="none" w:sz="0" w:space="0" w:color="auto"/>
        <w:bottom w:val="none" w:sz="0" w:space="0" w:color="auto"/>
        <w:right w:val="none" w:sz="0" w:space="0" w:color="auto"/>
      </w:divBdr>
    </w:div>
    <w:div w:id="1252854866">
      <w:bodyDiv w:val="1"/>
      <w:marLeft w:val="0"/>
      <w:marRight w:val="0"/>
      <w:marTop w:val="0"/>
      <w:marBottom w:val="0"/>
      <w:divBdr>
        <w:top w:val="none" w:sz="0" w:space="0" w:color="auto"/>
        <w:left w:val="none" w:sz="0" w:space="0" w:color="auto"/>
        <w:bottom w:val="none" w:sz="0" w:space="0" w:color="auto"/>
        <w:right w:val="none" w:sz="0" w:space="0" w:color="auto"/>
      </w:divBdr>
      <w:divsChild>
        <w:div w:id="1614751282">
          <w:marLeft w:val="547"/>
          <w:marRight w:val="0"/>
          <w:marTop w:val="0"/>
          <w:marBottom w:val="0"/>
          <w:divBdr>
            <w:top w:val="none" w:sz="0" w:space="0" w:color="auto"/>
            <w:left w:val="none" w:sz="0" w:space="0" w:color="auto"/>
            <w:bottom w:val="none" w:sz="0" w:space="0" w:color="auto"/>
            <w:right w:val="none" w:sz="0" w:space="0" w:color="auto"/>
          </w:divBdr>
        </w:div>
        <w:div w:id="1246915715">
          <w:marLeft w:val="547"/>
          <w:marRight w:val="0"/>
          <w:marTop w:val="0"/>
          <w:marBottom w:val="0"/>
          <w:divBdr>
            <w:top w:val="none" w:sz="0" w:space="0" w:color="auto"/>
            <w:left w:val="none" w:sz="0" w:space="0" w:color="auto"/>
            <w:bottom w:val="none" w:sz="0" w:space="0" w:color="auto"/>
            <w:right w:val="none" w:sz="0" w:space="0" w:color="auto"/>
          </w:divBdr>
        </w:div>
        <w:div w:id="1143350677">
          <w:marLeft w:val="547"/>
          <w:marRight w:val="0"/>
          <w:marTop w:val="0"/>
          <w:marBottom w:val="0"/>
          <w:divBdr>
            <w:top w:val="none" w:sz="0" w:space="0" w:color="auto"/>
            <w:left w:val="none" w:sz="0" w:space="0" w:color="auto"/>
            <w:bottom w:val="none" w:sz="0" w:space="0" w:color="auto"/>
            <w:right w:val="none" w:sz="0" w:space="0" w:color="auto"/>
          </w:divBdr>
        </w:div>
      </w:divsChild>
    </w:div>
    <w:div w:id="1254899921">
      <w:bodyDiv w:val="1"/>
      <w:marLeft w:val="0"/>
      <w:marRight w:val="0"/>
      <w:marTop w:val="0"/>
      <w:marBottom w:val="0"/>
      <w:divBdr>
        <w:top w:val="none" w:sz="0" w:space="0" w:color="auto"/>
        <w:left w:val="none" w:sz="0" w:space="0" w:color="auto"/>
        <w:bottom w:val="none" w:sz="0" w:space="0" w:color="auto"/>
        <w:right w:val="none" w:sz="0" w:space="0" w:color="auto"/>
      </w:divBdr>
    </w:div>
    <w:div w:id="1256287059">
      <w:bodyDiv w:val="1"/>
      <w:marLeft w:val="0"/>
      <w:marRight w:val="0"/>
      <w:marTop w:val="0"/>
      <w:marBottom w:val="0"/>
      <w:divBdr>
        <w:top w:val="none" w:sz="0" w:space="0" w:color="auto"/>
        <w:left w:val="none" w:sz="0" w:space="0" w:color="auto"/>
        <w:bottom w:val="none" w:sz="0" w:space="0" w:color="auto"/>
        <w:right w:val="none" w:sz="0" w:space="0" w:color="auto"/>
      </w:divBdr>
    </w:div>
    <w:div w:id="1258825810">
      <w:bodyDiv w:val="1"/>
      <w:marLeft w:val="0"/>
      <w:marRight w:val="0"/>
      <w:marTop w:val="0"/>
      <w:marBottom w:val="0"/>
      <w:divBdr>
        <w:top w:val="none" w:sz="0" w:space="0" w:color="auto"/>
        <w:left w:val="none" w:sz="0" w:space="0" w:color="auto"/>
        <w:bottom w:val="none" w:sz="0" w:space="0" w:color="auto"/>
        <w:right w:val="none" w:sz="0" w:space="0" w:color="auto"/>
      </w:divBdr>
      <w:divsChild>
        <w:div w:id="10306203">
          <w:marLeft w:val="0"/>
          <w:marRight w:val="0"/>
          <w:marTop w:val="0"/>
          <w:marBottom w:val="0"/>
          <w:divBdr>
            <w:top w:val="none" w:sz="0" w:space="0" w:color="auto"/>
            <w:left w:val="none" w:sz="0" w:space="0" w:color="auto"/>
            <w:bottom w:val="none" w:sz="0" w:space="0" w:color="auto"/>
            <w:right w:val="none" w:sz="0" w:space="0" w:color="auto"/>
          </w:divBdr>
        </w:div>
        <w:div w:id="74398895">
          <w:marLeft w:val="0"/>
          <w:marRight w:val="0"/>
          <w:marTop w:val="0"/>
          <w:marBottom w:val="0"/>
          <w:divBdr>
            <w:top w:val="none" w:sz="0" w:space="0" w:color="auto"/>
            <w:left w:val="none" w:sz="0" w:space="0" w:color="auto"/>
            <w:bottom w:val="none" w:sz="0" w:space="0" w:color="auto"/>
            <w:right w:val="none" w:sz="0" w:space="0" w:color="auto"/>
          </w:divBdr>
        </w:div>
        <w:div w:id="103621596">
          <w:marLeft w:val="0"/>
          <w:marRight w:val="0"/>
          <w:marTop w:val="0"/>
          <w:marBottom w:val="0"/>
          <w:divBdr>
            <w:top w:val="none" w:sz="0" w:space="0" w:color="auto"/>
            <w:left w:val="none" w:sz="0" w:space="0" w:color="auto"/>
            <w:bottom w:val="none" w:sz="0" w:space="0" w:color="auto"/>
            <w:right w:val="none" w:sz="0" w:space="0" w:color="auto"/>
          </w:divBdr>
        </w:div>
        <w:div w:id="116458405">
          <w:marLeft w:val="0"/>
          <w:marRight w:val="0"/>
          <w:marTop w:val="0"/>
          <w:marBottom w:val="0"/>
          <w:divBdr>
            <w:top w:val="none" w:sz="0" w:space="0" w:color="auto"/>
            <w:left w:val="none" w:sz="0" w:space="0" w:color="auto"/>
            <w:bottom w:val="none" w:sz="0" w:space="0" w:color="auto"/>
            <w:right w:val="none" w:sz="0" w:space="0" w:color="auto"/>
          </w:divBdr>
        </w:div>
        <w:div w:id="173570815">
          <w:marLeft w:val="0"/>
          <w:marRight w:val="0"/>
          <w:marTop w:val="0"/>
          <w:marBottom w:val="0"/>
          <w:divBdr>
            <w:top w:val="none" w:sz="0" w:space="0" w:color="auto"/>
            <w:left w:val="none" w:sz="0" w:space="0" w:color="auto"/>
            <w:bottom w:val="none" w:sz="0" w:space="0" w:color="auto"/>
            <w:right w:val="none" w:sz="0" w:space="0" w:color="auto"/>
          </w:divBdr>
        </w:div>
        <w:div w:id="300427460">
          <w:marLeft w:val="0"/>
          <w:marRight w:val="0"/>
          <w:marTop w:val="0"/>
          <w:marBottom w:val="0"/>
          <w:divBdr>
            <w:top w:val="none" w:sz="0" w:space="0" w:color="auto"/>
            <w:left w:val="none" w:sz="0" w:space="0" w:color="auto"/>
            <w:bottom w:val="none" w:sz="0" w:space="0" w:color="auto"/>
            <w:right w:val="none" w:sz="0" w:space="0" w:color="auto"/>
          </w:divBdr>
        </w:div>
        <w:div w:id="320474047">
          <w:marLeft w:val="0"/>
          <w:marRight w:val="0"/>
          <w:marTop w:val="0"/>
          <w:marBottom w:val="0"/>
          <w:divBdr>
            <w:top w:val="none" w:sz="0" w:space="0" w:color="auto"/>
            <w:left w:val="none" w:sz="0" w:space="0" w:color="auto"/>
            <w:bottom w:val="none" w:sz="0" w:space="0" w:color="auto"/>
            <w:right w:val="none" w:sz="0" w:space="0" w:color="auto"/>
          </w:divBdr>
        </w:div>
        <w:div w:id="335696250">
          <w:marLeft w:val="0"/>
          <w:marRight w:val="0"/>
          <w:marTop w:val="0"/>
          <w:marBottom w:val="0"/>
          <w:divBdr>
            <w:top w:val="none" w:sz="0" w:space="0" w:color="auto"/>
            <w:left w:val="none" w:sz="0" w:space="0" w:color="auto"/>
            <w:bottom w:val="none" w:sz="0" w:space="0" w:color="auto"/>
            <w:right w:val="none" w:sz="0" w:space="0" w:color="auto"/>
          </w:divBdr>
        </w:div>
        <w:div w:id="341587455">
          <w:marLeft w:val="0"/>
          <w:marRight w:val="0"/>
          <w:marTop w:val="0"/>
          <w:marBottom w:val="0"/>
          <w:divBdr>
            <w:top w:val="none" w:sz="0" w:space="0" w:color="auto"/>
            <w:left w:val="none" w:sz="0" w:space="0" w:color="auto"/>
            <w:bottom w:val="none" w:sz="0" w:space="0" w:color="auto"/>
            <w:right w:val="none" w:sz="0" w:space="0" w:color="auto"/>
          </w:divBdr>
        </w:div>
        <w:div w:id="375742684">
          <w:marLeft w:val="0"/>
          <w:marRight w:val="0"/>
          <w:marTop w:val="0"/>
          <w:marBottom w:val="0"/>
          <w:divBdr>
            <w:top w:val="none" w:sz="0" w:space="0" w:color="auto"/>
            <w:left w:val="none" w:sz="0" w:space="0" w:color="auto"/>
            <w:bottom w:val="none" w:sz="0" w:space="0" w:color="auto"/>
            <w:right w:val="none" w:sz="0" w:space="0" w:color="auto"/>
          </w:divBdr>
        </w:div>
        <w:div w:id="434717378">
          <w:marLeft w:val="0"/>
          <w:marRight w:val="0"/>
          <w:marTop w:val="0"/>
          <w:marBottom w:val="0"/>
          <w:divBdr>
            <w:top w:val="none" w:sz="0" w:space="0" w:color="auto"/>
            <w:left w:val="none" w:sz="0" w:space="0" w:color="auto"/>
            <w:bottom w:val="none" w:sz="0" w:space="0" w:color="auto"/>
            <w:right w:val="none" w:sz="0" w:space="0" w:color="auto"/>
          </w:divBdr>
        </w:div>
        <w:div w:id="449400279">
          <w:marLeft w:val="0"/>
          <w:marRight w:val="0"/>
          <w:marTop w:val="0"/>
          <w:marBottom w:val="0"/>
          <w:divBdr>
            <w:top w:val="none" w:sz="0" w:space="0" w:color="auto"/>
            <w:left w:val="none" w:sz="0" w:space="0" w:color="auto"/>
            <w:bottom w:val="none" w:sz="0" w:space="0" w:color="auto"/>
            <w:right w:val="none" w:sz="0" w:space="0" w:color="auto"/>
          </w:divBdr>
        </w:div>
        <w:div w:id="486243581">
          <w:marLeft w:val="0"/>
          <w:marRight w:val="0"/>
          <w:marTop w:val="0"/>
          <w:marBottom w:val="0"/>
          <w:divBdr>
            <w:top w:val="none" w:sz="0" w:space="0" w:color="auto"/>
            <w:left w:val="none" w:sz="0" w:space="0" w:color="auto"/>
            <w:bottom w:val="none" w:sz="0" w:space="0" w:color="auto"/>
            <w:right w:val="none" w:sz="0" w:space="0" w:color="auto"/>
          </w:divBdr>
        </w:div>
        <w:div w:id="515851239">
          <w:marLeft w:val="0"/>
          <w:marRight w:val="0"/>
          <w:marTop w:val="0"/>
          <w:marBottom w:val="0"/>
          <w:divBdr>
            <w:top w:val="none" w:sz="0" w:space="0" w:color="auto"/>
            <w:left w:val="none" w:sz="0" w:space="0" w:color="auto"/>
            <w:bottom w:val="none" w:sz="0" w:space="0" w:color="auto"/>
            <w:right w:val="none" w:sz="0" w:space="0" w:color="auto"/>
          </w:divBdr>
        </w:div>
        <w:div w:id="517816510">
          <w:marLeft w:val="0"/>
          <w:marRight w:val="0"/>
          <w:marTop w:val="0"/>
          <w:marBottom w:val="0"/>
          <w:divBdr>
            <w:top w:val="none" w:sz="0" w:space="0" w:color="auto"/>
            <w:left w:val="none" w:sz="0" w:space="0" w:color="auto"/>
            <w:bottom w:val="none" w:sz="0" w:space="0" w:color="auto"/>
            <w:right w:val="none" w:sz="0" w:space="0" w:color="auto"/>
          </w:divBdr>
        </w:div>
        <w:div w:id="544559182">
          <w:marLeft w:val="0"/>
          <w:marRight w:val="0"/>
          <w:marTop w:val="0"/>
          <w:marBottom w:val="0"/>
          <w:divBdr>
            <w:top w:val="none" w:sz="0" w:space="0" w:color="auto"/>
            <w:left w:val="none" w:sz="0" w:space="0" w:color="auto"/>
            <w:bottom w:val="none" w:sz="0" w:space="0" w:color="auto"/>
            <w:right w:val="none" w:sz="0" w:space="0" w:color="auto"/>
          </w:divBdr>
        </w:div>
        <w:div w:id="565645616">
          <w:marLeft w:val="0"/>
          <w:marRight w:val="0"/>
          <w:marTop w:val="0"/>
          <w:marBottom w:val="0"/>
          <w:divBdr>
            <w:top w:val="none" w:sz="0" w:space="0" w:color="auto"/>
            <w:left w:val="none" w:sz="0" w:space="0" w:color="auto"/>
            <w:bottom w:val="none" w:sz="0" w:space="0" w:color="auto"/>
            <w:right w:val="none" w:sz="0" w:space="0" w:color="auto"/>
          </w:divBdr>
        </w:div>
        <w:div w:id="672486598">
          <w:marLeft w:val="0"/>
          <w:marRight w:val="0"/>
          <w:marTop w:val="0"/>
          <w:marBottom w:val="0"/>
          <w:divBdr>
            <w:top w:val="none" w:sz="0" w:space="0" w:color="auto"/>
            <w:left w:val="none" w:sz="0" w:space="0" w:color="auto"/>
            <w:bottom w:val="none" w:sz="0" w:space="0" w:color="auto"/>
            <w:right w:val="none" w:sz="0" w:space="0" w:color="auto"/>
          </w:divBdr>
        </w:div>
        <w:div w:id="756830618">
          <w:marLeft w:val="0"/>
          <w:marRight w:val="0"/>
          <w:marTop w:val="0"/>
          <w:marBottom w:val="0"/>
          <w:divBdr>
            <w:top w:val="none" w:sz="0" w:space="0" w:color="auto"/>
            <w:left w:val="none" w:sz="0" w:space="0" w:color="auto"/>
            <w:bottom w:val="none" w:sz="0" w:space="0" w:color="auto"/>
            <w:right w:val="none" w:sz="0" w:space="0" w:color="auto"/>
          </w:divBdr>
        </w:div>
        <w:div w:id="808666184">
          <w:marLeft w:val="0"/>
          <w:marRight w:val="0"/>
          <w:marTop w:val="0"/>
          <w:marBottom w:val="0"/>
          <w:divBdr>
            <w:top w:val="none" w:sz="0" w:space="0" w:color="auto"/>
            <w:left w:val="none" w:sz="0" w:space="0" w:color="auto"/>
            <w:bottom w:val="none" w:sz="0" w:space="0" w:color="auto"/>
            <w:right w:val="none" w:sz="0" w:space="0" w:color="auto"/>
          </w:divBdr>
        </w:div>
        <w:div w:id="826551765">
          <w:marLeft w:val="0"/>
          <w:marRight w:val="0"/>
          <w:marTop w:val="0"/>
          <w:marBottom w:val="0"/>
          <w:divBdr>
            <w:top w:val="none" w:sz="0" w:space="0" w:color="auto"/>
            <w:left w:val="none" w:sz="0" w:space="0" w:color="auto"/>
            <w:bottom w:val="none" w:sz="0" w:space="0" w:color="auto"/>
            <w:right w:val="none" w:sz="0" w:space="0" w:color="auto"/>
          </w:divBdr>
        </w:div>
        <w:div w:id="837379050">
          <w:marLeft w:val="0"/>
          <w:marRight w:val="0"/>
          <w:marTop w:val="0"/>
          <w:marBottom w:val="0"/>
          <w:divBdr>
            <w:top w:val="none" w:sz="0" w:space="0" w:color="auto"/>
            <w:left w:val="none" w:sz="0" w:space="0" w:color="auto"/>
            <w:bottom w:val="none" w:sz="0" w:space="0" w:color="auto"/>
            <w:right w:val="none" w:sz="0" w:space="0" w:color="auto"/>
          </w:divBdr>
        </w:div>
        <w:div w:id="991566876">
          <w:marLeft w:val="0"/>
          <w:marRight w:val="0"/>
          <w:marTop w:val="0"/>
          <w:marBottom w:val="0"/>
          <w:divBdr>
            <w:top w:val="none" w:sz="0" w:space="0" w:color="auto"/>
            <w:left w:val="none" w:sz="0" w:space="0" w:color="auto"/>
            <w:bottom w:val="none" w:sz="0" w:space="0" w:color="auto"/>
            <w:right w:val="none" w:sz="0" w:space="0" w:color="auto"/>
          </w:divBdr>
        </w:div>
        <w:div w:id="993220701">
          <w:marLeft w:val="0"/>
          <w:marRight w:val="0"/>
          <w:marTop w:val="0"/>
          <w:marBottom w:val="0"/>
          <w:divBdr>
            <w:top w:val="none" w:sz="0" w:space="0" w:color="auto"/>
            <w:left w:val="none" w:sz="0" w:space="0" w:color="auto"/>
            <w:bottom w:val="none" w:sz="0" w:space="0" w:color="auto"/>
            <w:right w:val="none" w:sz="0" w:space="0" w:color="auto"/>
          </w:divBdr>
        </w:div>
        <w:div w:id="1004288434">
          <w:marLeft w:val="0"/>
          <w:marRight w:val="0"/>
          <w:marTop w:val="0"/>
          <w:marBottom w:val="0"/>
          <w:divBdr>
            <w:top w:val="none" w:sz="0" w:space="0" w:color="auto"/>
            <w:left w:val="none" w:sz="0" w:space="0" w:color="auto"/>
            <w:bottom w:val="none" w:sz="0" w:space="0" w:color="auto"/>
            <w:right w:val="none" w:sz="0" w:space="0" w:color="auto"/>
          </w:divBdr>
        </w:div>
        <w:div w:id="1027750553">
          <w:marLeft w:val="0"/>
          <w:marRight w:val="0"/>
          <w:marTop w:val="0"/>
          <w:marBottom w:val="0"/>
          <w:divBdr>
            <w:top w:val="none" w:sz="0" w:space="0" w:color="auto"/>
            <w:left w:val="none" w:sz="0" w:space="0" w:color="auto"/>
            <w:bottom w:val="none" w:sz="0" w:space="0" w:color="auto"/>
            <w:right w:val="none" w:sz="0" w:space="0" w:color="auto"/>
          </w:divBdr>
        </w:div>
        <w:div w:id="1031684822">
          <w:marLeft w:val="0"/>
          <w:marRight w:val="0"/>
          <w:marTop w:val="0"/>
          <w:marBottom w:val="0"/>
          <w:divBdr>
            <w:top w:val="none" w:sz="0" w:space="0" w:color="auto"/>
            <w:left w:val="none" w:sz="0" w:space="0" w:color="auto"/>
            <w:bottom w:val="none" w:sz="0" w:space="0" w:color="auto"/>
            <w:right w:val="none" w:sz="0" w:space="0" w:color="auto"/>
          </w:divBdr>
        </w:div>
        <w:div w:id="1068040272">
          <w:marLeft w:val="0"/>
          <w:marRight w:val="0"/>
          <w:marTop w:val="0"/>
          <w:marBottom w:val="0"/>
          <w:divBdr>
            <w:top w:val="none" w:sz="0" w:space="0" w:color="auto"/>
            <w:left w:val="none" w:sz="0" w:space="0" w:color="auto"/>
            <w:bottom w:val="none" w:sz="0" w:space="0" w:color="auto"/>
            <w:right w:val="none" w:sz="0" w:space="0" w:color="auto"/>
          </w:divBdr>
        </w:div>
        <w:div w:id="1196961198">
          <w:marLeft w:val="0"/>
          <w:marRight w:val="0"/>
          <w:marTop w:val="0"/>
          <w:marBottom w:val="0"/>
          <w:divBdr>
            <w:top w:val="none" w:sz="0" w:space="0" w:color="auto"/>
            <w:left w:val="none" w:sz="0" w:space="0" w:color="auto"/>
            <w:bottom w:val="none" w:sz="0" w:space="0" w:color="auto"/>
            <w:right w:val="none" w:sz="0" w:space="0" w:color="auto"/>
          </w:divBdr>
        </w:div>
        <w:div w:id="1208684697">
          <w:marLeft w:val="0"/>
          <w:marRight w:val="0"/>
          <w:marTop w:val="0"/>
          <w:marBottom w:val="0"/>
          <w:divBdr>
            <w:top w:val="none" w:sz="0" w:space="0" w:color="auto"/>
            <w:left w:val="none" w:sz="0" w:space="0" w:color="auto"/>
            <w:bottom w:val="none" w:sz="0" w:space="0" w:color="auto"/>
            <w:right w:val="none" w:sz="0" w:space="0" w:color="auto"/>
          </w:divBdr>
        </w:div>
        <w:div w:id="1208833307">
          <w:marLeft w:val="0"/>
          <w:marRight w:val="0"/>
          <w:marTop w:val="0"/>
          <w:marBottom w:val="0"/>
          <w:divBdr>
            <w:top w:val="none" w:sz="0" w:space="0" w:color="auto"/>
            <w:left w:val="none" w:sz="0" w:space="0" w:color="auto"/>
            <w:bottom w:val="none" w:sz="0" w:space="0" w:color="auto"/>
            <w:right w:val="none" w:sz="0" w:space="0" w:color="auto"/>
          </w:divBdr>
        </w:div>
        <w:div w:id="1240212473">
          <w:marLeft w:val="0"/>
          <w:marRight w:val="0"/>
          <w:marTop w:val="0"/>
          <w:marBottom w:val="0"/>
          <w:divBdr>
            <w:top w:val="none" w:sz="0" w:space="0" w:color="auto"/>
            <w:left w:val="none" w:sz="0" w:space="0" w:color="auto"/>
            <w:bottom w:val="none" w:sz="0" w:space="0" w:color="auto"/>
            <w:right w:val="none" w:sz="0" w:space="0" w:color="auto"/>
          </w:divBdr>
        </w:div>
        <w:div w:id="1318874334">
          <w:marLeft w:val="0"/>
          <w:marRight w:val="0"/>
          <w:marTop w:val="0"/>
          <w:marBottom w:val="0"/>
          <w:divBdr>
            <w:top w:val="none" w:sz="0" w:space="0" w:color="auto"/>
            <w:left w:val="none" w:sz="0" w:space="0" w:color="auto"/>
            <w:bottom w:val="none" w:sz="0" w:space="0" w:color="auto"/>
            <w:right w:val="none" w:sz="0" w:space="0" w:color="auto"/>
          </w:divBdr>
        </w:div>
        <w:div w:id="1336032504">
          <w:marLeft w:val="0"/>
          <w:marRight w:val="0"/>
          <w:marTop w:val="0"/>
          <w:marBottom w:val="0"/>
          <w:divBdr>
            <w:top w:val="none" w:sz="0" w:space="0" w:color="auto"/>
            <w:left w:val="none" w:sz="0" w:space="0" w:color="auto"/>
            <w:bottom w:val="none" w:sz="0" w:space="0" w:color="auto"/>
            <w:right w:val="none" w:sz="0" w:space="0" w:color="auto"/>
          </w:divBdr>
        </w:div>
        <w:div w:id="1345132584">
          <w:marLeft w:val="0"/>
          <w:marRight w:val="0"/>
          <w:marTop w:val="0"/>
          <w:marBottom w:val="0"/>
          <w:divBdr>
            <w:top w:val="none" w:sz="0" w:space="0" w:color="auto"/>
            <w:left w:val="none" w:sz="0" w:space="0" w:color="auto"/>
            <w:bottom w:val="none" w:sz="0" w:space="0" w:color="auto"/>
            <w:right w:val="none" w:sz="0" w:space="0" w:color="auto"/>
          </w:divBdr>
        </w:div>
        <w:div w:id="1373115129">
          <w:marLeft w:val="0"/>
          <w:marRight w:val="0"/>
          <w:marTop w:val="0"/>
          <w:marBottom w:val="0"/>
          <w:divBdr>
            <w:top w:val="none" w:sz="0" w:space="0" w:color="auto"/>
            <w:left w:val="none" w:sz="0" w:space="0" w:color="auto"/>
            <w:bottom w:val="none" w:sz="0" w:space="0" w:color="auto"/>
            <w:right w:val="none" w:sz="0" w:space="0" w:color="auto"/>
          </w:divBdr>
        </w:div>
        <w:div w:id="1389837750">
          <w:marLeft w:val="0"/>
          <w:marRight w:val="0"/>
          <w:marTop w:val="0"/>
          <w:marBottom w:val="0"/>
          <w:divBdr>
            <w:top w:val="none" w:sz="0" w:space="0" w:color="auto"/>
            <w:left w:val="none" w:sz="0" w:space="0" w:color="auto"/>
            <w:bottom w:val="none" w:sz="0" w:space="0" w:color="auto"/>
            <w:right w:val="none" w:sz="0" w:space="0" w:color="auto"/>
          </w:divBdr>
        </w:div>
        <w:div w:id="1424911011">
          <w:marLeft w:val="0"/>
          <w:marRight w:val="0"/>
          <w:marTop w:val="0"/>
          <w:marBottom w:val="0"/>
          <w:divBdr>
            <w:top w:val="none" w:sz="0" w:space="0" w:color="auto"/>
            <w:left w:val="none" w:sz="0" w:space="0" w:color="auto"/>
            <w:bottom w:val="none" w:sz="0" w:space="0" w:color="auto"/>
            <w:right w:val="none" w:sz="0" w:space="0" w:color="auto"/>
          </w:divBdr>
        </w:div>
        <w:div w:id="1453675202">
          <w:marLeft w:val="0"/>
          <w:marRight w:val="0"/>
          <w:marTop w:val="0"/>
          <w:marBottom w:val="0"/>
          <w:divBdr>
            <w:top w:val="none" w:sz="0" w:space="0" w:color="auto"/>
            <w:left w:val="none" w:sz="0" w:space="0" w:color="auto"/>
            <w:bottom w:val="none" w:sz="0" w:space="0" w:color="auto"/>
            <w:right w:val="none" w:sz="0" w:space="0" w:color="auto"/>
          </w:divBdr>
        </w:div>
        <w:div w:id="1469283350">
          <w:marLeft w:val="0"/>
          <w:marRight w:val="0"/>
          <w:marTop w:val="0"/>
          <w:marBottom w:val="0"/>
          <w:divBdr>
            <w:top w:val="none" w:sz="0" w:space="0" w:color="auto"/>
            <w:left w:val="none" w:sz="0" w:space="0" w:color="auto"/>
            <w:bottom w:val="none" w:sz="0" w:space="0" w:color="auto"/>
            <w:right w:val="none" w:sz="0" w:space="0" w:color="auto"/>
          </w:divBdr>
        </w:div>
        <w:div w:id="1517113875">
          <w:marLeft w:val="0"/>
          <w:marRight w:val="0"/>
          <w:marTop w:val="0"/>
          <w:marBottom w:val="0"/>
          <w:divBdr>
            <w:top w:val="none" w:sz="0" w:space="0" w:color="auto"/>
            <w:left w:val="none" w:sz="0" w:space="0" w:color="auto"/>
            <w:bottom w:val="none" w:sz="0" w:space="0" w:color="auto"/>
            <w:right w:val="none" w:sz="0" w:space="0" w:color="auto"/>
          </w:divBdr>
        </w:div>
        <w:div w:id="1555120445">
          <w:marLeft w:val="0"/>
          <w:marRight w:val="0"/>
          <w:marTop w:val="0"/>
          <w:marBottom w:val="0"/>
          <w:divBdr>
            <w:top w:val="none" w:sz="0" w:space="0" w:color="auto"/>
            <w:left w:val="none" w:sz="0" w:space="0" w:color="auto"/>
            <w:bottom w:val="none" w:sz="0" w:space="0" w:color="auto"/>
            <w:right w:val="none" w:sz="0" w:space="0" w:color="auto"/>
          </w:divBdr>
        </w:div>
        <w:div w:id="1599748240">
          <w:marLeft w:val="0"/>
          <w:marRight w:val="0"/>
          <w:marTop w:val="0"/>
          <w:marBottom w:val="0"/>
          <w:divBdr>
            <w:top w:val="none" w:sz="0" w:space="0" w:color="auto"/>
            <w:left w:val="none" w:sz="0" w:space="0" w:color="auto"/>
            <w:bottom w:val="none" w:sz="0" w:space="0" w:color="auto"/>
            <w:right w:val="none" w:sz="0" w:space="0" w:color="auto"/>
          </w:divBdr>
        </w:div>
        <w:div w:id="1715733719">
          <w:marLeft w:val="0"/>
          <w:marRight w:val="0"/>
          <w:marTop w:val="0"/>
          <w:marBottom w:val="0"/>
          <w:divBdr>
            <w:top w:val="none" w:sz="0" w:space="0" w:color="auto"/>
            <w:left w:val="none" w:sz="0" w:space="0" w:color="auto"/>
            <w:bottom w:val="none" w:sz="0" w:space="0" w:color="auto"/>
            <w:right w:val="none" w:sz="0" w:space="0" w:color="auto"/>
          </w:divBdr>
        </w:div>
        <w:div w:id="1804538254">
          <w:marLeft w:val="0"/>
          <w:marRight w:val="0"/>
          <w:marTop w:val="0"/>
          <w:marBottom w:val="0"/>
          <w:divBdr>
            <w:top w:val="none" w:sz="0" w:space="0" w:color="auto"/>
            <w:left w:val="none" w:sz="0" w:space="0" w:color="auto"/>
            <w:bottom w:val="none" w:sz="0" w:space="0" w:color="auto"/>
            <w:right w:val="none" w:sz="0" w:space="0" w:color="auto"/>
          </w:divBdr>
        </w:div>
        <w:div w:id="1849178335">
          <w:marLeft w:val="0"/>
          <w:marRight w:val="0"/>
          <w:marTop w:val="0"/>
          <w:marBottom w:val="0"/>
          <w:divBdr>
            <w:top w:val="none" w:sz="0" w:space="0" w:color="auto"/>
            <w:left w:val="none" w:sz="0" w:space="0" w:color="auto"/>
            <w:bottom w:val="none" w:sz="0" w:space="0" w:color="auto"/>
            <w:right w:val="none" w:sz="0" w:space="0" w:color="auto"/>
          </w:divBdr>
        </w:div>
        <w:div w:id="1861242710">
          <w:marLeft w:val="0"/>
          <w:marRight w:val="0"/>
          <w:marTop w:val="0"/>
          <w:marBottom w:val="0"/>
          <w:divBdr>
            <w:top w:val="none" w:sz="0" w:space="0" w:color="auto"/>
            <w:left w:val="none" w:sz="0" w:space="0" w:color="auto"/>
            <w:bottom w:val="none" w:sz="0" w:space="0" w:color="auto"/>
            <w:right w:val="none" w:sz="0" w:space="0" w:color="auto"/>
          </w:divBdr>
        </w:div>
        <w:div w:id="1861814218">
          <w:marLeft w:val="0"/>
          <w:marRight w:val="0"/>
          <w:marTop w:val="0"/>
          <w:marBottom w:val="0"/>
          <w:divBdr>
            <w:top w:val="none" w:sz="0" w:space="0" w:color="auto"/>
            <w:left w:val="none" w:sz="0" w:space="0" w:color="auto"/>
            <w:bottom w:val="none" w:sz="0" w:space="0" w:color="auto"/>
            <w:right w:val="none" w:sz="0" w:space="0" w:color="auto"/>
          </w:divBdr>
        </w:div>
        <w:div w:id="1925990801">
          <w:marLeft w:val="0"/>
          <w:marRight w:val="0"/>
          <w:marTop w:val="0"/>
          <w:marBottom w:val="0"/>
          <w:divBdr>
            <w:top w:val="none" w:sz="0" w:space="0" w:color="auto"/>
            <w:left w:val="none" w:sz="0" w:space="0" w:color="auto"/>
            <w:bottom w:val="none" w:sz="0" w:space="0" w:color="auto"/>
            <w:right w:val="none" w:sz="0" w:space="0" w:color="auto"/>
          </w:divBdr>
        </w:div>
        <w:div w:id="1951400523">
          <w:marLeft w:val="0"/>
          <w:marRight w:val="0"/>
          <w:marTop w:val="0"/>
          <w:marBottom w:val="0"/>
          <w:divBdr>
            <w:top w:val="none" w:sz="0" w:space="0" w:color="auto"/>
            <w:left w:val="none" w:sz="0" w:space="0" w:color="auto"/>
            <w:bottom w:val="none" w:sz="0" w:space="0" w:color="auto"/>
            <w:right w:val="none" w:sz="0" w:space="0" w:color="auto"/>
          </w:divBdr>
        </w:div>
        <w:div w:id="2032367622">
          <w:marLeft w:val="0"/>
          <w:marRight w:val="0"/>
          <w:marTop w:val="0"/>
          <w:marBottom w:val="0"/>
          <w:divBdr>
            <w:top w:val="none" w:sz="0" w:space="0" w:color="auto"/>
            <w:left w:val="none" w:sz="0" w:space="0" w:color="auto"/>
            <w:bottom w:val="none" w:sz="0" w:space="0" w:color="auto"/>
            <w:right w:val="none" w:sz="0" w:space="0" w:color="auto"/>
          </w:divBdr>
        </w:div>
        <w:div w:id="2072926567">
          <w:marLeft w:val="0"/>
          <w:marRight w:val="0"/>
          <w:marTop w:val="0"/>
          <w:marBottom w:val="0"/>
          <w:divBdr>
            <w:top w:val="none" w:sz="0" w:space="0" w:color="auto"/>
            <w:left w:val="none" w:sz="0" w:space="0" w:color="auto"/>
            <w:bottom w:val="none" w:sz="0" w:space="0" w:color="auto"/>
            <w:right w:val="none" w:sz="0" w:space="0" w:color="auto"/>
          </w:divBdr>
        </w:div>
        <w:div w:id="2110730675">
          <w:marLeft w:val="0"/>
          <w:marRight w:val="0"/>
          <w:marTop w:val="0"/>
          <w:marBottom w:val="0"/>
          <w:divBdr>
            <w:top w:val="none" w:sz="0" w:space="0" w:color="auto"/>
            <w:left w:val="none" w:sz="0" w:space="0" w:color="auto"/>
            <w:bottom w:val="none" w:sz="0" w:space="0" w:color="auto"/>
            <w:right w:val="none" w:sz="0" w:space="0" w:color="auto"/>
          </w:divBdr>
        </w:div>
      </w:divsChild>
    </w:div>
    <w:div w:id="1266503559">
      <w:bodyDiv w:val="1"/>
      <w:marLeft w:val="0"/>
      <w:marRight w:val="0"/>
      <w:marTop w:val="0"/>
      <w:marBottom w:val="0"/>
      <w:divBdr>
        <w:top w:val="none" w:sz="0" w:space="0" w:color="auto"/>
        <w:left w:val="none" w:sz="0" w:space="0" w:color="auto"/>
        <w:bottom w:val="none" w:sz="0" w:space="0" w:color="auto"/>
        <w:right w:val="none" w:sz="0" w:space="0" w:color="auto"/>
      </w:divBdr>
      <w:divsChild>
        <w:div w:id="2098332090">
          <w:marLeft w:val="0"/>
          <w:marRight w:val="0"/>
          <w:marTop w:val="0"/>
          <w:marBottom w:val="0"/>
          <w:divBdr>
            <w:top w:val="none" w:sz="0" w:space="0" w:color="auto"/>
            <w:left w:val="none" w:sz="0" w:space="0" w:color="auto"/>
            <w:bottom w:val="none" w:sz="0" w:space="0" w:color="auto"/>
            <w:right w:val="none" w:sz="0" w:space="0" w:color="auto"/>
          </w:divBdr>
        </w:div>
      </w:divsChild>
    </w:div>
    <w:div w:id="1270971288">
      <w:bodyDiv w:val="1"/>
      <w:marLeft w:val="0"/>
      <w:marRight w:val="0"/>
      <w:marTop w:val="0"/>
      <w:marBottom w:val="0"/>
      <w:divBdr>
        <w:top w:val="none" w:sz="0" w:space="0" w:color="auto"/>
        <w:left w:val="none" w:sz="0" w:space="0" w:color="auto"/>
        <w:bottom w:val="none" w:sz="0" w:space="0" w:color="auto"/>
        <w:right w:val="none" w:sz="0" w:space="0" w:color="auto"/>
      </w:divBdr>
      <w:divsChild>
        <w:div w:id="834492287">
          <w:marLeft w:val="0"/>
          <w:marRight w:val="0"/>
          <w:marTop w:val="0"/>
          <w:marBottom w:val="0"/>
          <w:divBdr>
            <w:top w:val="none" w:sz="0" w:space="0" w:color="auto"/>
            <w:left w:val="none" w:sz="0" w:space="0" w:color="auto"/>
            <w:bottom w:val="none" w:sz="0" w:space="0" w:color="auto"/>
            <w:right w:val="none" w:sz="0" w:space="0" w:color="auto"/>
          </w:divBdr>
          <w:divsChild>
            <w:div w:id="14691542">
              <w:marLeft w:val="0"/>
              <w:marRight w:val="0"/>
              <w:marTop w:val="0"/>
              <w:marBottom w:val="0"/>
              <w:divBdr>
                <w:top w:val="none" w:sz="0" w:space="0" w:color="auto"/>
                <w:left w:val="none" w:sz="0" w:space="0" w:color="auto"/>
                <w:bottom w:val="none" w:sz="0" w:space="0" w:color="auto"/>
                <w:right w:val="none" w:sz="0" w:space="0" w:color="auto"/>
              </w:divBdr>
            </w:div>
            <w:div w:id="17899596">
              <w:marLeft w:val="0"/>
              <w:marRight w:val="0"/>
              <w:marTop w:val="0"/>
              <w:marBottom w:val="0"/>
              <w:divBdr>
                <w:top w:val="none" w:sz="0" w:space="0" w:color="auto"/>
                <w:left w:val="none" w:sz="0" w:space="0" w:color="auto"/>
                <w:bottom w:val="none" w:sz="0" w:space="0" w:color="auto"/>
                <w:right w:val="none" w:sz="0" w:space="0" w:color="auto"/>
              </w:divBdr>
            </w:div>
            <w:div w:id="40906547">
              <w:marLeft w:val="0"/>
              <w:marRight w:val="0"/>
              <w:marTop w:val="0"/>
              <w:marBottom w:val="0"/>
              <w:divBdr>
                <w:top w:val="none" w:sz="0" w:space="0" w:color="auto"/>
                <w:left w:val="none" w:sz="0" w:space="0" w:color="auto"/>
                <w:bottom w:val="none" w:sz="0" w:space="0" w:color="auto"/>
                <w:right w:val="none" w:sz="0" w:space="0" w:color="auto"/>
              </w:divBdr>
            </w:div>
            <w:div w:id="100882911">
              <w:marLeft w:val="0"/>
              <w:marRight w:val="0"/>
              <w:marTop w:val="0"/>
              <w:marBottom w:val="0"/>
              <w:divBdr>
                <w:top w:val="none" w:sz="0" w:space="0" w:color="auto"/>
                <w:left w:val="none" w:sz="0" w:space="0" w:color="auto"/>
                <w:bottom w:val="none" w:sz="0" w:space="0" w:color="auto"/>
                <w:right w:val="none" w:sz="0" w:space="0" w:color="auto"/>
              </w:divBdr>
            </w:div>
            <w:div w:id="160656714">
              <w:marLeft w:val="0"/>
              <w:marRight w:val="0"/>
              <w:marTop w:val="0"/>
              <w:marBottom w:val="0"/>
              <w:divBdr>
                <w:top w:val="none" w:sz="0" w:space="0" w:color="auto"/>
                <w:left w:val="none" w:sz="0" w:space="0" w:color="auto"/>
                <w:bottom w:val="none" w:sz="0" w:space="0" w:color="auto"/>
                <w:right w:val="none" w:sz="0" w:space="0" w:color="auto"/>
              </w:divBdr>
            </w:div>
            <w:div w:id="167987652">
              <w:marLeft w:val="0"/>
              <w:marRight w:val="0"/>
              <w:marTop w:val="0"/>
              <w:marBottom w:val="0"/>
              <w:divBdr>
                <w:top w:val="none" w:sz="0" w:space="0" w:color="auto"/>
                <w:left w:val="none" w:sz="0" w:space="0" w:color="auto"/>
                <w:bottom w:val="none" w:sz="0" w:space="0" w:color="auto"/>
                <w:right w:val="none" w:sz="0" w:space="0" w:color="auto"/>
              </w:divBdr>
            </w:div>
            <w:div w:id="173958038">
              <w:marLeft w:val="0"/>
              <w:marRight w:val="0"/>
              <w:marTop w:val="0"/>
              <w:marBottom w:val="0"/>
              <w:divBdr>
                <w:top w:val="none" w:sz="0" w:space="0" w:color="auto"/>
                <w:left w:val="none" w:sz="0" w:space="0" w:color="auto"/>
                <w:bottom w:val="none" w:sz="0" w:space="0" w:color="auto"/>
                <w:right w:val="none" w:sz="0" w:space="0" w:color="auto"/>
              </w:divBdr>
            </w:div>
            <w:div w:id="277612278">
              <w:marLeft w:val="0"/>
              <w:marRight w:val="0"/>
              <w:marTop w:val="0"/>
              <w:marBottom w:val="0"/>
              <w:divBdr>
                <w:top w:val="none" w:sz="0" w:space="0" w:color="auto"/>
                <w:left w:val="none" w:sz="0" w:space="0" w:color="auto"/>
                <w:bottom w:val="none" w:sz="0" w:space="0" w:color="auto"/>
                <w:right w:val="none" w:sz="0" w:space="0" w:color="auto"/>
              </w:divBdr>
            </w:div>
            <w:div w:id="278609652">
              <w:marLeft w:val="0"/>
              <w:marRight w:val="0"/>
              <w:marTop w:val="0"/>
              <w:marBottom w:val="0"/>
              <w:divBdr>
                <w:top w:val="none" w:sz="0" w:space="0" w:color="auto"/>
                <w:left w:val="none" w:sz="0" w:space="0" w:color="auto"/>
                <w:bottom w:val="none" w:sz="0" w:space="0" w:color="auto"/>
                <w:right w:val="none" w:sz="0" w:space="0" w:color="auto"/>
              </w:divBdr>
            </w:div>
            <w:div w:id="280384856">
              <w:marLeft w:val="0"/>
              <w:marRight w:val="0"/>
              <w:marTop w:val="0"/>
              <w:marBottom w:val="0"/>
              <w:divBdr>
                <w:top w:val="none" w:sz="0" w:space="0" w:color="auto"/>
                <w:left w:val="none" w:sz="0" w:space="0" w:color="auto"/>
                <w:bottom w:val="none" w:sz="0" w:space="0" w:color="auto"/>
                <w:right w:val="none" w:sz="0" w:space="0" w:color="auto"/>
              </w:divBdr>
            </w:div>
            <w:div w:id="322054064">
              <w:marLeft w:val="0"/>
              <w:marRight w:val="0"/>
              <w:marTop w:val="0"/>
              <w:marBottom w:val="0"/>
              <w:divBdr>
                <w:top w:val="none" w:sz="0" w:space="0" w:color="auto"/>
                <w:left w:val="none" w:sz="0" w:space="0" w:color="auto"/>
                <w:bottom w:val="none" w:sz="0" w:space="0" w:color="auto"/>
                <w:right w:val="none" w:sz="0" w:space="0" w:color="auto"/>
              </w:divBdr>
            </w:div>
            <w:div w:id="322243722">
              <w:marLeft w:val="0"/>
              <w:marRight w:val="0"/>
              <w:marTop w:val="0"/>
              <w:marBottom w:val="0"/>
              <w:divBdr>
                <w:top w:val="none" w:sz="0" w:space="0" w:color="auto"/>
                <w:left w:val="none" w:sz="0" w:space="0" w:color="auto"/>
                <w:bottom w:val="none" w:sz="0" w:space="0" w:color="auto"/>
                <w:right w:val="none" w:sz="0" w:space="0" w:color="auto"/>
              </w:divBdr>
            </w:div>
            <w:div w:id="344330818">
              <w:marLeft w:val="0"/>
              <w:marRight w:val="0"/>
              <w:marTop w:val="0"/>
              <w:marBottom w:val="0"/>
              <w:divBdr>
                <w:top w:val="none" w:sz="0" w:space="0" w:color="auto"/>
                <w:left w:val="none" w:sz="0" w:space="0" w:color="auto"/>
                <w:bottom w:val="none" w:sz="0" w:space="0" w:color="auto"/>
                <w:right w:val="none" w:sz="0" w:space="0" w:color="auto"/>
              </w:divBdr>
            </w:div>
            <w:div w:id="356810120">
              <w:marLeft w:val="0"/>
              <w:marRight w:val="0"/>
              <w:marTop w:val="0"/>
              <w:marBottom w:val="0"/>
              <w:divBdr>
                <w:top w:val="none" w:sz="0" w:space="0" w:color="auto"/>
                <w:left w:val="none" w:sz="0" w:space="0" w:color="auto"/>
                <w:bottom w:val="none" w:sz="0" w:space="0" w:color="auto"/>
                <w:right w:val="none" w:sz="0" w:space="0" w:color="auto"/>
              </w:divBdr>
            </w:div>
            <w:div w:id="381517621">
              <w:marLeft w:val="0"/>
              <w:marRight w:val="0"/>
              <w:marTop w:val="0"/>
              <w:marBottom w:val="0"/>
              <w:divBdr>
                <w:top w:val="none" w:sz="0" w:space="0" w:color="auto"/>
                <w:left w:val="none" w:sz="0" w:space="0" w:color="auto"/>
                <w:bottom w:val="none" w:sz="0" w:space="0" w:color="auto"/>
                <w:right w:val="none" w:sz="0" w:space="0" w:color="auto"/>
              </w:divBdr>
            </w:div>
            <w:div w:id="422994922">
              <w:marLeft w:val="0"/>
              <w:marRight w:val="0"/>
              <w:marTop w:val="0"/>
              <w:marBottom w:val="0"/>
              <w:divBdr>
                <w:top w:val="none" w:sz="0" w:space="0" w:color="auto"/>
                <w:left w:val="none" w:sz="0" w:space="0" w:color="auto"/>
                <w:bottom w:val="none" w:sz="0" w:space="0" w:color="auto"/>
                <w:right w:val="none" w:sz="0" w:space="0" w:color="auto"/>
              </w:divBdr>
            </w:div>
            <w:div w:id="456797766">
              <w:marLeft w:val="0"/>
              <w:marRight w:val="0"/>
              <w:marTop w:val="0"/>
              <w:marBottom w:val="0"/>
              <w:divBdr>
                <w:top w:val="none" w:sz="0" w:space="0" w:color="auto"/>
                <w:left w:val="none" w:sz="0" w:space="0" w:color="auto"/>
                <w:bottom w:val="none" w:sz="0" w:space="0" w:color="auto"/>
                <w:right w:val="none" w:sz="0" w:space="0" w:color="auto"/>
              </w:divBdr>
            </w:div>
            <w:div w:id="476411227">
              <w:marLeft w:val="0"/>
              <w:marRight w:val="0"/>
              <w:marTop w:val="0"/>
              <w:marBottom w:val="0"/>
              <w:divBdr>
                <w:top w:val="none" w:sz="0" w:space="0" w:color="auto"/>
                <w:left w:val="none" w:sz="0" w:space="0" w:color="auto"/>
                <w:bottom w:val="none" w:sz="0" w:space="0" w:color="auto"/>
                <w:right w:val="none" w:sz="0" w:space="0" w:color="auto"/>
              </w:divBdr>
            </w:div>
            <w:div w:id="521405030">
              <w:marLeft w:val="0"/>
              <w:marRight w:val="0"/>
              <w:marTop w:val="0"/>
              <w:marBottom w:val="0"/>
              <w:divBdr>
                <w:top w:val="none" w:sz="0" w:space="0" w:color="auto"/>
                <w:left w:val="none" w:sz="0" w:space="0" w:color="auto"/>
                <w:bottom w:val="none" w:sz="0" w:space="0" w:color="auto"/>
                <w:right w:val="none" w:sz="0" w:space="0" w:color="auto"/>
              </w:divBdr>
            </w:div>
            <w:div w:id="526142620">
              <w:marLeft w:val="0"/>
              <w:marRight w:val="0"/>
              <w:marTop w:val="0"/>
              <w:marBottom w:val="0"/>
              <w:divBdr>
                <w:top w:val="none" w:sz="0" w:space="0" w:color="auto"/>
                <w:left w:val="none" w:sz="0" w:space="0" w:color="auto"/>
                <w:bottom w:val="none" w:sz="0" w:space="0" w:color="auto"/>
                <w:right w:val="none" w:sz="0" w:space="0" w:color="auto"/>
              </w:divBdr>
            </w:div>
            <w:div w:id="568810353">
              <w:marLeft w:val="0"/>
              <w:marRight w:val="0"/>
              <w:marTop w:val="0"/>
              <w:marBottom w:val="0"/>
              <w:divBdr>
                <w:top w:val="none" w:sz="0" w:space="0" w:color="auto"/>
                <w:left w:val="none" w:sz="0" w:space="0" w:color="auto"/>
                <w:bottom w:val="none" w:sz="0" w:space="0" w:color="auto"/>
                <w:right w:val="none" w:sz="0" w:space="0" w:color="auto"/>
              </w:divBdr>
            </w:div>
            <w:div w:id="575627746">
              <w:marLeft w:val="0"/>
              <w:marRight w:val="0"/>
              <w:marTop w:val="0"/>
              <w:marBottom w:val="0"/>
              <w:divBdr>
                <w:top w:val="none" w:sz="0" w:space="0" w:color="auto"/>
                <w:left w:val="none" w:sz="0" w:space="0" w:color="auto"/>
                <w:bottom w:val="none" w:sz="0" w:space="0" w:color="auto"/>
                <w:right w:val="none" w:sz="0" w:space="0" w:color="auto"/>
              </w:divBdr>
            </w:div>
            <w:div w:id="625089138">
              <w:marLeft w:val="0"/>
              <w:marRight w:val="0"/>
              <w:marTop w:val="0"/>
              <w:marBottom w:val="0"/>
              <w:divBdr>
                <w:top w:val="none" w:sz="0" w:space="0" w:color="auto"/>
                <w:left w:val="none" w:sz="0" w:space="0" w:color="auto"/>
                <w:bottom w:val="none" w:sz="0" w:space="0" w:color="auto"/>
                <w:right w:val="none" w:sz="0" w:space="0" w:color="auto"/>
              </w:divBdr>
            </w:div>
            <w:div w:id="636298908">
              <w:marLeft w:val="0"/>
              <w:marRight w:val="0"/>
              <w:marTop w:val="0"/>
              <w:marBottom w:val="0"/>
              <w:divBdr>
                <w:top w:val="none" w:sz="0" w:space="0" w:color="auto"/>
                <w:left w:val="none" w:sz="0" w:space="0" w:color="auto"/>
                <w:bottom w:val="none" w:sz="0" w:space="0" w:color="auto"/>
                <w:right w:val="none" w:sz="0" w:space="0" w:color="auto"/>
              </w:divBdr>
            </w:div>
            <w:div w:id="637304284">
              <w:marLeft w:val="0"/>
              <w:marRight w:val="0"/>
              <w:marTop w:val="0"/>
              <w:marBottom w:val="0"/>
              <w:divBdr>
                <w:top w:val="none" w:sz="0" w:space="0" w:color="auto"/>
                <w:left w:val="none" w:sz="0" w:space="0" w:color="auto"/>
                <w:bottom w:val="none" w:sz="0" w:space="0" w:color="auto"/>
                <w:right w:val="none" w:sz="0" w:space="0" w:color="auto"/>
              </w:divBdr>
            </w:div>
            <w:div w:id="639651930">
              <w:marLeft w:val="0"/>
              <w:marRight w:val="0"/>
              <w:marTop w:val="0"/>
              <w:marBottom w:val="0"/>
              <w:divBdr>
                <w:top w:val="none" w:sz="0" w:space="0" w:color="auto"/>
                <w:left w:val="none" w:sz="0" w:space="0" w:color="auto"/>
                <w:bottom w:val="none" w:sz="0" w:space="0" w:color="auto"/>
                <w:right w:val="none" w:sz="0" w:space="0" w:color="auto"/>
              </w:divBdr>
            </w:div>
            <w:div w:id="640161691">
              <w:marLeft w:val="0"/>
              <w:marRight w:val="0"/>
              <w:marTop w:val="0"/>
              <w:marBottom w:val="0"/>
              <w:divBdr>
                <w:top w:val="none" w:sz="0" w:space="0" w:color="auto"/>
                <w:left w:val="none" w:sz="0" w:space="0" w:color="auto"/>
                <w:bottom w:val="none" w:sz="0" w:space="0" w:color="auto"/>
                <w:right w:val="none" w:sz="0" w:space="0" w:color="auto"/>
              </w:divBdr>
            </w:div>
            <w:div w:id="673844674">
              <w:marLeft w:val="0"/>
              <w:marRight w:val="0"/>
              <w:marTop w:val="0"/>
              <w:marBottom w:val="0"/>
              <w:divBdr>
                <w:top w:val="none" w:sz="0" w:space="0" w:color="auto"/>
                <w:left w:val="none" w:sz="0" w:space="0" w:color="auto"/>
                <w:bottom w:val="none" w:sz="0" w:space="0" w:color="auto"/>
                <w:right w:val="none" w:sz="0" w:space="0" w:color="auto"/>
              </w:divBdr>
            </w:div>
            <w:div w:id="687215124">
              <w:marLeft w:val="0"/>
              <w:marRight w:val="0"/>
              <w:marTop w:val="0"/>
              <w:marBottom w:val="0"/>
              <w:divBdr>
                <w:top w:val="none" w:sz="0" w:space="0" w:color="auto"/>
                <w:left w:val="none" w:sz="0" w:space="0" w:color="auto"/>
                <w:bottom w:val="none" w:sz="0" w:space="0" w:color="auto"/>
                <w:right w:val="none" w:sz="0" w:space="0" w:color="auto"/>
              </w:divBdr>
            </w:div>
            <w:div w:id="687221883">
              <w:marLeft w:val="0"/>
              <w:marRight w:val="0"/>
              <w:marTop w:val="0"/>
              <w:marBottom w:val="0"/>
              <w:divBdr>
                <w:top w:val="none" w:sz="0" w:space="0" w:color="auto"/>
                <w:left w:val="none" w:sz="0" w:space="0" w:color="auto"/>
                <w:bottom w:val="none" w:sz="0" w:space="0" w:color="auto"/>
                <w:right w:val="none" w:sz="0" w:space="0" w:color="auto"/>
              </w:divBdr>
            </w:div>
            <w:div w:id="700783277">
              <w:marLeft w:val="0"/>
              <w:marRight w:val="0"/>
              <w:marTop w:val="0"/>
              <w:marBottom w:val="0"/>
              <w:divBdr>
                <w:top w:val="none" w:sz="0" w:space="0" w:color="auto"/>
                <w:left w:val="none" w:sz="0" w:space="0" w:color="auto"/>
                <w:bottom w:val="none" w:sz="0" w:space="0" w:color="auto"/>
                <w:right w:val="none" w:sz="0" w:space="0" w:color="auto"/>
              </w:divBdr>
            </w:div>
            <w:div w:id="716782539">
              <w:marLeft w:val="0"/>
              <w:marRight w:val="0"/>
              <w:marTop w:val="0"/>
              <w:marBottom w:val="0"/>
              <w:divBdr>
                <w:top w:val="none" w:sz="0" w:space="0" w:color="auto"/>
                <w:left w:val="none" w:sz="0" w:space="0" w:color="auto"/>
                <w:bottom w:val="none" w:sz="0" w:space="0" w:color="auto"/>
                <w:right w:val="none" w:sz="0" w:space="0" w:color="auto"/>
              </w:divBdr>
            </w:div>
            <w:div w:id="719672573">
              <w:marLeft w:val="0"/>
              <w:marRight w:val="0"/>
              <w:marTop w:val="0"/>
              <w:marBottom w:val="0"/>
              <w:divBdr>
                <w:top w:val="none" w:sz="0" w:space="0" w:color="auto"/>
                <w:left w:val="none" w:sz="0" w:space="0" w:color="auto"/>
                <w:bottom w:val="none" w:sz="0" w:space="0" w:color="auto"/>
                <w:right w:val="none" w:sz="0" w:space="0" w:color="auto"/>
              </w:divBdr>
            </w:div>
            <w:div w:id="727730813">
              <w:marLeft w:val="0"/>
              <w:marRight w:val="0"/>
              <w:marTop w:val="0"/>
              <w:marBottom w:val="0"/>
              <w:divBdr>
                <w:top w:val="none" w:sz="0" w:space="0" w:color="auto"/>
                <w:left w:val="none" w:sz="0" w:space="0" w:color="auto"/>
                <w:bottom w:val="none" w:sz="0" w:space="0" w:color="auto"/>
                <w:right w:val="none" w:sz="0" w:space="0" w:color="auto"/>
              </w:divBdr>
            </w:div>
            <w:div w:id="751968885">
              <w:marLeft w:val="0"/>
              <w:marRight w:val="0"/>
              <w:marTop w:val="0"/>
              <w:marBottom w:val="0"/>
              <w:divBdr>
                <w:top w:val="none" w:sz="0" w:space="0" w:color="auto"/>
                <w:left w:val="none" w:sz="0" w:space="0" w:color="auto"/>
                <w:bottom w:val="none" w:sz="0" w:space="0" w:color="auto"/>
                <w:right w:val="none" w:sz="0" w:space="0" w:color="auto"/>
              </w:divBdr>
            </w:div>
            <w:div w:id="759183493">
              <w:marLeft w:val="0"/>
              <w:marRight w:val="0"/>
              <w:marTop w:val="0"/>
              <w:marBottom w:val="0"/>
              <w:divBdr>
                <w:top w:val="none" w:sz="0" w:space="0" w:color="auto"/>
                <w:left w:val="none" w:sz="0" w:space="0" w:color="auto"/>
                <w:bottom w:val="none" w:sz="0" w:space="0" w:color="auto"/>
                <w:right w:val="none" w:sz="0" w:space="0" w:color="auto"/>
              </w:divBdr>
            </w:div>
            <w:div w:id="858391548">
              <w:marLeft w:val="0"/>
              <w:marRight w:val="0"/>
              <w:marTop w:val="0"/>
              <w:marBottom w:val="0"/>
              <w:divBdr>
                <w:top w:val="none" w:sz="0" w:space="0" w:color="auto"/>
                <w:left w:val="none" w:sz="0" w:space="0" w:color="auto"/>
                <w:bottom w:val="none" w:sz="0" w:space="0" w:color="auto"/>
                <w:right w:val="none" w:sz="0" w:space="0" w:color="auto"/>
              </w:divBdr>
            </w:div>
            <w:div w:id="875461072">
              <w:marLeft w:val="0"/>
              <w:marRight w:val="0"/>
              <w:marTop w:val="0"/>
              <w:marBottom w:val="0"/>
              <w:divBdr>
                <w:top w:val="none" w:sz="0" w:space="0" w:color="auto"/>
                <w:left w:val="none" w:sz="0" w:space="0" w:color="auto"/>
                <w:bottom w:val="none" w:sz="0" w:space="0" w:color="auto"/>
                <w:right w:val="none" w:sz="0" w:space="0" w:color="auto"/>
              </w:divBdr>
            </w:div>
            <w:div w:id="970860242">
              <w:marLeft w:val="0"/>
              <w:marRight w:val="0"/>
              <w:marTop w:val="0"/>
              <w:marBottom w:val="0"/>
              <w:divBdr>
                <w:top w:val="none" w:sz="0" w:space="0" w:color="auto"/>
                <w:left w:val="none" w:sz="0" w:space="0" w:color="auto"/>
                <w:bottom w:val="none" w:sz="0" w:space="0" w:color="auto"/>
                <w:right w:val="none" w:sz="0" w:space="0" w:color="auto"/>
              </w:divBdr>
            </w:div>
            <w:div w:id="973220614">
              <w:marLeft w:val="0"/>
              <w:marRight w:val="0"/>
              <w:marTop w:val="0"/>
              <w:marBottom w:val="0"/>
              <w:divBdr>
                <w:top w:val="none" w:sz="0" w:space="0" w:color="auto"/>
                <w:left w:val="none" w:sz="0" w:space="0" w:color="auto"/>
                <w:bottom w:val="none" w:sz="0" w:space="0" w:color="auto"/>
                <w:right w:val="none" w:sz="0" w:space="0" w:color="auto"/>
              </w:divBdr>
            </w:div>
            <w:div w:id="1084447840">
              <w:marLeft w:val="0"/>
              <w:marRight w:val="0"/>
              <w:marTop w:val="0"/>
              <w:marBottom w:val="0"/>
              <w:divBdr>
                <w:top w:val="none" w:sz="0" w:space="0" w:color="auto"/>
                <w:left w:val="none" w:sz="0" w:space="0" w:color="auto"/>
                <w:bottom w:val="none" w:sz="0" w:space="0" w:color="auto"/>
                <w:right w:val="none" w:sz="0" w:space="0" w:color="auto"/>
              </w:divBdr>
            </w:div>
            <w:div w:id="1087113083">
              <w:marLeft w:val="0"/>
              <w:marRight w:val="0"/>
              <w:marTop w:val="0"/>
              <w:marBottom w:val="0"/>
              <w:divBdr>
                <w:top w:val="none" w:sz="0" w:space="0" w:color="auto"/>
                <w:left w:val="none" w:sz="0" w:space="0" w:color="auto"/>
                <w:bottom w:val="none" w:sz="0" w:space="0" w:color="auto"/>
                <w:right w:val="none" w:sz="0" w:space="0" w:color="auto"/>
              </w:divBdr>
            </w:div>
            <w:div w:id="1112017251">
              <w:marLeft w:val="0"/>
              <w:marRight w:val="0"/>
              <w:marTop w:val="0"/>
              <w:marBottom w:val="0"/>
              <w:divBdr>
                <w:top w:val="none" w:sz="0" w:space="0" w:color="auto"/>
                <w:left w:val="none" w:sz="0" w:space="0" w:color="auto"/>
                <w:bottom w:val="none" w:sz="0" w:space="0" w:color="auto"/>
                <w:right w:val="none" w:sz="0" w:space="0" w:color="auto"/>
              </w:divBdr>
            </w:div>
            <w:div w:id="1132670960">
              <w:marLeft w:val="0"/>
              <w:marRight w:val="0"/>
              <w:marTop w:val="0"/>
              <w:marBottom w:val="0"/>
              <w:divBdr>
                <w:top w:val="none" w:sz="0" w:space="0" w:color="auto"/>
                <w:left w:val="none" w:sz="0" w:space="0" w:color="auto"/>
                <w:bottom w:val="none" w:sz="0" w:space="0" w:color="auto"/>
                <w:right w:val="none" w:sz="0" w:space="0" w:color="auto"/>
              </w:divBdr>
            </w:div>
            <w:div w:id="1148209562">
              <w:marLeft w:val="0"/>
              <w:marRight w:val="0"/>
              <w:marTop w:val="0"/>
              <w:marBottom w:val="0"/>
              <w:divBdr>
                <w:top w:val="none" w:sz="0" w:space="0" w:color="auto"/>
                <w:left w:val="none" w:sz="0" w:space="0" w:color="auto"/>
                <w:bottom w:val="none" w:sz="0" w:space="0" w:color="auto"/>
                <w:right w:val="none" w:sz="0" w:space="0" w:color="auto"/>
              </w:divBdr>
            </w:div>
            <w:div w:id="1153761496">
              <w:marLeft w:val="0"/>
              <w:marRight w:val="0"/>
              <w:marTop w:val="0"/>
              <w:marBottom w:val="0"/>
              <w:divBdr>
                <w:top w:val="none" w:sz="0" w:space="0" w:color="auto"/>
                <w:left w:val="none" w:sz="0" w:space="0" w:color="auto"/>
                <w:bottom w:val="none" w:sz="0" w:space="0" w:color="auto"/>
                <w:right w:val="none" w:sz="0" w:space="0" w:color="auto"/>
              </w:divBdr>
            </w:div>
            <w:div w:id="1174879354">
              <w:marLeft w:val="0"/>
              <w:marRight w:val="0"/>
              <w:marTop w:val="0"/>
              <w:marBottom w:val="0"/>
              <w:divBdr>
                <w:top w:val="none" w:sz="0" w:space="0" w:color="auto"/>
                <w:left w:val="none" w:sz="0" w:space="0" w:color="auto"/>
                <w:bottom w:val="none" w:sz="0" w:space="0" w:color="auto"/>
                <w:right w:val="none" w:sz="0" w:space="0" w:color="auto"/>
              </w:divBdr>
            </w:div>
            <w:div w:id="1198156242">
              <w:marLeft w:val="0"/>
              <w:marRight w:val="0"/>
              <w:marTop w:val="0"/>
              <w:marBottom w:val="0"/>
              <w:divBdr>
                <w:top w:val="none" w:sz="0" w:space="0" w:color="auto"/>
                <w:left w:val="none" w:sz="0" w:space="0" w:color="auto"/>
                <w:bottom w:val="none" w:sz="0" w:space="0" w:color="auto"/>
                <w:right w:val="none" w:sz="0" w:space="0" w:color="auto"/>
              </w:divBdr>
            </w:div>
            <w:div w:id="1207915206">
              <w:marLeft w:val="0"/>
              <w:marRight w:val="0"/>
              <w:marTop w:val="0"/>
              <w:marBottom w:val="0"/>
              <w:divBdr>
                <w:top w:val="none" w:sz="0" w:space="0" w:color="auto"/>
                <w:left w:val="none" w:sz="0" w:space="0" w:color="auto"/>
                <w:bottom w:val="none" w:sz="0" w:space="0" w:color="auto"/>
                <w:right w:val="none" w:sz="0" w:space="0" w:color="auto"/>
              </w:divBdr>
            </w:div>
            <w:div w:id="1271007524">
              <w:marLeft w:val="0"/>
              <w:marRight w:val="0"/>
              <w:marTop w:val="0"/>
              <w:marBottom w:val="0"/>
              <w:divBdr>
                <w:top w:val="none" w:sz="0" w:space="0" w:color="auto"/>
                <w:left w:val="none" w:sz="0" w:space="0" w:color="auto"/>
                <w:bottom w:val="none" w:sz="0" w:space="0" w:color="auto"/>
                <w:right w:val="none" w:sz="0" w:space="0" w:color="auto"/>
              </w:divBdr>
            </w:div>
            <w:div w:id="1276064396">
              <w:marLeft w:val="0"/>
              <w:marRight w:val="0"/>
              <w:marTop w:val="0"/>
              <w:marBottom w:val="0"/>
              <w:divBdr>
                <w:top w:val="none" w:sz="0" w:space="0" w:color="auto"/>
                <w:left w:val="none" w:sz="0" w:space="0" w:color="auto"/>
                <w:bottom w:val="none" w:sz="0" w:space="0" w:color="auto"/>
                <w:right w:val="none" w:sz="0" w:space="0" w:color="auto"/>
              </w:divBdr>
            </w:div>
            <w:div w:id="1287808772">
              <w:marLeft w:val="0"/>
              <w:marRight w:val="0"/>
              <w:marTop w:val="0"/>
              <w:marBottom w:val="0"/>
              <w:divBdr>
                <w:top w:val="none" w:sz="0" w:space="0" w:color="auto"/>
                <w:left w:val="none" w:sz="0" w:space="0" w:color="auto"/>
                <w:bottom w:val="none" w:sz="0" w:space="0" w:color="auto"/>
                <w:right w:val="none" w:sz="0" w:space="0" w:color="auto"/>
              </w:divBdr>
            </w:div>
            <w:div w:id="1357804450">
              <w:marLeft w:val="0"/>
              <w:marRight w:val="0"/>
              <w:marTop w:val="0"/>
              <w:marBottom w:val="0"/>
              <w:divBdr>
                <w:top w:val="none" w:sz="0" w:space="0" w:color="auto"/>
                <w:left w:val="none" w:sz="0" w:space="0" w:color="auto"/>
                <w:bottom w:val="none" w:sz="0" w:space="0" w:color="auto"/>
                <w:right w:val="none" w:sz="0" w:space="0" w:color="auto"/>
              </w:divBdr>
            </w:div>
            <w:div w:id="1379353081">
              <w:marLeft w:val="0"/>
              <w:marRight w:val="0"/>
              <w:marTop w:val="0"/>
              <w:marBottom w:val="0"/>
              <w:divBdr>
                <w:top w:val="none" w:sz="0" w:space="0" w:color="auto"/>
                <w:left w:val="none" w:sz="0" w:space="0" w:color="auto"/>
                <w:bottom w:val="none" w:sz="0" w:space="0" w:color="auto"/>
                <w:right w:val="none" w:sz="0" w:space="0" w:color="auto"/>
              </w:divBdr>
            </w:div>
            <w:div w:id="1399785495">
              <w:marLeft w:val="0"/>
              <w:marRight w:val="0"/>
              <w:marTop w:val="0"/>
              <w:marBottom w:val="0"/>
              <w:divBdr>
                <w:top w:val="none" w:sz="0" w:space="0" w:color="auto"/>
                <w:left w:val="none" w:sz="0" w:space="0" w:color="auto"/>
                <w:bottom w:val="none" w:sz="0" w:space="0" w:color="auto"/>
                <w:right w:val="none" w:sz="0" w:space="0" w:color="auto"/>
              </w:divBdr>
            </w:div>
            <w:div w:id="1401177236">
              <w:marLeft w:val="0"/>
              <w:marRight w:val="0"/>
              <w:marTop w:val="0"/>
              <w:marBottom w:val="0"/>
              <w:divBdr>
                <w:top w:val="none" w:sz="0" w:space="0" w:color="auto"/>
                <w:left w:val="none" w:sz="0" w:space="0" w:color="auto"/>
                <w:bottom w:val="none" w:sz="0" w:space="0" w:color="auto"/>
                <w:right w:val="none" w:sz="0" w:space="0" w:color="auto"/>
              </w:divBdr>
            </w:div>
            <w:div w:id="1402679199">
              <w:marLeft w:val="0"/>
              <w:marRight w:val="0"/>
              <w:marTop w:val="0"/>
              <w:marBottom w:val="0"/>
              <w:divBdr>
                <w:top w:val="none" w:sz="0" w:space="0" w:color="auto"/>
                <w:left w:val="none" w:sz="0" w:space="0" w:color="auto"/>
                <w:bottom w:val="none" w:sz="0" w:space="0" w:color="auto"/>
                <w:right w:val="none" w:sz="0" w:space="0" w:color="auto"/>
              </w:divBdr>
            </w:div>
            <w:div w:id="1413548168">
              <w:marLeft w:val="0"/>
              <w:marRight w:val="0"/>
              <w:marTop w:val="0"/>
              <w:marBottom w:val="0"/>
              <w:divBdr>
                <w:top w:val="none" w:sz="0" w:space="0" w:color="auto"/>
                <w:left w:val="none" w:sz="0" w:space="0" w:color="auto"/>
                <w:bottom w:val="none" w:sz="0" w:space="0" w:color="auto"/>
                <w:right w:val="none" w:sz="0" w:space="0" w:color="auto"/>
              </w:divBdr>
            </w:div>
            <w:div w:id="1439644147">
              <w:marLeft w:val="0"/>
              <w:marRight w:val="0"/>
              <w:marTop w:val="0"/>
              <w:marBottom w:val="0"/>
              <w:divBdr>
                <w:top w:val="none" w:sz="0" w:space="0" w:color="auto"/>
                <w:left w:val="none" w:sz="0" w:space="0" w:color="auto"/>
                <w:bottom w:val="none" w:sz="0" w:space="0" w:color="auto"/>
                <w:right w:val="none" w:sz="0" w:space="0" w:color="auto"/>
              </w:divBdr>
            </w:div>
            <w:div w:id="1451779256">
              <w:marLeft w:val="0"/>
              <w:marRight w:val="0"/>
              <w:marTop w:val="0"/>
              <w:marBottom w:val="0"/>
              <w:divBdr>
                <w:top w:val="none" w:sz="0" w:space="0" w:color="auto"/>
                <w:left w:val="none" w:sz="0" w:space="0" w:color="auto"/>
                <w:bottom w:val="none" w:sz="0" w:space="0" w:color="auto"/>
                <w:right w:val="none" w:sz="0" w:space="0" w:color="auto"/>
              </w:divBdr>
            </w:div>
            <w:div w:id="1564756634">
              <w:marLeft w:val="0"/>
              <w:marRight w:val="0"/>
              <w:marTop w:val="0"/>
              <w:marBottom w:val="0"/>
              <w:divBdr>
                <w:top w:val="none" w:sz="0" w:space="0" w:color="auto"/>
                <w:left w:val="none" w:sz="0" w:space="0" w:color="auto"/>
                <w:bottom w:val="none" w:sz="0" w:space="0" w:color="auto"/>
                <w:right w:val="none" w:sz="0" w:space="0" w:color="auto"/>
              </w:divBdr>
            </w:div>
            <w:div w:id="1592394445">
              <w:marLeft w:val="0"/>
              <w:marRight w:val="0"/>
              <w:marTop w:val="0"/>
              <w:marBottom w:val="0"/>
              <w:divBdr>
                <w:top w:val="none" w:sz="0" w:space="0" w:color="auto"/>
                <w:left w:val="none" w:sz="0" w:space="0" w:color="auto"/>
                <w:bottom w:val="none" w:sz="0" w:space="0" w:color="auto"/>
                <w:right w:val="none" w:sz="0" w:space="0" w:color="auto"/>
              </w:divBdr>
            </w:div>
            <w:div w:id="1645698380">
              <w:marLeft w:val="0"/>
              <w:marRight w:val="0"/>
              <w:marTop w:val="0"/>
              <w:marBottom w:val="0"/>
              <w:divBdr>
                <w:top w:val="none" w:sz="0" w:space="0" w:color="auto"/>
                <w:left w:val="none" w:sz="0" w:space="0" w:color="auto"/>
                <w:bottom w:val="none" w:sz="0" w:space="0" w:color="auto"/>
                <w:right w:val="none" w:sz="0" w:space="0" w:color="auto"/>
              </w:divBdr>
            </w:div>
            <w:div w:id="1649893010">
              <w:marLeft w:val="0"/>
              <w:marRight w:val="0"/>
              <w:marTop w:val="0"/>
              <w:marBottom w:val="0"/>
              <w:divBdr>
                <w:top w:val="none" w:sz="0" w:space="0" w:color="auto"/>
                <w:left w:val="none" w:sz="0" w:space="0" w:color="auto"/>
                <w:bottom w:val="none" w:sz="0" w:space="0" w:color="auto"/>
                <w:right w:val="none" w:sz="0" w:space="0" w:color="auto"/>
              </w:divBdr>
            </w:div>
            <w:div w:id="1711759870">
              <w:marLeft w:val="0"/>
              <w:marRight w:val="0"/>
              <w:marTop w:val="0"/>
              <w:marBottom w:val="0"/>
              <w:divBdr>
                <w:top w:val="none" w:sz="0" w:space="0" w:color="auto"/>
                <w:left w:val="none" w:sz="0" w:space="0" w:color="auto"/>
                <w:bottom w:val="none" w:sz="0" w:space="0" w:color="auto"/>
                <w:right w:val="none" w:sz="0" w:space="0" w:color="auto"/>
              </w:divBdr>
            </w:div>
            <w:div w:id="1724908953">
              <w:marLeft w:val="0"/>
              <w:marRight w:val="0"/>
              <w:marTop w:val="0"/>
              <w:marBottom w:val="0"/>
              <w:divBdr>
                <w:top w:val="none" w:sz="0" w:space="0" w:color="auto"/>
                <w:left w:val="none" w:sz="0" w:space="0" w:color="auto"/>
                <w:bottom w:val="none" w:sz="0" w:space="0" w:color="auto"/>
                <w:right w:val="none" w:sz="0" w:space="0" w:color="auto"/>
              </w:divBdr>
            </w:div>
            <w:div w:id="1769042734">
              <w:marLeft w:val="0"/>
              <w:marRight w:val="0"/>
              <w:marTop w:val="0"/>
              <w:marBottom w:val="0"/>
              <w:divBdr>
                <w:top w:val="none" w:sz="0" w:space="0" w:color="auto"/>
                <w:left w:val="none" w:sz="0" w:space="0" w:color="auto"/>
                <w:bottom w:val="none" w:sz="0" w:space="0" w:color="auto"/>
                <w:right w:val="none" w:sz="0" w:space="0" w:color="auto"/>
              </w:divBdr>
            </w:div>
            <w:div w:id="1805850735">
              <w:marLeft w:val="0"/>
              <w:marRight w:val="0"/>
              <w:marTop w:val="0"/>
              <w:marBottom w:val="0"/>
              <w:divBdr>
                <w:top w:val="none" w:sz="0" w:space="0" w:color="auto"/>
                <w:left w:val="none" w:sz="0" w:space="0" w:color="auto"/>
                <w:bottom w:val="none" w:sz="0" w:space="0" w:color="auto"/>
                <w:right w:val="none" w:sz="0" w:space="0" w:color="auto"/>
              </w:divBdr>
            </w:div>
            <w:div w:id="1822842269">
              <w:marLeft w:val="0"/>
              <w:marRight w:val="0"/>
              <w:marTop w:val="0"/>
              <w:marBottom w:val="0"/>
              <w:divBdr>
                <w:top w:val="none" w:sz="0" w:space="0" w:color="auto"/>
                <w:left w:val="none" w:sz="0" w:space="0" w:color="auto"/>
                <w:bottom w:val="none" w:sz="0" w:space="0" w:color="auto"/>
                <w:right w:val="none" w:sz="0" w:space="0" w:color="auto"/>
              </w:divBdr>
            </w:div>
            <w:div w:id="1853184278">
              <w:marLeft w:val="0"/>
              <w:marRight w:val="0"/>
              <w:marTop w:val="0"/>
              <w:marBottom w:val="0"/>
              <w:divBdr>
                <w:top w:val="none" w:sz="0" w:space="0" w:color="auto"/>
                <w:left w:val="none" w:sz="0" w:space="0" w:color="auto"/>
                <w:bottom w:val="none" w:sz="0" w:space="0" w:color="auto"/>
                <w:right w:val="none" w:sz="0" w:space="0" w:color="auto"/>
              </w:divBdr>
            </w:div>
            <w:div w:id="1904942882">
              <w:marLeft w:val="0"/>
              <w:marRight w:val="0"/>
              <w:marTop w:val="0"/>
              <w:marBottom w:val="0"/>
              <w:divBdr>
                <w:top w:val="none" w:sz="0" w:space="0" w:color="auto"/>
                <w:left w:val="none" w:sz="0" w:space="0" w:color="auto"/>
                <w:bottom w:val="none" w:sz="0" w:space="0" w:color="auto"/>
                <w:right w:val="none" w:sz="0" w:space="0" w:color="auto"/>
              </w:divBdr>
            </w:div>
            <w:div w:id="1989703209">
              <w:marLeft w:val="0"/>
              <w:marRight w:val="0"/>
              <w:marTop w:val="0"/>
              <w:marBottom w:val="0"/>
              <w:divBdr>
                <w:top w:val="none" w:sz="0" w:space="0" w:color="auto"/>
                <w:left w:val="none" w:sz="0" w:space="0" w:color="auto"/>
                <w:bottom w:val="none" w:sz="0" w:space="0" w:color="auto"/>
                <w:right w:val="none" w:sz="0" w:space="0" w:color="auto"/>
              </w:divBdr>
            </w:div>
            <w:div w:id="1997802699">
              <w:marLeft w:val="0"/>
              <w:marRight w:val="0"/>
              <w:marTop w:val="0"/>
              <w:marBottom w:val="0"/>
              <w:divBdr>
                <w:top w:val="none" w:sz="0" w:space="0" w:color="auto"/>
                <w:left w:val="none" w:sz="0" w:space="0" w:color="auto"/>
                <w:bottom w:val="none" w:sz="0" w:space="0" w:color="auto"/>
                <w:right w:val="none" w:sz="0" w:space="0" w:color="auto"/>
              </w:divBdr>
            </w:div>
            <w:div w:id="2004114646">
              <w:marLeft w:val="0"/>
              <w:marRight w:val="0"/>
              <w:marTop w:val="0"/>
              <w:marBottom w:val="0"/>
              <w:divBdr>
                <w:top w:val="none" w:sz="0" w:space="0" w:color="auto"/>
                <w:left w:val="none" w:sz="0" w:space="0" w:color="auto"/>
                <w:bottom w:val="none" w:sz="0" w:space="0" w:color="auto"/>
                <w:right w:val="none" w:sz="0" w:space="0" w:color="auto"/>
              </w:divBdr>
            </w:div>
            <w:div w:id="2006009029">
              <w:marLeft w:val="0"/>
              <w:marRight w:val="0"/>
              <w:marTop w:val="0"/>
              <w:marBottom w:val="0"/>
              <w:divBdr>
                <w:top w:val="none" w:sz="0" w:space="0" w:color="auto"/>
                <w:left w:val="none" w:sz="0" w:space="0" w:color="auto"/>
                <w:bottom w:val="none" w:sz="0" w:space="0" w:color="auto"/>
                <w:right w:val="none" w:sz="0" w:space="0" w:color="auto"/>
              </w:divBdr>
            </w:div>
            <w:div w:id="2015449856">
              <w:marLeft w:val="0"/>
              <w:marRight w:val="0"/>
              <w:marTop w:val="0"/>
              <w:marBottom w:val="0"/>
              <w:divBdr>
                <w:top w:val="none" w:sz="0" w:space="0" w:color="auto"/>
                <w:left w:val="none" w:sz="0" w:space="0" w:color="auto"/>
                <w:bottom w:val="none" w:sz="0" w:space="0" w:color="auto"/>
                <w:right w:val="none" w:sz="0" w:space="0" w:color="auto"/>
              </w:divBdr>
            </w:div>
            <w:div w:id="210121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96205">
      <w:bodyDiv w:val="1"/>
      <w:marLeft w:val="0"/>
      <w:marRight w:val="0"/>
      <w:marTop w:val="0"/>
      <w:marBottom w:val="0"/>
      <w:divBdr>
        <w:top w:val="none" w:sz="0" w:space="0" w:color="auto"/>
        <w:left w:val="none" w:sz="0" w:space="0" w:color="auto"/>
        <w:bottom w:val="none" w:sz="0" w:space="0" w:color="auto"/>
        <w:right w:val="none" w:sz="0" w:space="0" w:color="auto"/>
      </w:divBdr>
    </w:div>
    <w:div w:id="1286156910">
      <w:bodyDiv w:val="1"/>
      <w:marLeft w:val="0"/>
      <w:marRight w:val="0"/>
      <w:marTop w:val="0"/>
      <w:marBottom w:val="0"/>
      <w:divBdr>
        <w:top w:val="none" w:sz="0" w:space="0" w:color="auto"/>
        <w:left w:val="none" w:sz="0" w:space="0" w:color="auto"/>
        <w:bottom w:val="none" w:sz="0" w:space="0" w:color="auto"/>
        <w:right w:val="none" w:sz="0" w:space="0" w:color="auto"/>
      </w:divBdr>
    </w:div>
    <w:div w:id="1306928103">
      <w:bodyDiv w:val="1"/>
      <w:marLeft w:val="0"/>
      <w:marRight w:val="0"/>
      <w:marTop w:val="0"/>
      <w:marBottom w:val="0"/>
      <w:divBdr>
        <w:top w:val="none" w:sz="0" w:space="0" w:color="auto"/>
        <w:left w:val="none" w:sz="0" w:space="0" w:color="auto"/>
        <w:bottom w:val="none" w:sz="0" w:space="0" w:color="auto"/>
        <w:right w:val="none" w:sz="0" w:space="0" w:color="auto"/>
      </w:divBdr>
    </w:div>
    <w:div w:id="1313631737">
      <w:bodyDiv w:val="1"/>
      <w:marLeft w:val="0"/>
      <w:marRight w:val="0"/>
      <w:marTop w:val="0"/>
      <w:marBottom w:val="0"/>
      <w:divBdr>
        <w:top w:val="none" w:sz="0" w:space="0" w:color="auto"/>
        <w:left w:val="none" w:sz="0" w:space="0" w:color="auto"/>
        <w:bottom w:val="none" w:sz="0" w:space="0" w:color="auto"/>
        <w:right w:val="none" w:sz="0" w:space="0" w:color="auto"/>
      </w:divBdr>
    </w:div>
    <w:div w:id="1317417932">
      <w:bodyDiv w:val="1"/>
      <w:marLeft w:val="0"/>
      <w:marRight w:val="0"/>
      <w:marTop w:val="0"/>
      <w:marBottom w:val="0"/>
      <w:divBdr>
        <w:top w:val="none" w:sz="0" w:space="0" w:color="auto"/>
        <w:left w:val="none" w:sz="0" w:space="0" w:color="auto"/>
        <w:bottom w:val="none" w:sz="0" w:space="0" w:color="auto"/>
        <w:right w:val="none" w:sz="0" w:space="0" w:color="auto"/>
      </w:divBdr>
    </w:div>
    <w:div w:id="1321618849">
      <w:bodyDiv w:val="1"/>
      <w:marLeft w:val="0"/>
      <w:marRight w:val="0"/>
      <w:marTop w:val="0"/>
      <w:marBottom w:val="0"/>
      <w:divBdr>
        <w:top w:val="none" w:sz="0" w:space="0" w:color="auto"/>
        <w:left w:val="none" w:sz="0" w:space="0" w:color="auto"/>
        <w:bottom w:val="none" w:sz="0" w:space="0" w:color="auto"/>
        <w:right w:val="none" w:sz="0" w:space="0" w:color="auto"/>
      </w:divBdr>
    </w:div>
    <w:div w:id="1329676868">
      <w:bodyDiv w:val="1"/>
      <w:marLeft w:val="0"/>
      <w:marRight w:val="0"/>
      <w:marTop w:val="0"/>
      <w:marBottom w:val="0"/>
      <w:divBdr>
        <w:top w:val="none" w:sz="0" w:space="0" w:color="auto"/>
        <w:left w:val="none" w:sz="0" w:space="0" w:color="auto"/>
        <w:bottom w:val="none" w:sz="0" w:space="0" w:color="auto"/>
        <w:right w:val="none" w:sz="0" w:space="0" w:color="auto"/>
      </w:divBdr>
    </w:div>
    <w:div w:id="1338652004">
      <w:bodyDiv w:val="1"/>
      <w:marLeft w:val="0"/>
      <w:marRight w:val="0"/>
      <w:marTop w:val="0"/>
      <w:marBottom w:val="0"/>
      <w:divBdr>
        <w:top w:val="none" w:sz="0" w:space="0" w:color="auto"/>
        <w:left w:val="none" w:sz="0" w:space="0" w:color="auto"/>
        <w:bottom w:val="none" w:sz="0" w:space="0" w:color="auto"/>
        <w:right w:val="none" w:sz="0" w:space="0" w:color="auto"/>
      </w:divBdr>
      <w:divsChild>
        <w:div w:id="19018569">
          <w:marLeft w:val="0"/>
          <w:marRight w:val="0"/>
          <w:marTop w:val="0"/>
          <w:marBottom w:val="0"/>
          <w:divBdr>
            <w:top w:val="none" w:sz="0" w:space="0" w:color="auto"/>
            <w:left w:val="none" w:sz="0" w:space="0" w:color="auto"/>
            <w:bottom w:val="none" w:sz="0" w:space="0" w:color="auto"/>
            <w:right w:val="none" w:sz="0" w:space="0" w:color="auto"/>
          </w:divBdr>
        </w:div>
        <w:div w:id="181554898">
          <w:marLeft w:val="0"/>
          <w:marRight w:val="0"/>
          <w:marTop w:val="0"/>
          <w:marBottom w:val="0"/>
          <w:divBdr>
            <w:top w:val="none" w:sz="0" w:space="0" w:color="auto"/>
            <w:left w:val="none" w:sz="0" w:space="0" w:color="auto"/>
            <w:bottom w:val="none" w:sz="0" w:space="0" w:color="auto"/>
            <w:right w:val="none" w:sz="0" w:space="0" w:color="auto"/>
          </w:divBdr>
        </w:div>
        <w:div w:id="291056692">
          <w:marLeft w:val="0"/>
          <w:marRight w:val="0"/>
          <w:marTop w:val="0"/>
          <w:marBottom w:val="0"/>
          <w:divBdr>
            <w:top w:val="none" w:sz="0" w:space="0" w:color="auto"/>
            <w:left w:val="none" w:sz="0" w:space="0" w:color="auto"/>
            <w:bottom w:val="none" w:sz="0" w:space="0" w:color="auto"/>
            <w:right w:val="none" w:sz="0" w:space="0" w:color="auto"/>
          </w:divBdr>
        </w:div>
        <w:div w:id="386758178">
          <w:marLeft w:val="0"/>
          <w:marRight w:val="0"/>
          <w:marTop w:val="0"/>
          <w:marBottom w:val="0"/>
          <w:divBdr>
            <w:top w:val="none" w:sz="0" w:space="0" w:color="auto"/>
            <w:left w:val="none" w:sz="0" w:space="0" w:color="auto"/>
            <w:bottom w:val="none" w:sz="0" w:space="0" w:color="auto"/>
            <w:right w:val="none" w:sz="0" w:space="0" w:color="auto"/>
          </w:divBdr>
        </w:div>
        <w:div w:id="435756650">
          <w:marLeft w:val="0"/>
          <w:marRight w:val="0"/>
          <w:marTop w:val="0"/>
          <w:marBottom w:val="0"/>
          <w:divBdr>
            <w:top w:val="none" w:sz="0" w:space="0" w:color="auto"/>
            <w:left w:val="none" w:sz="0" w:space="0" w:color="auto"/>
            <w:bottom w:val="none" w:sz="0" w:space="0" w:color="auto"/>
            <w:right w:val="none" w:sz="0" w:space="0" w:color="auto"/>
          </w:divBdr>
        </w:div>
        <w:div w:id="495193636">
          <w:marLeft w:val="0"/>
          <w:marRight w:val="0"/>
          <w:marTop w:val="0"/>
          <w:marBottom w:val="0"/>
          <w:divBdr>
            <w:top w:val="none" w:sz="0" w:space="0" w:color="auto"/>
            <w:left w:val="none" w:sz="0" w:space="0" w:color="auto"/>
            <w:bottom w:val="none" w:sz="0" w:space="0" w:color="auto"/>
            <w:right w:val="none" w:sz="0" w:space="0" w:color="auto"/>
          </w:divBdr>
        </w:div>
        <w:div w:id="518743260">
          <w:marLeft w:val="0"/>
          <w:marRight w:val="0"/>
          <w:marTop w:val="0"/>
          <w:marBottom w:val="0"/>
          <w:divBdr>
            <w:top w:val="none" w:sz="0" w:space="0" w:color="auto"/>
            <w:left w:val="none" w:sz="0" w:space="0" w:color="auto"/>
            <w:bottom w:val="none" w:sz="0" w:space="0" w:color="auto"/>
            <w:right w:val="none" w:sz="0" w:space="0" w:color="auto"/>
          </w:divBdr>
        </w:div>
        <w:div w:id="615254330">
          <w:marLeft w:val="0"/>
          <w:marRight w:val="0"/>
          <w:marTop w:val="0"/>
          <w:marBottom w:val="0"/>
          <w:divBdr>
            <w:top w:val="none" w:sz="0" w:space="0" w:color="auto"/>
            <w:left w:val="none" w:sz="0" w:space="0" w:color="auto"/>
            <w:bottom w:val="none" w:sz="0" w:space="0" w:color="auto"/>
            <w:right w:val="none" w:sz="0" w:space="0" w:color="auto"/>
          </w:divBdr>
        </w:div>
        <w:div w:id="618949161">
          <w:marLeft w:val="0"/>
          <w:marRight w:val="0"/>
          <w:marTop w:val="0"/>
          <w:marBottom w:val="0"/>
          <w:divBdr>
            <w:top w:val="none" w:sz="0" w:space="0" w:color="auto"/>
            <w:left w:val="none" w:sz="0" w:space="0" w:color="auto"/>
            <w:bottom w:val="none" w:sz="0" w:space="0" w:color="auto"/>
            <w:right w:val="none" w:sz="0" w:space="0" w:color="auto"/>
          </w:divBdr>
        </w:div>
        <w:div w:id="647128859">
          <w:marLeft w:val="0"/>
          <w:marRight w:val="0"/>
          <w:marTop w:val="0"/>
          <w:marBottom w:val="0"/>
          <w:divBdr>
            <w:top w:val="none" w:sz="0" w:space="0" w:color="auto"/>
            <w:left w:val="none" w:sz="0" w:space="0" w:color="auto"/>
            <w:bottom w:val="none" w:sz="0" w:space="0" w:color="auto"/>
            <w:right w:val="none" w:sz="0" w:space="0" w:color="auto"/>
          </w:divBdr>
        </w:div>
        <w:div w:id="685255415">
          <w:marLeft w:val="0"/>
          <w:marRight w:val="0"/>
          <w:marTop w:val="0"/>
          <w:marBottom w:val="0"/>
          <w:divBdr>
            <w:top w:val="none" w:sz="0" w:space="0" w:color="auto"/>
            <w:left w:val="none" w:sz="0" w:space="0" w:color="auto"/>
            <w:bottom w:val="none" w:sz="0" w:space="0" w:color="auto"/>
            <w:right w:val="none" w:sz="0" w:space="0" w:color="auto"/>
          </w:divBdr>
        </w:div>
        <w:div w:id="790783679">
          <w:marLeft w:val="0"/>
          <w:marRight w:val="0"/>
          <w:marTop w:val="0"/>
          <w:marBottom w:val="0"/>
          <w:divBdr>
            <w:top w:val="none" w:sz="0" w:space="0" w:color="auto"/>
            <w:left w:val="none" w:sz="0" w:space="0" w:color="auto"/>
            <w:bottom w:val="none" w:sz="0" w:space="0" w:color="auto"/>
            <w:right w:val="none" w:sz="0" w:space="0" w:color="auto"/>
          </w:divBdr>
        </w:div>
        <w:div w:id="791484063">
          <w:marLeft w:val="0"/>
          <w:marRight w:val="0"/>
          <w:marTop w:val="0"/>
          <w:marBottom w:val="0"/>
          <w:divBdr>
            <w:top w:val="none" w:sz="0" w:space="0" w:color="auto"/>
            <w:left w:val="none" w:sz="0" w:space="0" w:color="auto"/>
            <w:bottom w:val="none" w:sz="0" w:space="0" w:color="auto"/>
            <w:right w:val="none" w:sz="0" w:space="0" w:color="auto"/>
          </w:divBdr>
        </w:div>
        <w:div w:id="847402929">
          <w:marLeft w:val="0"/>
          <w:marRight w:val="0"/>
          <w:marTop w:val="0"/>
          <w:marBottom w:val="0"/>
          <w:divBdr>
            <w:top w:val="none" w:sz="0" w:space="0" w:color="auto"/>
            <w:left w:val="none" w:sz="0" w:space="0" w:color="auto"/>
            <w:bottom w:val="none" w:sz="0" w:space="0" w:color="auto"/>
            <w:right w:val="none" w:sz="0" w:space="0" w:color="auto"/>
          </w:divBdr>
        </w:div>
        <w:div w:id="867260606">
          <w:marLeft w:val="0"/>
          <w:marRight w:val="0"/>
          <w:marTop w:val="0"/>
          <w:marBottom w:val="0"/>
          <w:divBdr>
            <w:top w:val="none" w:sz="0" w:space="0" w:color="auto"/>
            <w:left w:val="none" w:sz="0" w:space="0" w:color="auto"/>
            <w:bottom w:val="none" w:sz="0" w:space="0" w:color="auto"/>
            <w:right w:val="none" w:sz="0" w:space="0" w:color="auto"/>
          </w:divBdr>
        </w:div>
        <w:div w:id="909537796">
          <w:marLeft w:val="0"/>
          <w:marRight w:val="0"/>
          <w:marTop w:val="0"/>
          <w:marBottom w:val="0"/>
          <w:divBdr>
            <w:top w:val="none" w:sz="0" w:space="0" w:color="auto"/>
            <w:left w:val="none" w:sz="0" w:space="0" w:color="auto"/>
            <w:bottom w:val="none" w:sz="0" w:space="0" w:color="auto"/>
            <w:right w:val="none" w:sz="0" w:space="0" w:color="auto"/>
          </w:divBdr>
        </w:div>
        <w:div w:id="1099760317">
          <w:marLeft w:val="0"/>
          <w:marRight w:val="0"/>
          <w:marTop w:val="0"/>
          <w:marBottom w:val="0"/>
          <w:divBdr>
            <w:top w:val="none" w:sz="0" w:space="0" w:color="auto"/>
            <w:left w:val="none" w:sz="0" w:space="0" w:color="auto"/>
            <w:bottom w:val="none" w:sz="0" w:space="0" w:color="auto"/>
            <w:right w:val="none" w:sz="0" w:space="0" w:color="auto"/>
          </w:divBdr>
        </w:div>
        <w:div w:id="1142187901">
          <w:marLeft w:val="0"/>
          <w:marRight w:val="0"/>
          <w:marTop w:val="0"/>
          <w:marBottom w:val="0"/>
          <w:divBdr>
            <w:top w:val="none" w:sz="0" w:space="0" w:color="auto"/>
            <w:left w:val="none" w:sz="0" w:space="0" w:color="auto"/>
            <w:bottom w:val="none" w:sz="0" w:space="0" w:color="auto"/>
            <w:right w:val="none" w:sz="0" w:space="0" w:color="auto"/>
          </w:divBdr>
        </w:div>
        <w:div w:id="1165898923">
          <w:marLeft w:val="0"/>
          <w:marRight w:val="0"/>
          <w:marTop w:val="0"/>
          <w:marBottom w:val="0"/>
          <w:divBdr>
            <w:top w:val="none" w:sz="0" w:space="0" w:color="auto"/>
            <w:left w:val="none" w:sz="0" w:space="0" w:color="auto"/>
            <w:bottom w:val="none" w:sz="0" w:space="0" w:color="auto"/>
            <w:right w:val="none" w:sz="0" w:space="0" w:color="auto"/>
          </w:divBdr>
        </w:div>
        <w:div w:id="1250891963">
          <w:marLeft w:val="0"/>
          <w:marRight w:val="0"/>
          <w:marTop w:val="0"/>
          <w:marBottom w:val="0"/>
          <w:divBdr>
            <w:top w:val="none" w:sz="0" w:space="0" w:color="auto"/>
            <w:left w:val="none" w:sz="0" w:space="0" w:color="auto"/>
            <w:bottom w:val="none" w:sz="0" w:space="0" w:color="auto"/>
            <w:right w:val="none" w:sz="0" w:space="0" w:color="auto"/>
          </w:divBdr>
        </w:div>
        <w:div w:id="1285845696">
          <w:marLeft w:val="0"/>
          <w:marRight w:val="0"/>
          <w:marTop w:val="0"/>
          <w:marBottom w:val="0"/>
          <w:divBdr>
            <w:top w:val="none" w:sz="0" w:space="0" w:color="auto"/>
            <w:left w:val="none" w:sz="0" w:space="0" w:color="auto"/>
            <w:bottom w:val="none" w:sz="0" w:space="0" w:color="auto"/>
            <w:right w:val="none" w:sz="0" w:space="0" w:color="auto"/>
          </w:divBdr>
        </w:div>
        <w:div w:id="1298758375">
          <w:marLeft w:val="0"/>
          <w:marRight w:val="0"/>
          <w:marTop w:val="0"/>
          <w:marBottom w:val="0"/>
          <w:divBdr>
            <w:top w:val="none" w:sz="0" w:space="0" w:color="auto"/>
            <w:left w:val="none" w:sz="0" w:space="0" w:color="auto"/>
            <w:bottom w:val="none" w:sz="0" w:space="0" w:color="auto"/>
            <w:right w:val="none" w:sz="0" w:space="0" w:color="auto"/>
          </w:divBdr>
        </w:div>
        <w:div w:id="1304579018">
          <w:marLeft w:val="0"/>
          <w:marRight w:val="0"/>
          <w:marTop w:val="0"/>
          <w:marBottom w:val="0"/>
          <w:divBdr>
            <w:top w:val="none" w:sz="0" w:space="0" w:color="auto"/>
            <w:left w:val="none" w:sz="0" w:space="0" w:color="auto"/>
            <w:bottom w:val="none" w:sz="0" w:space="0" w:color="auto"/>
            <w:right w:val="none" w:sz="0" w:space="0" w:color="auto"/>
          </w:divBdr>
        </w:div>
        <w:div w:id="1315380728">
          <w:marLeft w:val="0"/>
          <w:marRight w:val="0"/>
          <w:marTop w:val="0"/>
          <w:marBottom w:val="0"/>
          <w:divBdr>
            <w:top w:val="none" w:sz="0" w:space="0" w:color="auto"/>
            <w:left w:val="none" w:sz="0" w:space="0" w:color="auto"/>
            <w:bottom w:val="none" w:sz="0" w:space="0" w:color="auto"/>
            <w:right w:val="none" w:sz="0" w:space="0" w:color="auto"/>
          </w:divBdr>
        </w:div>
        <w:div w:id="1511212729">
          <w:marLeft w:val="0"/>
          <w:marRight w:val="0"/>
          <w:marTop w:val="0"/>
          <w:marBottom w:val="0"/>
          <w:divBdr>
            <w:top w:val="none" w:sz="0" w:space="0" w:color="auto"/>
            <w:left w:val="none" w:sz="0" w:space="0" w:color="auto"/>
            <w:bottom w:val="none" w:sz="0" w:space="0" w:color="auto"/>
            <w:right w:val="none" w:sz="0" w:space="0" w:color="auto"/>
          </w:divBdr>
        </w:div>
        <w:div w:id="1569535662">
          <w:marLeft w:val="0"/>
          <w:marRight w:val="0"/>
          <w:marTop w:val="0"/>
          <w:marBottom w:val="0"/>
          <w:divBdr>
            <w:top w:val="none" w:sz="0" w:space="0" w:color="auto"/>
            <w:left w:val="none" w:sz="0" w:space="0" w:color="auto"/>
            <w:bottom w:val="none" w:sz="0" w:space="0" w:color="auto"/>
            <w:right w:val="none" w:sz="0" w:space="0" w:color="auto"/>
          </w:divBdr>
        </w:div>
        <w:div w:id="1581059472">
          <w:marLeft w:val="0"/>
          <w:marRight w:val="0"/>
          <w:marTop w:val="0"/>
          <w:marBottom w:val="0"/>
          <w:divBdr>
            <w:top w:val="none" w:sz="0" w:space="0" w:color="auto"/>
            <w:left w:val="none" w:sz="0" w:space="0" w:color="auto"/>
            <w:bottom w:val="none" w:sz="0" w:space="0" w:color="auto"/>
            <w:right w:val="none" w:sz="0" w:space="0" w:color="auto"/>
          </w:divBdr>
        </w:div>
        <w:div w:id="1590194633">
          <w:marLeft w:val="0"/>
          <w:marRight w:val="0"/>
          <w:marTop w:val="0"/>
          <w:marBottom w:val="0"/>
          <w:divBdr>
            <w:top w:val="none" w:sz="0" w:space="0" w:color="auto"/>
            <w:left w:val="none" w:sz="0" w:space="0" w:color="auto"/>
            <w:bottom w:val="none" w:sz="0" w:space="0" w:color="auto"/>
            <w:right w:val="none" w:sz="0" w:space="0" w:color="auto"/>
          </w:divBdr>
        </w:div>
        <w:div w:id="1648511492">
          <w:marLeft w:val="0"/>
          <w:marRight w:val="0"/>
          <w:marTop w:val="0"/>
          <w:marBottom w:val="0"/>
          <w:divBdr>
            <w:top w:val="none" w:sz="0" w:space="0" w:color="auto"/>
            <w:left w:val="none" w:sz="0" w:space="0" w:color="auto"/>
            <w:bottom w:val="none" w:sz="0" w:space="0" w:color="auto"/>
            <w:right w:val="none" w:sz="0" w:space="0" w:color="auto"/>
          </w:divBdr>
        </w:div>
        <w:div w:id="1765569587">
          <w:marLeft w:val="0"/>
          <w:marRight w:val="0"/>
          <w:marTop w:val="0"/>
          <w:marBottom w:val="0"/>
          <w:divBdr>
            <w:top w:val="none" w:sz="0" w:space="0" w:color="auto"/>
            <w:left w:val="none" w:sz="0" w:space="0" w:color="auto"/>
            <w:bottom w:val="none" w:sz="0" w:space="0" w:color="auto"/>
            <w:right w:val="none" w:sz="0" w:space="0" w:color="auto"/>
          </w:divBdr>
        </w:div>
        <w:div w:id="1823887989">
          <w:marLeft w:val="0"/>
          <w:marRight w:val="0"/>
          <w:marTop w:val="0"/>
          <w:marBottom w:val="0"/>
          <w:divBdr>
            <w:top w:val="none" w:sz="0" w:space="0" w:color="auto"/>
            <w:left w:val="none" w:sz="0" w:space="0" w:color="auto"/>
            <w:bottom w:val="none" w:sz="0" w:space="0" w:color="auto"/>
            <w:right w:val="none" w:sz="0" w:space="0" w:color="auto"/>
          </w:divBdr>
        </w:div>
        <w:div w:id="1935169986">
          <w:marLeft w:val="0"/>
          <w:marRight w:val="0"/>
          <w:marTop w:val="0"/>
          <w:marBottom w:val="0"/>
          <w:divBdr>
            <w:top w:val="none" w:sz="0" w:space="0" w:color="auto"/>
            <w:left w:val="none" w:sz="0" w:space="0" w:color="auto"/>
            <w:bottom w:val="none" w:sz="0" w:space="0" w:color="auto"/>
            <w:right w:val="none" w:sz="0" w:space="0" w:color="auto"/>
          </w:divBdr>
        </w:div>
        <w:div w:id="1940216354">
          <w:marLeft w:val="0"/>
          <w:marRight w:val="0"/>
          <w:marTop w:val="0"/>
          <w:marBottom w:val="0"/>
          <w:divBdr>
            <w:top w:val="none" w:sz="0" w:space="0" w:color="auto"/>
            <w:left w:val="none" w:sz="0" w:space="0" w:color="auto"/>
            <w:bottom w:val="none" w:sz="0" w:space="0" w:color="auto"/>
            <w:right w:val="none" w:sz="0" w:space="0" w:color="auto"/>
          </w:divBdr>
        </w:div>
        <w:div w:id="2081363448">
          <w:marLeft w:val="0"/>
          <w:marRight w:val="0"/>
          <w:marTop w:val="0"/>
          <w:marBottom w:val="0"/>
          <w:divBdr>
            <w:top w:val="none" w:sz="0" w:space="0" w:color="auto"/>
            <w:left w:val="none" w:sz="0" w:space="0" w:color="auto"/>
            <w:bottom w:val="none" w:sz="0" w:space="0" w:color="auto"/>
            <w:right w:val="none" w:sz="0" w:space="0" w:color="auto"/>
          </w:divBdr>
        </w:div>
        <w:div w:id="2144033357">
          <w:marLeft w:val="0"/>
          <w:marRight w:val="0"/>
          <w:marTop w:val="0"/>
          <w:marBottom w:val="0"/>
          <w:divBdr>
            <w:top w:val="none" w:sz="0" w:space="0" w:color="auto"/>
            <w:left w:val="none" w:sz="0" w:space="0" w:color="auto"/>
            <w:bottom w:val="none" w:sz="0" w:space="0" w:color="auto"/>
            <w:right w:val="none" w:sz="0" w:space="0" w:color="auto"/>
          </w:divBdr>
        </w:div>
      </w:divsChild>
    </w:div>
    <w:div w:id="1343973592">
      <w:bodyDiv w:val="1"/>
      <w:marLeft w:val="0"/>
      <w:marRight w:val="0"/>
      <w:marTop w:val="0"/>
      <w:marBottom w:val="0"/>
      <w:divBdr>
        <w:top w:val="none" w:sz="0" w:space="0" w:color="auto"/>
        <w:left w:val="none" w:sz="0" w:space="0" w:color="auto"/>
        <w:bottom w:val="none" w:sz="0" w:space="0" w:color="auto"/>
        <w:right w:val="none" w:sz="0" w:space="0" w:color="auto"/>
      </w:divBdr>
      <w:divsChild>
        <w:div w:id="814951111">
          <w:marLeft w:val="0"/>
          <w:marRight w:val="0"/>
          <w:marTop w:val="0"/>
          <w:marBottom w:val="0"/>
          <w:divBdr>
            <w:top w:val="none" w:sz="0" w:space="0" w:color="auto"/>
            <w:left w:val="none" w:sz="0" w:space="0" w:color="auto"/>
            <w:bottom w:val="none" w:sz="0" w:space="0" w:color="auto"/>
            <w:right w:val="none" w:sz="0" w:space="0" w:color="auto"/>
          </w:divBdr>
          <w:divsChild>
            <w:div w:id="1296525567">
              <w:marLeft w:val="0"/>
              <w:marRight w:val="0"/>
              <w:marTop w:val="0"/>
              <w:marBottom w:val="0"/>
              <w:divBdr>
                <w:top w:val="none" w:sz="0" w:space="0" w:color="auto"/>
                <w:left w:val="none" w:sz="0" w:space="0" w:color="auto"/>
                <w:bottom w:val="none" w:sz="0" w:space="0" w:color="auto"/>
                <w:right w:val="none" w:sz="0" w:space="0" w:color="auto"/>
              </w:divBdr>
              <w:divsChild>
                <w:div w:id="58790870">
                  <w:marLeft w:val="0"/>
                  <w:marRight w:val="0"/>
                  <w:marTop w:val="0"/>
                  <w:marBottom w:val="0"/>
                  <w:divBdr>
                    <w:top w:val="none" w:sz="0" w:space="0" w:color="auto"/>
                    <w:left w:val="none" w:sz="0" w:space="0" w:color="auto"/>
                    <w:bottom w:val="none" w:sz="0" w:space="0" w:color="auto"/>
                    <w:right w:val="none" w:sz="0" w:space="0" w:color="auto"/>
                  </w:divBdr>
                </w:div>
                <w:div w:id="69231441">
                  <w:marLeft w:val="0"/>
                  <w:marRight w:val="0"/>
                  <w:marTop w:val="0"/>
                  <w:marBottom w:val="0"/>
                  <w:divBdr>
                    <w:top w:val="none" w:sz="0" w:space="0" w:color="auto"/>
                    <w:left w:val="none" w:sz="0" w:space="0" w:color="auto"/>
                    <w:bottom w:val="none" w:sz="0" w:space="0" w:color="auto"/>
                    <w:right w:val="none" w:sz="0" w:space="0" w:color="auto"/>
                  </w:divBdr>
                </w:div>
                <w:div w:id="103040079">
                  <w:marLeft w:val="0"/>
                  <w:marRight w:val="0"/>
                  <w:marTop w:val="0"/>
                  <w:marBottom w:val="0"/>
                  <w:divBdr>
                    <w:top w:val="none" w:sz="0" w:space="0" w:color="auto"/>
                    <w:left w:val="none" w:sz="0" w:space="0" w:color="auto"/>
                    <w:bottom w:val="none" w:sz="0" w:space="0" w:color="auto"/>
                    <w:right w:val="none" w:sz="0" w:space="0" w:color="auto"/>
                  </w:divBdr>
                </w:div>
                <w:div w:id="199439870">
                  <w:marLeft w:val="0"/>
                  <w:marRight w:val="0"/>
                  <w:marTop w:val="0"/>
                  <w:marBottom w:val="0"/>
                  <w:divBdr>
                    <w:top w:val="none" w:sz="0" w:space="0" w:color="auto"/>
                    <w:left w:val="none" w:sz="0" w:space="0" w:color="auto"/>
                    <w:bottom w:val="none" w:sz="0" w:space="0" w:color="auto"/>
                    <w:right w:val="none" w:sz="0" w:space="0" w:color="auto"/>
                  </w:divBdr>
                </w:div>
                <w:div w:id="310907195">
                  <w:marLeft w:val="0"/>
                  <w:marRight w:val="0"/>
                  <w:marTop w:val="0"/>
                  <w:marBottom w:val="0"/>
                  <w:divBdr>
                    <w:top w:val="none" w:sz="0" w:space="0" w:color="auto"/>
                    <w:left w:val="none" w:sz="0" w:space="0" w:color="auto"/>
                    <w:bottom w:val="none" w:sz="0" w:space="0" w:color="auto"/>
                    <w:right w:val="none" w:sz="0" w:space="0" w:color="auto"/>
                  </w:divBdr>
                </w:div>
                <w:div w:id="465897488">
                  <w:marLeft w:val="0"/>
                  <w:marRight w:val="0"/>
                  <w:marTop w:val="0"/>
                  <w:marBottom w:val="0"/>
                  <w:divBdr>
                    <w:top w:val="none" w:sz="0" w:space="0" w:color="auto"/>
                    <w:left w:val="none" w:sz="0" w:space="0" w:color="auto"/>
                    <w:bottom w:val="none" w:sz="0" w:space="0" w:color="auto"/>
                    <w:right w:val="none" w:sz="0" w:space="0" w:color="auto"/>
                  </w:divBdr>
                </w:div>
                <w:div w:id="544146610">
                  <w:marLeft w:val="0"/>
                  <w:marRight w:val="0"/>
                  <w:marTop w:val="0"/>
                  <w:marBottom w:val="0"/>
                  <w:divBdr>
                    <w:top w:val="none" w:sz="0" w:space="0" w:color="auto"/>
                    <w:left w:val="none" w:sz="0" w:space="0" w:color="auto"/>
                    <w:bottom w:val="none" w:sz="0" w:space="0" w:color="auto"/>
                    <w:right w:val="none" w:sz="0" w:space="0" w:color="auto"/>
                  </w:divBdr>
                </w:div>
                <w:div w:id="700327778">
                  <w:marLeft w:val="0"/>
                  <w:marRight w:val="0"/>
                  <w:marTop w:val="0"/>
                  <w:marBottom w:val="0"/>
                  <w:divBdr>
                    <w:top w:val="none" w:sz="0" w:space="0" w:color="auto"/>
                    <w:left w:val="none" w:sz="0" w:space="0" w:color="auto"/>
                    <w:bottom w:val="none" w:sz="0" w:space="0" w:color="auto"/>
                    <w:right w:val="none" w:sz="0" w:space="0" w:color="auto"/>
                  </w:divBdr>
                </w:div>
                <w:div w:id="720247508">
                  <w:marLeft w:val="0"/>
                  <w:marRight w:val="0"/>
                  <w:marTop w:val="0"/>
                  <w:marBottom w:val="0"/>
                  <w:divBdr>
                    <w:top w:val="none" w:sz="0" w:space="0" w:color="auto"/>
                    <w:left w:val="none" w:sz="0" w:space="0" w:color="auto"/>
                    <w:bottom w:val="none" w:sz="0" w:space="0" w:color="auto"/>
                    <w:right w:val="none" w:sz="0" w:space="0" w:color="auto"/>
                  </w:divBdr>
                </w:div>
                <w:div w:id="755712922">
                  <w:marLeft w:val="0"/>
                  <w:marRight w:val="0"/>
                  <w:marTop w:val="0"/>
                  <w:marBottom w:val="0"/>
                  <w:divBdr>
                    <w:top w:val="none" w:sz="0" w:space="0" w:color="auto"/>
                    <w:left w:val="none" w:sz="0" w:space="0" w:color="auto"/>
                    <w:bottom w:val="none" w:sz="0" w:space="0" w:color="auto"/>
                    <w:right w:val="none" w:sz="0" w:space="0" w:color="auto"/>
                  </w:divBdr>
                </w:div>
                <w:div w:id="874386540">
                  <w:marLeft w:val="0"/>
                  <w:marRight w:val="0"/>
                  <w:marTop w:val="0"/>
                  <w:marBottom w:val="0"/>
                  <w:divBdr>
                    <w:top w:val="none" w:sz="0" w:space="0" w:color="auto"/>
                    <w:left w:val="none" w:sz="0" w:space="0" w:color="auto"/>
                    <w:bottom w:val="none" w:sz="0" w:space="0" w:color="auto"/>
                    <w:right w:val="none" w:sz="0" w:space="0" w:color="auto"/>
                  </w:divBdr>
                </w:div>
                <w:div w:id="881789316">
                  <w:marLeft w:val="0"/>
                  <w:marRight w:val="0"/>
                  <w:marTop w:val="0"/>
                  <w:marBottom w:val="0"/>
                  <w:divBdr>
                    <w:top w:val="none" w:sz="0" w:space="0" w:color="auto"/>
                    <w:left w:val="none" w:sz="0" w:space="0" w:color="auto"/>
                    <w:bottom w:val="none" w:sz="0" w:space="0" w:color="auto"/>
                    <w:right w:val="none" w:sz="0" w:space="0" w:color="auto"/>
                  </w:divBdr>
                </w:div>
                <w:div w:id="967660805">
                  <w:marLeft w:val="0"/>
                  <w:marRight w:val="0"/>
                  <w:marTop w:val="0"/>
                  <w:marBottom w:val="0"/>
                  <w:divBdr>
                    <w:top w:val="none" w:sz="0" w:space="0" w:color="auto"/>
                    <w:left w:val="none" w:sz="0" w:space="0" w:color="auto"/>
                    <w:bottom w:val="none" w:sz="0" w:space="0" w:color="auto"/>
                    <w:right w:val="none" w:sz="0" w:space="0" w:color="auto"/>
                  </w:divBdr>
                </w:div>
                <w:div w:id="1100687528">
                  <w:marLeft w:val="0"/>
                  <w:marRight w:val="0"/>
                  <w:marTop w:val="0"/>
                  <w:marBottom w:val="0"/>
                  <w:divBdr>
                    <w:top w:val="none" w:sz="0" w:space="0" w:color="auto"/>
                    <w:left w:val="none" w:sz="0" w:space="0" w:color="auto"/>
                    <w:bottom w:val="none" w:sz="0" w:space="0" w:color="auto"/>
                    <w:right w:val="none" w:sz="0" w:space="0" w:color="auto"/>
                  </w:divBdr>
                </w:div>
                <w:div w:id="1212500295">
                  <w:marLeft w:val="0"/>
                  <w:marRight w:val="0"/>
                  <w:marTop w:val="0"/>
                  <w:marBottom w:val="0"/>
                  <w:divBdr>
                    <w:top w:val="none" w:sz="0" w:space="0" w:color="auto"/>
                    <w:left w:val="none" w:sz="0" w:space="0" w:color="auto"/>
                    <w:bottom w:val="none" w:sz="0" w:space="0" w:color="auto"/>
                    <w:right w:val="none" w:sz="0" w:space="0" w:color="auto"/>
                  </w:divBdr>
                </w:div>
                <w:div w:id="1233783423">
                  <w:marLeft w:val="0"/>
                  <w:marRight w:val="0"/>
                  <w:marTop w:val="0"/>
                  <w:marBottom w:val="0"/>
                  <w:divBdr>
                    <w:top w:val="none" w:sz="0" w:space="0" w:color="auto"/>
                    <w:left w:val="none" w:sz="0" w:space="0" w:color="auto"/>
                    <w:bottom w:val="none" w:sz="0" w:space="0" w:color="auto"/>
                    <w:right w:val="none" w:sz="0" w:space="0" w:color="auto"/>
                  </w:divBdr>
                </w:div>
                <w:div w:id="1273632259">
                  <w:marLeft w:val="0"/>
                  <w:marRight w:val="0"/>
                  <w:marTop w:val="0"/>
                  <w:marBottom w:val="0"/>
                  <w:divBdr>
                    <w:top w:val="none" w:sz="0" w:space="0" w:color="auto"/>
                    <w:left w:val="none" w:sz="0" w:space="0" w:color="auto"/>
                    <w:bottom w:val="none" w:sz="0" w:space="0" w:color="auto"/>
                    <w:right w:val="none" w:sz="0" w:space="0" w:color="auto"/>
                  </w:divBdr>
                </w:div>
                <w:div w:id="1722633433">
                  <w:marLeft w:val="0"/>
                  <w:marRight w:val="0"/>
                  <w:marTop w:val="0"/>
                  <w:marBottom w:val="0"/>
                  <w:divBdr>
                    <w:top w:val="none" w:sz="0" w:space="0" w:color="auto"/>
                    <w:left w:val="none" w:sz="0" w:space="0" w:color="auto"/>
                    <w:bottom w:val="none" w:sz="0" w:space="0" w:color="auto"/>
                    <w:right w:val="none" w:sz="0" w:space="0" w:color="auto"/>
                  </w:divBdr>
                </w:div>
                <w:div w:id="1894806314">
                  <w:marLeft w:val="0"/>
                  <w:marRight w:val="0"/>
                  <w:marTop w:val="0"/>
                  <w:marBottom w:val="0"/>
                  <w:divBdr>
                    <w:top w:val="none" w:sz="0" w:space="0" w:color="auto"/>
                    <w:left w:val="none" w:sz="0" w:space="0" w:color="auto"/>
                    <w:bottom w:val="none" w:sz="0" w:space="0" w:color="auto"/>
                    <w:right w:val="none" w:sz="0" w:space="0" w:color="auto"/>
                  </w:divBdr>
                </w:div>
                <w:div w:id="207207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380885">
          <w:marLeft w:val="0"/>
          <w:marRight w:val="0"/>
          <w:marTop w:val="0"/>
          <w:marBottom w:val="0"/>
          <w:divBdr>
            <w:top w:val="none" w:sz="0" w:space="0" w:color="auto"/>
            <w:left w:val="none" w:sz="0" w:space="0" w:color="auto"/>
            <w:bottom w:val="none" w:sz="0" w:space="0" w:color="auto"/>
            <w:right w:val="none" w:sz="0" w:space="0" w:color="auto"/>
          </w:divBdr>
          <w:divsChild>
            <w:div w:id="2144233358">
              <w:marLeft w:val="0"/>
              <w:marRight w:val="0"/>
              <w:marTop w:val="0"/>
              <w:marBottom w:val="0"/>
              <w:divBdr>
                <w:top w:val="none" w:sz="0" w:space="0" w:color="auto"/>
                <w:left w:val="none" w:sz="0" w:space="0" w:color="auto"/>
                <w:bottom w:val="none" w:sz="0" w:space="0" w:color="auto"/>
                <w:right w:val="none" w:sz="0" w:space="0" w:color="auto"/>
              </w:divBdr>
              <w:divsChild>
                <w:div w:id="18508611">
                  <w:marLeft w:val="0"/>
                  <w:marRight w:val="0"/>
                  <w:marTop w:val="0"/>
                  <w:marBottom w:val="0"/>
                  <w:divBdr>
                    <w:top w:val="none" w:sz="0" w:space="0" w:color="auto"/>
                    <w:left w:val="none" w:sz="0" w:space="0" w:color="auto"/>
                    <w:bottom w:val="none" w:sz="0" w:space="0" w:color="auto"/>
                    <w:right w:val="none" w:sz="0" w:space="0" w:color="auto"/>
                  </w:divBdr>
                </w:div>
                <w:div w:id="53092337">
                  <w:marLeft w:val="0"/>
                  <w:marRight w:val="0"/>
                  <w:marTop w:val="0"/>
                  <w:marBottom w:val="0"/>
                  <w:divBdr>
                    <w:top w:val="none" w:sz="0" w:space="0" w:color="auto"/>
                    <w:left w:val="none" w:sz="0" w:space="0" w:color="auto"/>
                    <w:bottom w:val="none" w:sz="0" w:space="0" w:color="auto"/>
                    <w:right w:val="none" w:sz="0" w:space="0" w:color="auto"/>
                  </w:divBdr>
                </w:div>
                <w:div w:id="63525485">
                  <w:marLeft w:val="0"/>
                  <w:marRight w:val="0"/>
                  <w:marTop w:val="0"/>
                  <w:marBottom w:val="0"/>
                  <w:divBdr>
                    <w:top w:val="none" w:sz="0" w:space="0" w:color="auto"/>
                    <w:left w:val="none" w:sz="0" w:space="0" w:color="auto"/>
                    <w:bottom w:val="none" w:sz="0" w:space="0" w:color="auto"/>
                    <w:right w:val="none" w:sz="0" w:space="0" w:color="auto"/>
                  </w:divBdr>
                </w:div>
                <w:div w:id="92869828">
                  <w:marLeft w:val="0"/>
                  <w:marRight w:val="0"/>
                  <w:marTop w:val="0"/>
                  <w:marBottom w:val="0"/>
                  <w:divBdr>
                    <w:top w:val="none" w:sz="0" w:space="0" w:color="auto"/>
                    <w:left w:val="none" w:sz="0" w:space="0" w:color="auto"/>
                    <w:bottom w:val="none" w:sz="0" w:space="0" w:color="auto"/>
                    <w:right w:val="none" w:sz="0" w:space="0" w:color="auto"/>
                  </w:divBdr>
                </w:div>
                <w:div w:id="138377103">
                  <w:marLeft w:val="0"/>
                  <w:marRight w:val="0"/>
                  <w:marTop w:val="0"/>
                  <w:marBottom w:val="0"/>
                  <w:divBdr>
                    <w:top w:val="none" w:sz="0" w:space="0" w:color="auto"/>
                    <w:left w:val="none" w:sz="0" w:space="0" w:color="auto"/>
                    <w:bottom w:val="none" w:sz="0" w:space="0" w:color="auto"/>
                    <w:right w:val="none" w:sz="0" w:space="0" w:color="auto"/>
                  </w:divBdr>
                </w:div>
                <w:div w:id="147133357">
                  <w:marLeft w:val="0"/>
                  <w:marRight w:val="0"/>
                  <w:marTop w:val="0"/>
                  <w:marBottom w:val="0"/>
                  <w:divBdr>
                    <w:top w:val="none" w:sz="0" w:space="0" w:color="auto"/>
                    <w:left w:val="none" w:sz="0" w:space="0" w:color="auto"/>
                    <w:bottom w:val="none" w:sz="0" w:space="0" w:color="auto"/>
                    <w:right w:val="none" w:sz="0" w:space="0" w:color="auto"/>
                  </w:divBdr>
                </w:div>
                <w:div w:id="166529297">
                  <w:marLeft w:val="0"/>
                  <w:marRight w:val="0"/>
                  <w:marTop w:val="0"/>
                  <w:marBottom w:val="0"/>
                  <w:divBdr>
                    <w:top w:val="none" w:sz="0" w:space="0" w:color="auto"/>
                    <w:left w:val="none" w:sz="0" w:space="0" w:color="auto"/>
                    <w:bottom w:val="none" w:sz="0" w:space="0" w:color="auto"/>
                    <w:right w:val="none" w:sz="0" w:space="0" w:color="auto"/>
                  </w:divBdr>
                </w:div>
                <w:div w:id="166559062">
                  <w:marLeft w:val="0"/>
                  <w:marRight w:val="0"/>
                  <w:marTop w:val="0"/>
                  <w:marBottom w:val="0"/>
                  <w:divBdr>
                    <w:top w:val="none" w:sz="0" w:space="0" w:color="auto"/>
                    <w:left w:val="none" w:sz="0" w:space="0" w:color="auto"/>
                    <w:bottom w:val="none" w:sz="0" w:space="0" w:color="auto"/>
                    <w:right w:val="none" w:sz="0" w:space="0" w:color="auto"/>
                  </w:divBdr>
                </w:div>
                <w:div w:id="175926494">
                  <w:marLeft w:val="0"/>
                  <w:marRight w:val="0"/>
                  <w:marTop w:val="0"/>
                  <w:marBottom w:val="0"/>
                  <w:divBdr>
                    <w:top w:val="none" w:sz="0" w:space="0" w:color="auto"/>
                    <w:left w:val="none" w:sz="0" w:space="0" w:color="auto"/>
                    <w:bottom w:val="none" w:sz="0" w:space="0" w:color="auto"/>
                    <w:right w:val="none" w:sz="0" w:space="0" w:color="auto"/>
                  </w:divBdr>
                </w:div>
                <w:div w:id="183131899">
                  <w:marLeft w:val="0"/>
                  <w:marRight w:val="0"/>
                  <w:marTop w:val="0"/>
                  <w:marBottom w:val="0"/>
                  <w:divBdr>
                    <w:top w:val="none" w:sz="0" w:space="0" w:color="auto"/>
                    <w:left w:val="none" w:sz="0" w:space="0" w:color="auto"/>
                    <w:bottom w:val="none" w:sz="0" w:space="0" w:color="auto"/>
                    <w:right w:val="none" w:sz="0" w:space="0" w:color="auto"/>
                  </w:divBdr>
                </w:div>
                <w:div w:id="216356572">
                  <w:marLeft w:val="0"/>
                  <w:marRight w:val="0"/>
                  <w:marTop w:val="0"/>
                  <w:marBottom w:val="0"/>
                  <w:divBdr>
                    <w:top w:val="none" w:sz="0" w:space="0" w:color="auto"/>
                    <w:left w:val="none" w:sz="0" w:space="0" w:color="auto"/>
                    <w:bottom w:val="none" w:sz="0" w:space="0" w:color="auto"/>
                    <w:right w:val="none" w:sz="0" w:space="0" w:color="auto"/>
                  </w:divBdr>
                </w:div>
                <w:div w:id="307394033">
                  <w:marLeft w:val="0"/>
                  <w:marRight w:val="0"/>
                  <w:marTop w:val="0"/>
                  <w:marBottom w:val="0"/>
                  <w:divBdr>
                    <w:top w:val="none" w:sz="0" w:space="0" w:color="auto"/>
                    <w:left w:val="none" w:sz="0" w:space="0" w:color="auto"/>
                    <w:bottom w:val="none" w:sz="0" w:space="0" w:color="auto"/>
                    <w:right w:val="none" w:sz="0" w:space="0" w:color="auto"/>
                  </w:divBdr>
                </w:div>
                <w:div w:id="314720313">
                  <w:marLeft w:val="0"/>
                  <w:marRight w:val="0"/>
                  <w:marTop w:val="0"/>
                  <w:marBottom w:val="0"/>
                  <w:divBdr>
                    <w:top w:val="none" w:sz="0" w:space="0" w:color="auto"/>
                    <w:left w:val="none" w:sz="0" w:space="0" w:color="auto"/>
                    <w:bottom w:val="none" w:sz="0" w:space="0" w:color="auto"/>
                    <w:right w:val="none" w:sz="0" w:space="0" w:color="auto"/>
                  </w:divBdr>
                </w:div>
                <w:div w:id="329601483">
                  <w:marLeft w:val="0"/>
                  <w:marRight w:val="0"/>
                  <w:marTop w:val="0"/>
                  <w:marBottom w:val="0"/>
                  <w:divBdr>
                    <w:top w:val="none" w:sz="0" w:space="0" w:color="auto"/>
                    <w:left w:val="none" w:sz="0" w:space="0" w:color="auto"/>
                    <w:bottom w:val="none" w:sz="0" w:space="0" w:color="auto"/>
                    <w:right w:val="none" w:sz="0" w:space="0" w:color="auto"/>
                  </w:divBdr>
                </w:div>
                <w:div w:id="351146106">
                  <w:marLeft w:val="0"/>
                  <w:marRight w:val="0"/>
                  <w:marTop w:val="0"/>
                  <w:marBottom w:val="0"/>
                  <w:divBdr>
                    <w:top w:val="none" w:sz="0" w:space="0" w:color="auto"/>
                    <w:left w:val="none" w:sz="0" w:space="0" w:color="auto"/>
                    <w:bottom w:val="none" w:sz="0" w:space="0" w:color="auto"/>
                    <w:right w:val="none" w:sz="0" w:space="0" w:color="auto"/>
                  </w:divBdr>
                </w:div>
                <w:div w:id="358361499">
                  <w:marLeft w:val="0"/>
                  <w:marRight w:val="0"/>
                  <w:marTop w:val="0"/>
                  <w:marBottom w:val="0"/>
                  <w:divBdr>
                    <w:top w:val="none" w:sz="0" w:space="0" w:color="auto"/>
                    <w:left w:val="none" w:sz="0" w:space="0" w:color="auto"/>
                    <w:bottom w:val="none" w:sz="0" w:space="0" w:color="auto"/>
                    <w:right w:val="none" w:sz="0" w:space="0" w:color="auto"/>
                  </w:divBdr>
                </w:div>
                <w:div w:id="388843226">
                  <w:marLeft w:val="0"/>
                  <w:marRight w:val="0"/>
                  <w:marTop w:val="0"/>
                  <w:marBottom w:val="0"/>
                  <w:divBdr>
                    <w:top w:val="none" w:sz="0" w:space="0" w:color="auto"/>
                    <w:left w:val="none" w:sz="0" w:space="0" w:color="auto"/>
                    <w:bottom w:val="none" w:sz="0" w:space="0" w:color="auto"/>
                    <w:right w:val="none" w:sz="0" w:space="0" w:color="auto"/>
                  </w:divBdr>
                </w:div>
                <w:div w:id="455104882">
                  <w:marLeft w:val="0"/>
                  <w:marRight w:val="0"/>
                  <w:marTop w:val="0"/>
                  <w:marBottom w:val="0"/>
                  <w:divBdr>
                    <w:top w:val="none" w:sz="0" w:space="0" w:color="auto"/>
                    <w:left w:val="none" w:sz="0" w:space="0" w:color="auto"/>
                    <w:bottom w:val="none" w:sz="0" w:space="0" w:color="auto"/>
                    <w:right w:val="none" w:sz="0" w:space="0" w:color="auto"/>
                  </w:divBdr>
                </w:div>
                <w:div w:id="532501091">
                  <w:marLeft w:val="0"/>
                  <w:marRight w:val="0"/>
                  <w:marTop w:val="0"/>
                  <w:marBottom w:val="0"/>
                  <w:divBdr>
                    <w:top w:val="none" w:sz="0" w:space="0" w:color="auto"/>
                    <w:left w:val="none" w:sz="0" w:space="0" w:color="auto"/>
                    <w:bottom w:val="none" w:sz="0" w:space="0" w:color="auto"/>
                    <w:right w:val="none" w:sz="0" w:space="0" w:color="auto"/>
                  </w:divBdr>
                </w:div>
                <w:div w:id="563419154">
                  <w:marLeft w:val="0"/>
                  <w:marRight w:val="0"/>
                  <w:marTop w:val="0"/>
                  <w:marBottom w:val="0"/>
                  <w:divBdr>
                    <w:top w:val="none" w:sz="0" w:space="0" w:color="auto"/>
                    <w:left w:val="none" w:sz="0" w:space="0" w:color="auto"/>
                    <w:bottom w:val="none" w:sz="0" w:space="0" w:color="auto"/>
                    <w:right w:val="none" w:sz="0" w:space="0" w:color="auto"/>
                  </w:divBdr>
                </w:div>
                <w:div w:id="593632390">
                  <w:marLeft w:val="0"/>
                  <w:marRight w:val="0"/>
                  <w:marTop w:val="0"/>
                  <w:marBottom w:val="0"/>
                  <w:divBdr>
                    <w:top w:val="none" w:sz="0" w:space="0" w:color="auto"/>
                    <w:left w:val="none" w:sz="0" w:space="0" w:color="auto"/>
                    <w:bottom w:val="none" w:sz="0" w:space="0" w:color="auto"/>
                    <w:right w:val="none" w:sz="0" w:space="0" w:color="auto"/>
                  </w:divBdr>
                </w:div>
                <w:div w:id="601687756">
                  <w:marLeft w:val="0"/>
                  <w:marRight w:val="0"/>
                  <w:marTop w:val="0"/>
                  <w:marBottom w:val="0"/>
                  <w:divBdr>
                    <w:top w:val="none" w:sz="0" w:space="0" w:color="auto"/>
                    <w:left w:val="none" w:sz="0" w:space="0" w:color="auto"/>
                    <w:bottom w:val="none" w:sz="0" w:space="0" w:color="auto"/>
                    <w:right w:val="none" w:sz="0" w:space="0" w:color="auto"/>
                  </w:divBdr>
                </w:div>
                <w:div w:id="617373819">
                  <w:marLeft w:val="0"/>
                  <w:marRight w:val="0"/>
                  <w:marTop w:val="0"/>
                  <w:marBottom w:val="0"/>
                  <w:divBdr>
                    <w:top w:val="none" w:sz="0" w:space="0" w:color="auto"/>
                    <w:left w:val="none" w:sz="0" w:space="0" w:color="auto"/>
                    <w:bottom w:val="none" w:sz="0" w:space="0" w:color="auto"/>
                    <w:right w:val="none" w:sz="0" w:space="0" w:color="auto"/>
                  </w:divBdr>
                </w:div>
                <w:div w:id="630019112">
                  <w:marLeft w:val="0"/>
                  <w:marRight w:val="0"/>
                  <w:marTop w:val="0"/>
                  <w:marBottom w:val="0"/>
                  <w:divBdr>
                    <w:top w:val="none" w:sz="0" w:space="0" w:color="auto"/>
                    <w:left w:val="none" w:sz="0" w:space="0" w:color="auto"/>
                    <w:bottom w:val="none" w:sz="0" w:space="0" w:color="auto"/>
                    <w:right w:val="none" w:sz="0" w:space="0" w:color="auto"/>
                  </w:divBdr>
                </w:div>
                <w:div w:id="634137975">
                  <w:marLeft w:val="0"/>
                  <w:marRight w:val="0"/>
                  <w:marTop w:val="0"/>
                  <w:marBottom w:val="0"/>
                  <w:divBdr>
                    <w:top w:val="none" w:sz="0" w:space="0" w:color="auto"/>
                    <w:left w:val="none" w:sz="0" w:space="0" w:color="auto"/>
                    <w:bottom w:val="none" w:sz="0" w:space="0" w:color="auto"/>
                    <w:right w:val="none" w:sz="0" w:space="0" w:color="auto"/>
                  </w:divBdr>
                </w:div>
                <w:div w:id="657155584">
                  <w:marLeft w:val="0"/>
                  <w:marRight w:val="0"/>
                  <w:marTop w:val="0"/>
                  <w:marBottom w:val="0"/>
                  <w:divBdr>
                    <w:top w:val="none" w:sz="0" w:space="0" w:color="auto"/>
                    <w:left w:val="none" w:sz="0" w:space="0" w:color="auto"/>
                    <w:bottom w:val="none" w:sz="0" w:space="0" w:color="auto"/>
                    <w:right w:val="none" w:sz="0" w:space="0" w:color="auto"/>
                  </w:divBdr>
                </w:div>
                <w:div w:id="660545489">
                  <w:marLeft w:val="0"/>
                  <w:marRight w:val="0"/>
                  <w:marTop w:val="0"/>
                  <w:marBottom w:val="0"/>
                  <w:divBdr>
                    <w:top w:val="none" w:sz="0" w:space="0" w:color="auto"/>
                    <w:left w:val="none" w:sz="0" w:space="0" w:color="auto"/>
                    <w:bottom w:val="none" w:sz="0" w:space="0" w:color="auto"/>
                    <w:right w:val="none" w:sz="0" w:space="0" w:color="auto"/>
                  </w:divBdr>
                </w:div>
                <w:div w:id="664161863">
                  <w:marLeft w:val="0"/>
                  <w:marRight w:val="0"/>
                  <w:marTop w:val="0"/>
                  <w:marBottom w:val="0"/>
                  <w:divBdr>
                    <w:top w:val="none" w:sz="0" w:space="0" w:color="auto"/>
                    <w:left w:val="none" w:sz="0" w:space="0" w:color="auto"/>
                    <w:bottom w:val="none" w:sz="0" w:space="0" w:color="auto"/>
                    <w:right w:val="none" w:sz="0" w:space="0" w:color="auto"/>
                  </w:divBdr>
                </w:div>
                <w:div w:id="689256015">
                  <w:marLeft w:val="0"/>
                  <w:marRight w:val="0"/>
                  <w:marTop w:val="0"/>
                  <w:marBottom w:val="0"/>
                  <w:divBdr>
                    <w:top w:val="none" w:sz="0" w:space="0" w:color="auto"/>
                    <w:left w:val="none" w:sz="0" w:space="0" w:color="auto"/>
                    <w:bottom w:val="none" w:sz="0" w:space="0" w:color="auto"/>
                    <w:right w:val="none" w:sz="0" w:space="0" w:color="auto"/>
                  </w:divBdr>
                </w:div>
                <w:div w:id="701981511">
                  <w:marLeft w:val="0"/>
                  <w:marRight w:val="0"/>
                  <w:marTop w:val="0"/>
                  <w:marBottom w:val="0"/>
                  <w:divBdr>
                    <w:top w:val="none" w:sz="0" w:space="0" w:color="auto"/>
                    <w:left w:val="none" w:sz="0" w:space="0" w:color="auto"/>
                    <w:bottom w:val="none" w:sz="0" w:space="0" w:color="auto"/>
                    <w:right w:val="none" w:sz="0" w:space="0" w:color="auto"/>
                  </w:divBdr>
                </w:div>
                <w:div w:id="708916731">
                  <w:marLeft w:val="0"/>
                  <w:marRight w:val="0"/>
                  <w:marTop w:val="0"/>
                  <w:marBottom w:val="0"/>
                  <w:divBdr>
                    <w:top w:val="none" w:sz="0" w:space="0" w:color="auto"/>
                    <w:left w:val="none" w:sz="0" w:space="0" w:color="auto"/>
                    <w:bottom w:val="none" w:sz="0" w:space="0" w:color="auto"/>
                    <w:right w:val="none" w:sz="0" w:space="0" w:color="auto"/>
                  </w:divBdr>
                </w:div>
                <w:div w:id="733771869">
                  <w:marLeft w:val="0"/>
                  <w:marRight w:val="0"/>
                  <w:marTop w:val="0"/>
                  <w:marBottom w:val="0"/>
                  <w:divBdr>
                    <w:top w:val="none" w:sz="0" w:space="0" w:color="auto"/>
                    <w:left w:val="none" w:sz="0" w:space="0" w:color="auto"/>
                    <w:bottom w:val="none" w:sz="0" w:space="0" w:color="auto"/>
                    <w:right w:val="none" w:sz="0" w:space="0" w:color="auto"/>
                  </w:divBdr>
                </w:div>
                <w:div w:id="742219792">
                  <w:marLeft w:val="0"/>
                  <w:marRight w:val="0"/>
                  <w:marTop w:val="0"/>
                  <w:marBottom w:val="0"/>
                  <w:divBdr>
                    <w:top w:val="none" w:sz="0" w:space="0" w:color="auto"/>
                    <w:left w:val="none" w:sz="0" w:space="0" w:color="auto"/>
                    <w:bottom w:val="none" w:sz="0" w:space="0" w:color="auto"/>
                    <w:right w:val="none" w:sz="0" w:space="0" w:color="auto"/>
                  </w:divBdr>
                </w:div>
                <w:div w:id="758448438">
                  <w:marLeft w:val="0"/>
                  <w:marRight w:val="0"/>
                  <w:marTop w:val="0"/>
                  <w:marBottom w:val="0"/>
                  <w:divBdr>
                    <w:top w:val="none" w:sz="0" w:space="0" w:color="auto"/>
                    <w:left w:val="none" w:sz="0" w:space="0" w:color="auto"/>
                    <w:bottom w:val="none" w:sz="0" w:space="0" w:color="auto"/>
                    <w:right w:val="none" w:sz="0" w:space="0" w:color="auto"/>
                  </w:divBdr>
                </w:div>
                <w:div w:id="764767926">
                  <w:marLeft w:val="0"/>
                  <w:marRight w:val="0"/>
                  <w:marTop w:val="0"/>
                  <w:marBottom w:val="0"/>
                  <w:divBdr>
                    <w:top w:val="none" w:sz="0" w:space="0" w:color="auto"/>
                    <w:left w:val="none" w:sz="0" w:space="0" w:color="auto"/>
                    <w:bottom w:val="none" w:sz="0" w:space="0" w:color="auto"/>
                    <w:right w:val="none" w:sz="0" w:space="0" w:color="auto"/>
                  </w:divBdr>
                </w:div>
                <w:div w:id="785663761">
                  <w:marLeft w:val="0"/>
                  <w:marRight w:val="0"/>
                  <w:marTop w:val="0"/>
                  <w:marBottom w:val="0"/>
                  <w:divBdr>
                    <w:top w:val="none" w:sz="0" w:space="0" w:color="auto"/>
                    <w:left w:val="none" w:sz="0" w:space="0" w:color="auto"/>
                    <w:bottom w:val="none" w:sz="0" w:space="0" w:color="auto"/>
                    <w:right w:val="none" w:sz="0" w:space="0" w:color="auto"/>
                  </w:divBdr>
                </w:div>
                <w:div w:id="838231551">
                  <w:marLeft w:val="0"/>
                  <w:marRight w:val="0"/>
                  <w:marTop w:val="0"/>
                  <w:marBottom w:val="0"/>
                  <w:divBdr>
                    <w:top w:val="none" w:sz="0" w:space="0" w:color="auto"/>
                    <w:left w:val="none" w:sz="0" w:space="0" w:color="auto"/>
                    <w:bottom w:val="none" w:sz="0" w:space="0" w:color="auto"/>
                    <w:right w:val="none" w:sz="0" w:space="0" w:color="auto"/>
                  </w:divBdr>
                </w:div>
                <w:div w:id="887230276">
                  <w:marLeft w:val="0"/>
                  <w:marRight w:val="0"/>
                  <w:marTop w:val="0"/>
                  <w:marBottom w:val="0"/>
                  <w:divBdr>
                    <w:top w:val="none" w:sz="0" w:space="0" w:color="auto"/>
                    <w:left w:val="none" w:sz="0" w:space="0" w:color="auto"/>
                    <w:bottom w:val="none" w:sz="0" w:space="0" w:color="auto"/>
                    <w:right w:val="none" w:sz="0" w:space="0" w:color="auto"/>
                  </w:divBdr>
                </w:div>
                <w:div w:id="912786445">
                  <w:marLeft w:val="0"/>
                  <w:marRight w:val="0"/>
                  <w:marTop w:val="0"/>
                  <w:marBottom w:val="0"/>
                  <w:divBdr>
                    <w:top w:val="none" w:sz="0" w:space="0" w:color="auto"/>
                    <w:left w:val="none" w:sz="0" w:space="0" w:color="auto"/>
                    <w:bottom w:val="none" w:sz="0" w:space="0" w:color="auto"/>
                    <w:right w:val="none" w:sz="0" w:space="0" w:color="auto"/>
                  </w:divBdr>
                </w:div>
                <w:div w:id="927157279">
                  <w:marLeft w:val="0"/>
                  <w:marRight w:val="0"/>
                  <w:marTop w:val="0"/>
                  <w:marBottom w:val="0"/>
                  <w:divBdr>
                    <w:top w:val="none" w:sz="0" w:space="0" w:color="auto"/>
                    <w:left w:val="none" w:sz="0" w:space="0" w:color="auto"/>
                    <w:bottom w:val="none" w:sz="0" w:space="0" w:color="auto"/>
                    <w:right w:val="none" w:sz="0" w:space="0" w:color="auto"/>
                  </w:divBdr>
                </w:div>
                <w:div w:id="935095231">
                  <w:marLeft w:val="0"/>
                  <w:marRight w:val="0"/>
                  <w:marTop w:val="0"/>
                  <w:marBottom w:val="0"/>
                  <w:divBdr>
                    <w:top w:val="none" w:sz="0" w:space="0" w:color="auto"/>
                    <w:left w:val="none" w:sz="0" w:space="0" w:color="auto"/>
                    <w:bottom w:val="none" w:sz="0" w:space="0" w:color="auto"/>
                    <w:right w:val="none" w:sz="0" w:space="0" w:color="auto"/>
                  </w:divBdr>
                </w:div>
                <w:div w:id="939216952">
                  <w:marLeft w:val="0"/>
                  <w:marRight w:val="0"/>
                  <w:marTop w:val="0"/>
                  <w:marBottom w:val="0"/>
                  <w:divBdr>
                    <w:top w:val="none" w:sz="0" w:space="0" w:color="auto"/>
                    <w:left w:val="none" w:sz="0" w:space="0" w:color="auto"/>
                    <w:bottom w:val="none" w:sz="0" w:space="0" w:color="auto"/>
                    <w:right w:val="none" w:sz="0" w:space="0" w:color="auto"/>
                  </w:divBdr>
                </w:div>
                <w:div w:id="939871311">
                  <w:marLeft w:val="0"/>
                  <w:marRight w:val="0"/>
                  <w:marTop w:val="0"/>
                  <w:marBottom w:val="0"/>
                  <w:divBdr>
                    <w:top w:val="none" w:sz="0" w:space="0" w:color="auto"/>
                    <w:left w:val="none" w:sz="0" w:space="0" w:color="auto"/>
                    <w:bottom w:val="none" w:sz="0" w:space="0" w:color="auto"/>
                    <w:right w:val="none" w:sz="0" w:space="0" w:color="auto"/>
                  </w:divBdr>
                </w:div>
                <w:div w:id="948392821">
                  <w:marLeft w:val="0"/>
                  <w:marRight w:val="0"/>
                  <w:marTop w:val="0"/>
                  <w:marBottom w:val="0"/>
                  <w:divBdr>
                    <w:top w:val="none" w:sz="0" w:space="0" w:color="auto"/>
                    <w:left w:val="none" w:sz="0" w:space="0" w:color="auto"/>
                    <w:bottom w:val="none" w:sz="0" w:space="0" w:color="auto"/>
                    <w:right w:val="none" w:sz="0" w:space="0" w:color="auto"/>
                  </w:divBdr>
                </w:div>
                <w:div w:id="963658124">
                  <w:marLeft w:val="0"/>
                  <w:marRight w:val="0"/>
                  <w:marTop w:val="0"/>
                  <w:marBottom w:val="0"/>
                  <w:divBdr>
                    <w:top w:val="none" w:sz="0" w:space="0" w:color="auto"/>
                    <w:left w:val="none" w:sz="0" w:space="0" w:color="auto"/>
                    <w:bottom w:val="none" w:sz="0" w:space="0" w:color="auto"/>
                    <w:right w:val="none" w:sz="0" w:space="0" w:color="auto"/>
                  </w:divBdr>
                </w:div>
                <w:div w:id="968124480">
                  <w:marLeft w:val="0"/>
                  <w:marRight w:val="0"/>
                  <w:marTop w:val="0"/>
                  <w:marBottom w:val="0"/>
                  <w:divBdr>
                    <w:top w:val="none" w:sz="0" w:space="0" w:color="auto"/>
                    <w:left w:val="none" w:sz="0" w:space="0" w:color="auto"/>
                    <w:bottom w:val="none" w:sz="0" w:space="0" w:color="auto"/>
                    <w:right w:val="none" w:sz="0" w:space="0" w:color="auto"/>
                  </w:divBdr>
                </w:div>
                <w:div w:id="980842335">
                  <w:marLeft w:val="0"/>
                  <w:marRight w:val="0"/>
                  <w:marTop w:val="0"/>
                  <w:marBottom w:val="0"/>
                  <w:divBdr>
                    <w:top w:val="none" w:sz="0" w:space="0" w:color="auto"/>
                    <w:left w:val="none" w:sz="0" w:space="0" w:color="auto"/>
                    <w:bottom w:val="none" w:sz="0" w:space="0" w:color="auto"/>
                    <w:right w:val="none" w:sz="0" w:space="0" w:color="auto"/>
                  </w:divBdr>
                </w:div>
                <w:div w:id="1029835097">
                  <w:marLeft w:val="0"/>
                  <w:marRight w:val="0"/>
                  <w:marTop w:val="0"/>
                  <w:marBottom w:val="0"/>
                  <w:divBdr>
                    <w:top w:val="none" w:sz="0" w:space="0" w:color="auto"/>
                    <w:left w:val="none" w:sz="0" w:space="0" w:color="auto"/>
                    <w:bottom w:val="none" w:sz="0" w:space="0" w:color="auto"/>
                    <w:right w:val="none" w:sz="0" w:space="0" w:color="auto"/>
                  </w:divBdr>
                </w:div>
                <w:div w:id="1042167263">
                  <w:marLeft w:val="0"/>
                  <w:marRight w:val="0"/>
                  <w:marTop w:val="0"/>
                  <w:marBottom w:val="0"/>
                  <w:divBdr>
                    <w:top w:val="none" w:sz="0" w:space="0" w:color="auto"/>
                    <w:left w:val="none" w:sz="0" w:space="0" w:color="auto"/>
                    <w:bottom w:val="none" w:sz="0" w:space="0" w:color="auto"/>
                    <w:right w:val="none" w:sz="0" w:space="0" w:color="auto"/>
                  </w:divBdr>
                </w:div>
                <w:div w:id="1075316528">
                  <w:marLeft w:val="0"/>
                  <w:marRight w:val="0"/>
                  <w:marTop w:val="0"/>
                  <w:marBottom w:val="0"/>
                  <w:divBdr>
                    <w:top w:val="none" w:sz="0" w:space="0" w:color="auto"/>
                    <w:left w:val="none" w:sz="0" w:space="0" w:color="auto"/>
                    <w:bottom w:val="none" w:sz="0" w:space="0" w:color="auto"/>
                    <w:right w:val="none" w:sz="0" w:space="0" w:color="auto"/>
                  </w:divBdr>
                </w:div>
                <w:div w:id="1091927086">
                  <w:marLeft w:val="0"/>
                  <w:marRight w:val="0"/>
                  <w:marTop w:val="0"/>
                  <w:marBottom w:val="0"/>
                  <w:divBdr>
                    <w:top w:val="none" w:sz="0" w:space="0" w:color="auto"/>
                    <w:left w:val="none" w:sz="0" w:space="0" w:color="auto"/>
                    <w:bottom w:val="none" w:sz="0" w:space="0" w:color="auto"/>
                    <w:right w:val="none" w:sz="0" w:space="0" w:color="auto"/>
                  </w:divBdr>
                </w:div>
                <w:div w:id="1093013073">
                  <w:marLeft w:val="0"/>
                  <w:marRight w:val="0"/>
                  <w:marTop w:val="0"/>
                  <w:marBottom w:val="0"/>
                  <w:divBdr>
                    <w:top w:val="none" w:sz="0" w:space="0" w:color="auto"/>
                    <w:left w:val="none" w:sz="0" w:space="0" w:color="auto"/>
                    <w:bottom w:val="none" w:sz="0" w:space="0" w:color="auto"/>
                    <w:right w:val="none" w:sz="0" w:space="0" w:color="auto"/>
                  </w:divBdr>
                </w:div>
                <w:div w:id="1114518572">
                  <w:marLeft w:val="0"/>
                  <w:marRight w:val="0"/>
                  <w:marTop w:val="0"/>
                  <w:marBottom w:val="0"/>
                  <w:divBdr>
                    <w:top w:val="none" w:sz="0" w:space="0" w:color="auto"/>
                    <w:left w:val="none" w:sz="0" w:space="0" w:color="auto"/>
                    <w:bottom w:val="none" w:sz="0" w:space="0" w:color="auto"/>
                    <w:right w:val="none" w:sz="0" w:space="0" w:color="auto"/>
                  </w:divBdr>
                </w:div>
                <w:div w:id="1136727382">
                  <w:marLeft w:val="0"/>
                  <w:marRight w:val="0"/>
                  <w:marTop w:val="0"/>
                  <w:marBottom w:val="0"/>
                  <w:divBdr>
                    <w:top w:val="none" w:sz="0" w:space="0" w:color="auto"/>
                    <w:left w:val="none" w:sz="0" w:space="0" w:color="auto"/>
                    <w:bottom w:val="none" w:sz="0" w:space="0" w:color="auto"/>
                    <w:right w:val="none" w:sz="0" w:space="0" w:color="auto"/>
                  </w:divBdr>
                </w:div>
                <w:div w:id="1147895770">
                  <w:marLeft w:val="0"/>
                  <w:marRight w:val="0"/>
                  <w:marTop w:val="0"/>
                  <w:marBottom w:val="0"/>
                  <w:divBdr>
                    <w:top w:val="none" w:sz="0" w:space="0" w:color="auto"/>
                    <w:left w:val="none" w:sz="0" w:space="0" w:color="auto"/>
                    <w:bottom w:val="none" w:sz="0" w:space="0" w:color="auto"/>
                    <w:right w:val="none" w:sz="0" w:space="0" w:color="auto"/>
                  </w:divBdr>
                </w:div>
                <w:div w:id="1152331470">
                  <w:marLeft w:val="0"/>
                  <w:marRight w:val="0"/>
                  <w:marTop w:val="0"/>
                  <w:marBottom w:val="0"/>
                  <w:divBdr>
                    <w:top w:val="none" w:sz="0" w:space="0" w:color="auto"/>
                    <w:left w:val="none" w:sz="0" w:space="0" w:color="auto"/>
                    <w:bottom w:val="none" w:sz="0" w:space="0" w:color="auto"/>
                    <w:right w:val="none" w:sz="0" w:space="0" w:color="auto"/>
                  </w:divBdr>
                </w:div>
                <w:div w:id="1194541919">
                  <w:marLeft w:val="0"/>
                  <w:marRight w:val="0"/>
                  <w:marTop w:val="0"/>
                  <w:marBottom w:val="0"/>
                  <w:divBdr>
                    <w:top w:val="none" w:sz="0" w:space="0" w:color="auto"/>
                    <w:left w:val="none" w:sz="0" w:space="0" w:color="auto"/>
                    <w:bottom w:val="none" w:sz="0" w:space="0" w:color="auto"/>
                    <w:right w:val="none" w:sz="0" w:space="0" w:color="auto"/>
                  </w:divBdr>
                </w:div>
                <w:div w:id="1202597530">
                  <w:marLeft w:val="0"/>
                  <w:marRight w:val="0"/>
                  <w:marTop w:val="0"/>
                  <w:marBottom w:val="0"/>
                  <w:divBdr>
                    <w:top w:val="none" w:sz="0" w:space="0" w:color="auto"/>
                    <w:left w:val="none" w:sz="0" w:space="0" w:color="auto"/>
                    <w:bottom w:val="none" w:sz="0" w:space="0" w:color="auto"/>
                    <w:right w:val="none" w:sz="0" w:space="0" w:color="auto"/>
                  </w:divBdr>
                </w:div>
                <w:div w:id="1248265192">
                  <w:marLeft w:val="0"/>
                  <w:marRight w:val="0"/>
                  <w:marTop w:val="0"/>
                  <w:marBottom w:val="0"/>
                  <w:divBdr>
                    <w:top w:val="none" w:sz="0" w:space="0" w:color="auto"/>
                    <w:left w:val="none" w:sz="0" w:space="0" w:color="auto"/>
                    <w:bottom w:val="none" w:sz="0" w:space="0" w:color="auto"/>
                    <w:right w:val="none" w:sz="0" w:space="0" w:color="auto"/>
                  </w:divBdr>
                </w:div>
                <w:div w:id="1264607618">
                  <w:marLeft w:val="0"/>
                  <w:marRight w:val="0"/>
                  <w:marTop w:val="0"/>
                  <w:marBottom w:val="0"/>
                  <w:divBdr>
                    <w:top w:val="none" w:sz="0" w:space="0" w:color="auto"/>
                    <w:left w:val="none" w:sz="0" w:space="0" w:color="auto"/>
                    <w:bottom w:val="none" w:sz="0" w:space="0" w:color="auto"/>
                    <w:right w:val="none" w:sz="0" w:space="0" w:color="auto"/>
                  </w:divBdr>
                </w:div>
                <w:div w:id="1265117849">
                  <w:marLeft w:val="0"/>
                  <w:marRight w:val="0"/>
                  <w:marTop w:val="0"/>
                  <w:marBottom w:val="0"/>
                  <w:divBdr>
                    <w:top w:val="none" w:sz="0" w:space="0" w:color="auto"/>
                    <w:left w:val="none" w:sz="0" w:space="0" w:color="auto"/>
                    <w:bottom w:val="none" w:sz="0" w:space="0" w:color="auto"/>
                    <w:right w:val="none" w:sz="0" w:space="0" w:color="auto"/>
                  </w:divBdr>
                </w:div>
                <w:div w:id="1321495568">
                  <w:marLeft w:val="0"/>
                  <w:marRight w:val="0"/>
                  <w:marTop w:val="0"/>
                  <w:marBottom w:val="0"/>
                  <w:divBdr>
                    <w:top w:val="none" w:sz="0" w:space="0" w:color="auto"/>
                    <w:left w:val="none" w:sz="0" w:space="0" w:color="auto"/>
                    <w:bottom w:val="none" w:sz="0" w:space="0" w:color="auto"/>
                    <w:right w:val="none" w:sz="0" w:space="0" w:color="auto"/>
                  </w:divBdr>
                </w:div>
                <w:div w:id="1323701025">
                  <w:marLeft w:val="0"/>
                  <w:marRight w:val="0"/>
                  <w:marTop w:val="0"/>
                  <w:marBottom w:val="0"/>
                  <w:divBdr>
                    <w:top w:val="none" w:sz="0" w:space="0" w:color="auto"/>
                    <w:left w:val="none" w:sz="0" w:space="0" w:color="auto"/>
                    <w:bottom w:val="none" w:sz="0" w:space="0" w:color="auto"/>
                    <w:right w:val="none" w:sz="0" w:space="0" w:color="auto"/>
                  </w:divBdr>
                </w:div>
                <w:div w:id="1359157737">
                  <w:marLeft w:val="0"/>
                  <w:marRight w:val="0"/>
                  <w:marTop w:val="0"/>
                  <w:marBottom w:val="0"/>
                  <w:divBdr>
                    <w:top w:val="none" w:sz="0" w:space="0" w:color="auto"/>
                    <w:left w:val="none" w:sz="0" w:space="0" w:color="auto"/>
                    <w:bottom w:val="none" w:sz="0" w:space="0" w:color="auto"/>
                    <w:right w:val="none" w:sz="0" w:space="0" w:color="auto"/>
                  </w:divBdr>
                </w:div>
                <w:div w:id="1369453736">
                  <w:marLeft w:val="0"/>
                  <w:marRight w:val="0"/>
                  <w:marTop w:val="0"/>
                  <w:marBottom w:val="0"/>
                  <w:divBdr>
                    <w:top w:val="none" w:sz="0" w:space="0" w:color="auto"/>
                    <w:left w:val="none" w:sz="0" w:space="0" w:color="auto"/>
                    <w:bottom w:val="none" w:sz="0" w:space="0" w:color="auto"/>
                    <w:right w:val="none" w:sz="0" w:space="0" w:color="auto"/>
                  </w:divBdr>
                </w:div>
                <w:div w:id="1370255757">
                  <w:marLeft w:val="0"/>
                  <w:marRight w:val="0"/>
                  <w:marTop w:val="0"/>
                  <w:marBottom w:val="0"/>
                  <w:divBdr>
                    <w:top w:val="none" w:sz="0" w:space="0" w:color="auto"/>
                    <w:left w:val="none" w:sz="0" w:space="0" w:color="auto"/>
                    <w:bottom w:val="none" w:sz="0" w:space="0" w:color="auto"/>
                    <w:right w:val="none" w:sz="0" w:space="0" w:color="auto"/>
                  </w:divBdr>
                </w:div>
                <w:div w:id="1373503490">
                  <w:marLeft w:val="0"/>
                  <w:marRight w:val="0"/>
                  <w:marTop w:val="0"/>
                  <w:marBottom w:val="0"/>
                  <w:divBdr>
                    <w:top w:val="none" w:sz="0" w:space="0" w:color="auto"/>
                    <w:left w:val="none" w:sz="0" w:space="0" w:color="auto"/>
                    <w:bottom w:val="none" w:sz="0" w:space="0" w:color="auto"/>
                    <w:right w:val="none" w:sz="0" w:space="0" w:color="auto"/>
                  </w:divBdr>
                </w:div>
                <w:div w:id="1376081678">
                  <w:marLeft w:val="0"/>
                  <w:marRight w:val="0"/>
                  <w:marTop w:val="0"/>
                  <w:marBottom w:val="0"/>
                  <w:divBdr>
                    <w:top w:val="none" w:sz="0" w:space="0" w:color="auto"/>
                    <w:left w:val="none" w:sz="0" w:space="0" w:color="auto"/>
                    <w:bottom w:val="none" w:sz="0" w:space="0" w:color="auto"/>
                    <w:right w:val="none" w:sz="0" w:space="0" w:color="auto"/>
                  </w:divBdr>
                </w:div>
                <w:div w:id="1382900668">
                  <w:marLeft w:val="0"/>
                  <w:marRight w:val="0"/>
                  <w:marTop w:val="0"/>
                  <w:marBottom w:val="0"/>
                  <w:divBdr>
                    <w:top w:val="none" w:sz="0" w:space="0" w:color="auto"/>
                    <w:left w:val="none" w:sz="0" w:space="0" w:color="auto"/>
                    <w:bottom w:val="none" w:sz="0" w:space="0" w:color="auto"/>
                    <w:right w:val="none" w:sz="0" w:space="0" w:color="auto"/>
                  </w:divBdr>
                </w:div>
                <w:div w:id="1389645592">
                  <w:marLeft w:val="0"/>
                  <w:marRight w:val="0"/>
                  <w:marTop w:val="0"/>
                  <w:marBottom w:val="0"/>
                  <w:divBdr>
                    <w:top w:val="none" w:sz="0" w:space="0" w:color="auto"/>
                    <w:left w:val="none" w:sz="0" w:space="0" w:color="auto"/>
                    <w:bottom w:val="none" w:sz="0" w:space="0" w:color="auto"/>
                    <w:right w:val="none" w:sz="0" w:space="0" w:color="auto"/>
                  </w:divBdr>
                </w:div>
                <w:div w:id="1395198963">
                  <w:marLeft w:val="0"/>
                  <w:marRight w:val="0"/>
                  <w:marTop w:val="0"/>
                  <w:marBottom w:val="0"/>
                  <w:divBdr>
                    <w:top w:val="none" w:sz="0" w:space="0" w:color="auto"/>
                    <w:left w:val="none" w:sz="0" w:space="0" w:color="auto"/>
                    <w:bottom w:val="none" w:sz="0" w:space="0" w:color="auto"/>
                    <w:right w:val="none" w:sz="0" w:space="0" w:color="auto"/>
                  </w:divBdr>
                </w:div>
                <w:div w:id="1454324704">
                  <w:marLeft w:val="0"/>
                  <w:marRight w:val="0"/>
                  <w:marTop w:val="0"/>
                  <w:marBottom w:val="0"/>
                  <w:divBdr>
                    <w:top w:val="none" w:sz="0" w:space="0" w:color="auto"/>
                    <w:left w:val="none" w:sz="0" w:space="0" w:color="auto"/>
                    <w:bottom w:val="none" w:sz="0" w:space="0" w:color="auto"/>
                    <w:right w:val="none" w:sz="0" w:space="0" w:color="auto"/>
                  </w:divBdr>
                </w:div>
                <w:div w:id="1469979503">
                  <w:marLeft w:val="0"/>
                  <w:marRight w:val="0"/>
                  <w:marTop w:val="0"/>
                  <w:marBottom w:val="0"/>
                  <w:divBdr>
                    <w:top w:val="none" w:sz="0" w:space="0" w:color="auto"/>
                    <w:left w:val="none" w:sz="0" w:space="0" w:color="auto"/>
                    <w:bottom w:val="none" w:sz="0" w:space="0" w:color="auto"/>
                    <w:right w:val="none" w:sz="0" w:space="0" w:color="auto"/>
                  </w:divBdr>
                </w:div>
                <w:div w:id="1488740843">
                  <w:marLeft w:val="0"/>
                  <w:marRight w:val="0"/>
                  <w:marTop w:val="0"/>
                  <w:marBottom w:val="0"/>
                  <w:divBdr>
                    <w:top w:val="none" w:sz="0" w:space="0" w:color="auto"/>
                    <w:left w:val="none" w:sz="0" w:space="0" w:color="auto"/>
                    <w:bottom w:val="none" w:sz="0" w:space="0" w:color="auto"/>
                    <w:right w:val="none" w:sz="0" w:space="0" w:color="auto"/>
                  </w:divBdr>
                </w:div>
                <w:div w:id="1489976449">
                  <w:marLeft w:val="0"/>
                  <w:marRight w:val="0"/>
                  <w:marTop w:val="0"/>
                  <w:marBottom w:val="0"/>
                  <w:divBdr>
                    <w:top w:val="none" w:sz="0" w:space="0" w:color="auto"/>
                    <w:left w:val="none" w:sz="0" w:space="0" w:color="auto"/>
                    <w:bottom w:val="none" w:sz="0" w:space="0" w:color="auto"/>
                    <w:right w:val="none" w:sz="0" w:space="0" w:color="auto"/>
                  </w:divBdr>
                </w:div>
                <w:div w:id="1560507641">
                  <w:marLeft w:val="0"/>
                  <w:marRight w:val="0"/>
                  <w:marTop w:val="0"/>
                  <w:marBottom w:val="0"/>
                  <w:divBdr>
                    <w:top w:val="none" w:sz="0" w:space="0" w:color="auto"/>
                    <w:left w:val="none" w:sz="0" w:space="0" w:color="auto"/>
                    <w:bottom w:val="none" w:sz="0" w:space="0" w:color="auto"/>
                    <w:right w:val="none" w:sz="0" w:space="0" w:color="auto"/>
                  </w:divBdr>
                </w:div>
                <w:div w:id="1562210174">
                  <w:marLeft w:val="0"/>
                  <w:marRight w:val="0"/>
                  <w:marTop w:val="0"/>
                  <w:marBottom w:val="0"/>
                  <w:divBdr>
                    <w:top w:val="none" w:sz="0" w:space="0" w:color="auto"/>
                    <w:left w:val="none" w:sz="0" w:space="0" w:color="auto"/>
                    <w:bottom w:val="none" w:sz="0" w:space="0" w:color="auto"/>
                    <w:right w:val="none" w:sz="0" w:space="0" w:color="auto"/>
                  </w:divBdr>
                </w:div>
                <w:div w:id="1599101300">
                  <w:marLeft w:val="0"/>
                  <w:marRight w:val="0"/>
                  <w:marTop w:val="0"/>
                  <w:marBottom w:val="0"/>
                  <w:divBdr>
                    <w:top w:val="none" w:sz="0" w:space="0" w:color="auto"/>
                    <w:left w:val="none" w:sz="0" w:space="0" w:color="auto"/>
                    <w:bottom w:val="none" w:sz="0" w:space="0" w:color="auto"/>
                    <w:right w:val="none" w:sz="0" w:space="0" w:color="auto"/>
                  </w:divBdr>
                </w:div>
                <w:div w:id="1620842873">
                  <w:marLeft w:val="0"/>
                  <w:marRight w:val="0"/>
                  <w:marTop w:val="0"/>
                  <w:marBottom w:val="0"/>
                  <w:divBdr>
                    <w:top w:val="none" w:sz="0" w:space="0" w:color="auto"/>
                    <w:left w:val="none" w:sz="0" w:space="0" w:color="auto"/>
                    <w:bottom w:val="none" w:sz="0" w:space="0" w:color="auto"/>
                    <w:right w:val="none" w:sz="0" w:space="0" w:color="auto"/>
                  </w:divBdr>
                </w:div>
                <w:div w:id="1627587792">
                  <w:marLeft w:val="0"/>
                  <w:marRight w:val="0"/>
                  <w:marTop w:val="0"/>
                  <w:marBottom w:val="0"/>
                  <w:divBdr>
                    <w:top w:val="none" w:sz="0" w:space="0" w:color="auto"/>
                    <w:left w:val="none" w:sz="0" w:space="0" w:color="auto"/>
                    <w:bottom w:val="none" w:sz="0" w:space="0" w:color="auto"/>
                    <w:right w:val="none" w:sz="0" w:space="0" w:color="auto"/>
                  </w:divBdr>
                </w:div>
                <w:div w:id="1631981534">
                  <w:marLeft w:val="0"/>
                  <w:marRight w:val="0"/>
                  <w:marTop w:val="0"/>
                  <w:marBottom w:val="0"/>
                  <w:divBdr>
                    <w:top w:val="none" w:sz="0" w:space="0" w:color="auto"/>
                    <w:left w:val="none" w:sz="0" w:space="0" w:color="auto"/>
                    <w:bottom w:val="none" w:sz="0" w:space="0" w:color="auto"/>
                    <w:right w:val="none" w:sz="0" w:space="0" w:color="auto"/>
                  </w:divBdr>
                </w:div>
                <w:div w:id="1742210385">
                  <w:marLeft w:val="0"/>
                  <w:marRight w:val="0"/>
                  <w:marTop w:val="0"/>
                  <w:marBottom w:val="0"/>
                  <w:divBdr>
                    <w:top w:val="none" w:sz="0" w:space="0" w:color="auto"/>
                    <w:left w:val="none" w:sz="0" w:space="0" w:color="auto"/>
                    <w:bottom w:val="none" w:sz="0" w:space="0" w:color="auto"/>
                    <w:right w:val="none" w:sz="0" w:space="0" w:color="auto"/>
                  </w:divBdr>
                </w:div>
                <w:div w:id="1755859129">
                  <w:marLeft w:val="0"/>
                  <w:marRight w:val="0"/>
                  <w:marTop w:val="0"/>
                  <w:marBottom w:val="0"/>
                  <w:divBdr>
                    <w:top w:val="none" w:sz="0" w:space="0" w:color="auto"/>
                    <w:left w:val="none" w:sz="0" w:space="0" w:color="auto"/>
                    <w:bottom w:val="none" w:sz="0" w:space="0" w:color="auto"/>
                    <w:right w:val="none" w:sz="0" w:space="0" w:color="auto"/>
                  </w:divBdr>
                </w:div>
                <w:div w:id="1764838727">
                  <w:marLeft w:val="0"/>
                  <w:marRight w:val="0"/>
                  <w:marTop w:val="0"/>
                  <w:marBottom w:val="0"/>
                  <w:divBdr>
                    <w:top w:val="none" w:sz="0" w:space="0" w:color="auto"/>
                    <w:left w:val="none" w:sz="0" w:space="0" w:color="auto"/>
                    <w:bottom w:val="none" w:sz="0" w:space="0" w:color="auto"/>
                    <w:right w:val="none" w:sz="0" w:space="0" w:color="auto"/>
                  </w:divBdr>
                </w:div>
                <w:div w:id="1836649752">
                  <w:marLeft w:val="0"/>
                  <w:marRight w:val="0"/>
                  <w:marTop w:val="0"/>
                  <w:marBottom w:val="0"/>
                  <w:divBdr>
                    <w:top w:val="none" w:sz="0" w:space="0" w:color="auto"/>
                    <w:left w:val="none" w:sz="0" w:space="0" w:color="auto"/>
                    <w:bottom w:val="none" w:sz="0" w:space="0" w:color="auto"/>
                    <w:right w:val="none" w:sz="0" w:space="0" w:color="auto"/>
                  </w:divBdr>
                </w:div>
                <w:div w:id="1852140156">
                  <w:marLeft w:val="0"/>
                  <w:marRight w:val="0"/>
                  <w:marTop w:val="0"/>
                  <w:marBottom w:val="0"/>
                  <w:divBdr>
                    <w:top w:val="none" w:sz="0" w:space="0" w:color="auto"/>
                    <w:left w:val="none" w:sz="0" w:space="0" w:color="auto"/>
                    <w:bottom w:val="none" w:sz="0" w:space="0" w:color="auto"/>
                    <w:right w:val="none" w:sz="0" w:space="0" w:color="auto"/>
                  </w:divBdr>
                </w:div>
                <w:div w:id="1857649182">
                  <w:marLeft w:val="0"/>
                  <w:marRight w:val="0"/>
                  <w:marTop w:val="0"/>
                  <w:marBottom w:val="0"/>
                  <w:divBdr>
                    <w:top w:val="none" w:sz="0" w:space="0" w:color="auto"/>
                    <w:left w:val="none" w:sz="0" w:space="0" w:color="auto"/>
                    <w:bottom w:val="none" w:sz="0" w:space="0" w:color="auto"/>
                    <w:right w:val="none" w:sz="0" w:space="0" w:color="auto"/>
                  </w:divBdr>
                </w:div>
                <w:div w:id="1881623363">
                  <w:marLeft w:val="0"/>
                  <w:marRight w:val="0"/>
                  <w:marTop w:val="0"/>
                  <w:marBottom w:val="0"/>
                  <w:divBdr>
                    <w:top w:val="none" w:sz="0" w:space="0" w:color="auto"/>
                    <w:left w:val="none" w:sz="0" w:space="0" w:color="auto"/>
                    <w:bottom w:val="none" w:sz="0" w:space="0" w:color="auto"/>
                    <w:right w:val="none" w:sz="0" w:space="0" w:color="auto"/>
                  </w:divBdr>
                </w:div>
                <w:div w:id="1924024484">
                  <w:marLeft w:val="0"/>
                  <w:marRight w:val="0"/>
                  <w:marTop w:val="0"/>
                  <w:marBottom w:val="0"/>
                  <w:divBdr>
                    <w:top w:val="none" w:sz="0" w:space="0" w:color="auto"/>
                    <w:left w:val="none" w:sz="0" w:space="0" w:color="auto"/>
                    <w:bottom w:val="none" w:sz="0" w:space="0" w:color="auto"/>
                    <w:right w:val="none" w:sz="0" w:space="0" w:color="auto"/>
                  </w:divBdr>
                </w:div>
                <w:div w:id="1934898877">
                  <w:marLeft w:val="0"/>
                  <w:marRight w:val="0"/>
                  <w:marTop w:val="0"/>
                  <w:marBottom w:val="0"/>
                  <w:divBdr>
                    <w:top w:val="none" w:sz="0" w:space="0" w:color="auto"/>
                    <w:left w:val="none" w:sz="0" w:space="0" w:color="auto"/>
                    <w:bottom w:val="none" w:sz="0" w:space="0" w:color="auto"/>
                    <w:right w:val="none" w:sz="0" w:space="0" w:color="auto"/>
                  </w:divBdr>
                </w:div>
                <w:div w:id="1972899792">
                  <w:marLeft w:val="0"/>
                  <w:marRight w:val="0"/>
                  <w:marTop w:val="0"/>
                  <w:marBottom w:val="0"/>
                  <w:divBdr>
                    <w:top w:val="none" w:sz="0" w:space="0" w:color="auto"/>
                    <w:left w:val="none" w:sz="0" w:space="0" w:color="auto"/>
                    <w:bottom w:val="none" w:sz="0" w:space="0" w:color="auto"/>
                    <w:right w:val="none" w:sz="0" w:space="0" w:color="auto"/>
                  </w:divBdr>
                </w:div>
                <w:div w:id="1991400500">
                  <w:marLeft w:val="0"/>
                  <w:marRight w:val="0"/>
                  <w:marTop w:val="0"/>
                  <w:marBottom w:val="0"/>
                  <w:divBdr>
                    <w:top w:val="none" w:sz="0" w:space="0" w:color="auto"/>
                    <w:left w:val="none" w:sz="0" w:space="0" w:color="auto"/>
                    <w:bottom w:val="none" w:sz="0" w:space="0" w:color="auto"/>
                    <w:right w:val="none" w:sz="0" w:space="0" w:color="auto"/>
                  </w:divBdr>
                </w:div>
                <w:div w:id="2002076359">
                  <w:marLeft w:val="0"/>
                  <w:marRight w:val="0"/>
                  <w:marTop w:val="0"/>
                  <w:marBottom w:val="0"/>
                  <w:divBdr>
                    <w:top w:val="none" w:sz="0" w:space="0" w:color="auto"/>
                    <w:left w:val="none" w:sz="0" w:space="0" w:color="auto"/>
                    <w:bottom w:val="none" w:sz="0" w:space="0" w:color="auto"/>
                    <w:right w:val="none" w:sz="0" w:space="0" w:color="auto"/>
                  </w:divBdr>
                </w:div>
                <w:div w:id="2002345658">
                  <w:marLeft w:val="0"/>
                  <w:marRight w:val="0"/>
                  <w:marTop w:val="0"/>
                  <w:marBottom w:val="0"/>
                  <w:divBdr>
                    <w:top w:val="none" w:sz="0" w:space="0" w:color="auto"/>
                    <w:left w:val="none" w:sz="0" w:space="0" w:color="auto"/>
                    <w:bottom w:val="none" w:sz="0" w:space="0" w:color="auto"/>
                    <w:right w:val="none" w:sz="0" w:space="0" w:color="auto"/>
                  </w:divBdr>
                </w:div>
                <w:div w:id="2006740989">
                  <w:marLeft w:val="0"/>
                  <w:marRight w:val="0"/>
                  <w:marTop w:val="0"/>
                  <w:marBottom w:val="0"/>
                  <w:divBdr>
                    <w:top w:val="none" w:sz="0" w:space="0" w:color="auto"/>
                    <w:left w:val="none" w:sz="0" w:space="0" w:color="auto"/>
                    <w:bottom w:val="none" w:sz="0" w:space="0" w:color="auto"/>
                    <w:right w:val="none" w:sz="0" w:space="0" w:color="auto"/>
                  </w:divBdr>
                </w:div>
                <w:div w:id="2007243630">
                  <w:marLeft w:val="0"/>
                  <w:marRight w:val="0"/>
                  <w:marTop w:val="0"/>
                  <w:marBottom w:val="0"/>
                  <w:divBdr>
                    <w:top w:val="none" w:sz="0" w:space="0" w:color="auto"/>
                    <w:left w:val="none" w:sz="0" w:space="0" w:color="auto"/>
                    <w:bottom w:val="none" w:sz="0" w:space="0" w:color="auto"/>
                    <w:right w:val="none" w:sz="0" w:space="0" w:color="auto"/>
                  </w:divBdr>
                </w:div>
                <w:div w:id="2007319434">
                  <w:marLeft w:val="0"/>
                  <w:marRight w:val="0"/>
                  <w:marTop w:val="0"/>
                  <w:marBottom w:val="0"/>
                  <w:divBdr>
                    <w:top w:val="none" w:sz="0" w:space="0" w:color="auto"/>
                    <w:left w:val="none" w:sz="0" w:space="0" w:color="auto"/>
                    <w:bottom w:val="none" w:sz="0" w:space="0" w:color="auto"/>
                    <w:right w:val="none" w:sz="0" w:space="0" w:color="auto"/>
                  </w:divBdr>
                </w:div>
                <w:div w:id="2022966804">
                  <w:marLeft w:val="0"/>
                  <w:marRight w:val="0"/>
                  <w:marTop w:val="0"/>
                  <w:marBottom w:val="0"/>
                  <w:divBdr>
                    <w:top w:val="none" w:sz="0" w:space="0" w:color="auto"/>
                    <w:left w:val="none" w:sz="0" w:space="0" w:color="auto"/>
                    <w:bottom w:val="none" w:sz="0" w:space="0" w:color="auto"/>
                    <w:right w:val="none" w:sz="0" w:space="0" w:color="auto"/>
                  </w:divBdr>
                </w:div>
                <w:div w:id="2026714120">
                  <w:marLeft w:val="0"/>
                  <w:marRight w:val="0"/>
                  <w:marTop w:val="0"/>
                  <w:marBottom w:val="0"/>
                  <w:divBdr>
                    <w:top w:val="none" w:sz="0" w:space="0" w:color="auto"/>
                    <w:left w:val="none" w:sz="0" w:space="0" w:color="auto"/>
                    <w:bottom w:val="none" w:sz="0" w:space="0" w:color="auto"/>
                    <w:right w:val="none" w:sz="0" w:space="0" w:color="auto"/>
                  </w:divBdr>
                </w:div>
                <w:div w:id="2072921989">
                  <w:marLeft w:val="0"/>
                  <w:marRight w:val="0"/>
                  <w:marTop w:val="0"/>
                  <w:marBottom w:val="0"/>
                  <w:divBdr>
                    <w:top w:val="none" w:sz="0" w:space="0" w:color="auto"/>
                    <w:left w:val="none" w:sz="0" w:space="0" w:color="auto"/>
                    <w:bottom w:val="none" w:sz="0" w:space="0" w:color="auto"/>
                    <w:right w:val="none" w:sz="0" w:space="0" w:color="auto"/>
                  </w:divBdr>
                </w:div>
                <w:div w:id="2108964344">
                  <w:marLeft w:val="0"/>
                  <w:marRight w:val="0"/>
                  <w:marTop w:val="0"/>
                  <w:marBottom w:val="0"/>
                  <w:divBdr>
                    <w:top w:val="none" w:sz="0" w:space="0" w:color="auto"/>
                    <w:left w:val="none" w:sz="0" w:space="0" w:color="auto"/>
                    <w:bottom w:val="none" w:sz="0" w:space="0" w:color="auto"/>
                    <w:right w:val="none" w:sz="0" w:space="0" w:color="auto"/>
                  </w:divBdr>
                </w:div>
                <w:div w:id="2126386127">
                  <w:marLeft w:val="0"/>
                  <w:marRight w:val="0"/>
                  <w:marTop w:val="0"/>
                  <w:marBottom w:val="0"/>
                  <w:divBdr>
                    <w:top w:val="none" w:sz="0" w:space="0" w:color="auto"/>
                    <w:left w:val="none" w:sz="0" w:space="0" w:color="auto"/>
                    <w:bottom w:val="none" w:sz="0" w:space="0" w:color="auto"/>
                    <w:right w:val="none" w:sz="0" w:space="0" w:color="auto"/>
                  </w:divBdr>
                </w:div>
                <w:div w:id="2133009222">
                  <w:marLeft w:val="0"/>
                  <w:marRight w:val="0"/>
                  <w:marTop w:val="0"/>
                  <w:marBottom w:val="0"/>
                  <w:divBdr>
                    <w:top w:val="none" w:sz="0" w:space="0" w:color="auto"/>
                    <w:left w:val="none" w:sz="0" w:space="0" w:color="auto"/>
                    <w:bottom w:val="none" w:sz="0" w:space="0" w:color="auto"/>
                    <w:right w:val="none" w:sz="0" w:space="0" w:color="auto"/>
                  </w:divBdr>
                </w:div>
                <w:div w:id="2135975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645009">
          <w:marLeft w:val="0"/>
          <w:marRight w:val="0"/>
          <w:marTop w:val="0"/>
          <w:marBottom w:val="0"/>
          <w:divBdr>
            <w:top w:val="none" w:sz="0" w:space="0" w:color="auto"/>
            <w:left w:val="none" w:sz="0" w:space="0" w:color="auto"/>
            <w:bottom w:val="none" w:sz="0" w:space="0" w:color="auto"/>
            <w:right w:val="none" w:sz="0" w:space="0" w:color="auto"/>
          </w:divBdr>
          <w:divsChild>
            <w:div w:id="1679382677">
              <w:marLeft w:val="0"/>
              <w:marRight w:val="0"/>
              <w:marTop w:val="0"/>
              <w:marBottom w:val="0"/>
              <w:divBdr>
                <w:top w:val="none" w:sz="0" w:space="0" w:color="auto"/>
                <w:left w:val="none" w:sz="0" w:space="0" w:color="auto"/>
                <w:bottom w:val="none" w:sz="0" w:space="0" w:color="auto"/>
                <w:right w:val="none" w:sz="0" w:space="0" w:color="auto"/>
              </w:divBdr>
              <w:divsChild>
                <w:div w:id="9378061">
                  <w:marLeft w:val="0"/>
                  <w:marRight w:val="0"/>
                  <w:marTop w:val="0"/>
                  <w:marBottom w:val="0"/>
                  <w:divBdr>
                    <w:top w:val="none" w:sz="0" w:space="0" w:color="auto"/>
                    <w:left w:val="none" w:sz="0" w:space="0" w:color="auto"/>
                    <w:bottom w:val="none" w:sz="0" w:space="0" w:color="auto"/>
                    <w:right w:val="none" w:sz="0" w:space="0" w:color="auto"/>
                  </w:divBdr>
                </w:div>
                <w:div w:id="22444267">
                  <w:marLeft w:val="0"/>
                  <w:marRight w:val="0"/>
                  <w:marTop w:val="0"/>
                  <w:marBottom w:val="0"/>
                  <w:divBdr>
                    <w:top w:val="none" w:sz="0" w:space="0" w:color="auto"/>
                    <w:left w:val="none" w:sz="0" w:space="0" w:color="auto"/>
                    <w:bottom w:val="none" w:sz="0" w:space="0" w:color="auto"/>
                    <w:right w:val="none" w:sz="0" w:space="0" w:color="auto"/>
                  </w:divBdr>
                </w:div>
                <w:div w:id="101926434">
                  <w:marLeft w:val="0"/>
                  <w:marRight w:val="0"/>
                  <w:marTop w:val="0"/>
                  <w:marBottom w:val="0"/>
                  <w:divBdr>
                    <w:top w:val="none" w:sz="0" w:space="0" w:color="auto"/>
                    <w:left w:val="none" w:sz="0" w:space="0" w:color="auto"/>
                    <w:bottom w:val="none" w:sz="0" w:space="0" w:color="auto"/>
                    <w:right w:val="none" w:sz="0" w:space="0" w:color="auto"/>
                  </w:divBdr>
                </w:div>
                <w:div w:id="112404626">
                  <w:marLeft w:val="0"/>
                  <w:marRight w:val="0"/>
                  <w:marTop w:val="0"/>
                  <w:marBottom w:val="0"/>
                  <w:divBdr>
                    <w:top w:val="none" w:sz="0" w:space="0" w:color="auto"/>
                    <w:left w:val="none" w:sz="0" w:space="0" w:color="auto"/>
                    <w:bottom w:val="none" w:sz="0" w:space="0" w:color="auto"/>
                    <w:right w:val="none" w:sz="0" w:space="0" w:color="auto"/>
                  </w:divBdr>
                </w:div>
                <w:div w:id="135877927">
                  <w:marLeft w:val="0"/>
                  <w:marRight w:val="0"/>
                  <w:marTop w:val="0"/>
                  <w:marBottom w:val="0"/>
                  <w:divBdr>
                    <w:top w:val="none" w:sz="0" w:space="0" w:color="auto"/>
                    <w:left w:val="none" w:sz="0" w:space="0" w:color="auto"/>
                    <w:bottom w:val="none" w:sz="0" w:space="0" w:color="auto"/>
                    <w:right w:val="none" w:sz="0" w:space="0" w:color="auto"/>
                  </w:divBdr>
                </w:div>
                <w:div w:id="145822974">
                  <w:marLeft w:val="0"/>
                  <w:marRight w:val="0"/>
                  <w:marTop w:val="0"/>
                  <w:marBottom w:val="0"/>
                  <w:divBdr>
                    <w:top w:val="none" w:sz="0" w:space="0" w:color="auto"/>
                    <w:left w:val="none" w:sz="0" w:space="0" w:color="auto"/>
                    <w:bottom w:val="none" w:sz="0" w:space="0" w:color="auto"/>
                    <w:right w:val="none" w:sz="0" w:space="0" w:color="auto"/>
                  </w:divBdr>
                </w:div>
                <w:div w:id="147484192">
                  <w:marLeft w:val="0"/>
                  <w:marRight w:val="0"/>
                  <w:marTop w:val="0"/>
                  <w:marBottom w:val="0"/>
                  <w:divBdr>
                    <w:top w:val="none" w:sz="0" w:space="0" w:color="auto"/>
                    <w:left w:val="none" w:sz="0" w:space="0" w:color="auto"/>
                    <w:bottom w:val="none" w:sz="0" w:space="0" w:color="auto"/>
                    <w:right w:val="none" w:sz="0" w:space="0" w:color="auto"/>
                  </w:divBdr>
                </w:div>
                <w:div w:id="166754508">
                  <w:marLeft w:val="0"/>
                  <w:marRight w:val="0"/>
                  <w:marTop w:val="0"/>
                  <w:marBottom w:val="0"/>
                  <w:divBdr>
                    <w:top w:val="none" w:sz="0" w:space="0" w:color="auto"/>
                    <w:left w:val="none" w:sz="0" w:space="0" w:color="auto"/>
                    <w:bottom w:val="none" w:sz="0" w:space="0" w:color="auto"/>
                    <w:right w:val="none" w:sz="0" w:space="0" w:color="auto"/>
                  </w:divBdr>
                </w:div>
                <w:div w:id="181893642">
                  <w:marLeft w:val="0"/>
                  <w:marRight w:val="0"/>
                  <w:marTop w:val="0"/>
                  <w:marBottom w:val="0"/>
                  <w:divBdr>
                    <w:top w:val="none" w:sz="0" w:space="0" w:color="auto"/>
                    <w:left w:val="none" w:sz="0" w:space="0" w:color="auto"/>
                    <w:bottom w:val="none" w:sz="0" w:space="0" w:color="auto"/>
                    <w:right w:val="none" w:sz="0" w:space="0" w:color="auto"/>
                  </w:divBdr>
                </w:div>
                <w:div w:id="198052084">
                  <w:marLeft w:val="0"/>
                  <w:marRight w:val="0"/>
                  <w:marTop w:val="0"/>
                  <w:marBottom w:val="0"/>
                  <w:divBdr>
                    <w:top w:val="none" w:sz="0" w:space="0" w:color="auto"/>
                    <w:left w:val="none" w:sz="0" w:space="0" w:color="auto"/>
                    <w:bottom w:val="none" w:sz="0" w:space="0" w:color="auto"/>
                    <w:right w:val="none" w:sz="0" w:space="0" w:color="auto"/>
                  </w:divBdr>
                </w:div>
                <w:div w:id="199368890">
                  <w:marLeft w:val="0"/>
                  <w:marRight w:val="0"/>
                  <w:marTop w:val="0"/>
                  <w:marBottom w:val="0"/>
                  <w:divBdr>
                    <w:top w:val="none" w:sz="0" w:space="0" w:color="auto"/>
                    <w:left w:val="none" w:sz="0" w:space="0" w:color="auto"/>
                    <w:bottom w:val="none" w:sz="0" w:space="0" w:color="auto"/>
                    <w:right w:val="none" w:sz="0" w:space="0" w:color="auto"/>
                  </w:divBdr>
                </w:div>
                <w:div w:id="205414535">
                  <w:marLeft w:val="0"/>
                  <w:marRight w:val="0"/>
                  <w:marTop w:val="0"/>
                  <w:marBottom w:val="0"/>
                  <w:divBdr>
                    <w:top w:val="none" w:sz="0" w:space="0" w:color="auto"/>
                    <w:left w:val="none" w:sz="0" w:space="0" w:color="auto"/>
                    <w:bottom w:val="none" w:sz="0" w:space="0" w:color="auto"/>
                    <w:right w:val="none" w:sz="0" w:space="0" w:color="auto"/>
                  </w:divBdr>
                </w:div>
                <w:div w:id="210505569">
                  <w:marLeft w:val="0"/>
                  <w:marRight w:val="0"/>
                  <w:marTop w:val="0"/>
                  <w:marBottom w:val="0"/>
                  <w:divBdr>
                    <w:top w:val="none" w:sz="0" w:space="0" w:color="auto"/>
                    <w:left w:val="none" w:sz="0" w:space="0" w:color="auto"/>
                    <w:bottom w:val="none" w:sz="0" w:space="0" w:color="auto"/>
                    <w:right w:val="none" w:sz="0" w:space="0" w:color="auto"/>
                  </w:divBdr>
                </w:div>
                <w:div w:id="213010549">
                  <w:marLeft w:val="0"/>
                  <w:marRight w:val="0"/>
                  <w:marTop w:val="0"/>
                  <w:marBottom w:val="0"/>
                  <w:divBdr>
                    <w:top w:val="none" w:sz="0" w:space="0" w:color="auto"/>
                    <w:left w:val="none" w:sz="0" w:space="0" w:color="auto"/>
                    <w:bottom w:val="none" w:sz="0" w:space="0" w:color="auto"/>
                    <w:right w:val="none" w:sz="0" w:space="0" w:color="auto"/>
                  </w:divBdr>
                </w:div>
                <w:div w:id="228729915">
                  <w:marLeft w:val="0"/>
                  <w:marRight w:val="0"/>
                  <w:marTop w:val="0"/>
                  <w:marBottom w:val="0"/>
                  <w:divBdr>
                    <w:top w:val="none" w:sz="0" w:space="0" w:color="auto"/>
                    <w:left w:val="none" w:sz="0" w:space="0" w:color="auto"/>
                    <w:bottom w:val="none" w:sz="0" w:space="0" w:color="auto"/>
                    <w:right w:val="none" w:sz="0" w:space="0" w:color="auto"/>
                  </w:divBdr>
                </w:div>
                <w:div w:id="249319603">
                  <w:marLeft w:val="0"/>
                  <w:marRight w:val="0"/>
                  <w:marTop w:val="0"/>
                  <w:marBottom w:val="0"/>
                  <w:divBdr>
                    <w:top w:val="none" w:sz="0" w:space="0" w:color="auto"/>
                    <w:left w:val="none" w:sz="0" w:space="0" w:color="auto"/>
                    <w:bottom w:val="none" w:sz="0" w:space="0" w:color="auto"/>
                    <w:right w:val="none" w:sz="0" w:space="0" w:color="auto"/>
                  </w:divBdr>
                </w:div>
                <w:div w:id="266891411">
                  <w:marLeft w:val="0"/>
                  <w:marRight w:val="0"/>
                  <w:marTop w:val="0"/>
                  <w:marBottom w:val="0"/>
                  <w:divBdr>
                    <w:top w:val="none" w:sz="0" w:space="0" w:color="auto"/>
                    <w:left w:val="none" w:sz="0" w:space="0" w:color="auto"/>
                    <w:bottom w:val="none" w:sz="0" w:space="0" w:color="auto"/>
                    <w:right w:val="none" w:sz="0" w:space="0" w:color="auto"/>
                  </w:divBdr>
                </w:div>
                <w:div w:id="285700505">
                  <w:marLeft w:val="0"/>
                  <w:marRight w:val="0"/>
                  <w:marTop w:val="0"/>
                  <w:marBottom w:val="0"/>
                  <w:divBdr>
                    <w:top w:val="none" w:sz="0" w:space="0" w:color="auto"/>
                    <w:left w:val="none" w:sz="0" w:space="0" w:color="auto"/>
                    <w:bottom w:val="none" w:sz="0" w:space="0" w:color="auto"/>
                    <w:right w:val="none" w:sz="0" w:space="0" w:color="auto"/>
                  </w:divBdr>
                </w:div>
                <w:div w:id="290788168">
                  <w:marLeft w:val="0"/>
                  <w:marRight w:val="0"/>
                  <w:marTop w:val="0"/>
                  <w:marBottom w:val="0"/>
                  <w:divBdr>
                    <w:top w:val="none" w:sz="0" w:space="0" w:color="auto"/>
                    <w:left w:val="none" w:sz="0" w:space="0" w:color="auto"/>
                    <w:bottom w:val="none" w:sz="0" w:space="0" w:color="auto"/>
                    <w:right w:val="none" w:sz="0" w:space="0" w:color="auto"/>
                  </w:divBdr>
                </w:div>
                <w:div w:id="296106687">
                  <w:marLeft w:val="0"/>
                  <w:marRight w:val="0"/>
                  <w:marTop w:val="0"/>
                  <w:marBottom w:val="0"/>
                  <w:divBdr>
                    <w:top w:val="none" w:sz="0" w:space="0" w:color="auto"/>
                    <w:left w:val="none" w:sz="0" w:space="0" w:color="auto"/>
                    <w:bottom w:val="none" w:sz="0" w:space="0" w:color="auto"/>
                    <w:right w:val="none" w:sz="0" w:space="0" w:color="auto"/>
                  </w:divBdr>
                </w:div>
                <w:div w:id="316686405">
                  <w:marLeft w:val="0"/>
                  <w:marRight w:val="0"/>
                  <w:marTop w:val="0"/>
                  <w:marBottom w:val="0"/>
                  <w:divBdr>
                    <w:top w:val="none" w:sz="0" w:space="0" w:color="auto"/>
                    <w:left w:val="none" w:sz="0" w:space="0" w:color="auto"/>
                    <w:bottom w:val="none" w:sz="0" w:space="0" w:color="auto"/>
                    <w:right w:val="none" w:sz="0" w:space="0" w:color="auto"/>
                  </w:divBdr>
                </w:div>
                <w:div w:id="359668429">
                  <w:marLeft w:val="0"/>
                  <w:marRight w:val="0"/>
                  <w:marTop w:val="0"/>
                  <w:marBottom w:val="0"/>
                  <w:divBdr>
                    <w:top w:val="none" w:sz="0" w:space="0" w:color="auto"/>
                    <w:left w:val="none" w:sz="0" w:space="0" w:color="auto"/>
                    <w:bottom w:val="none" w:sz="0" w:space="0" w:color="auto"/>
                    <w:right w:val="none" w:sz="0" w:space="0" w:color="auto"/>
                  </w:divBdr>
                </w:div>
                <w:div w:id="362023342">
                  <w:marLeft w:val="0"/>
                  <w:marRight w:val="0"/>
                  <w:marTop w:val="0"/>
                  <w:marBottom w:val="0"/>
                  <w:divBdr>
                    <w:top w:val="none" w:sz="0" w:space="0" w:color="auto"/>
                    <w:left w:val="none" w:sz="0" w:space="0" w:color="auto"/>
                    <w:bottom w:val="none" w:sz="0" w:space="0" w:color="auto"/>
                    <w:right w:val="none" w:sz="0" w:space="0" w:color="auto"/>
                  </w:divBdr>
                </w:div>
                <w:div w:id="372079265">
                  <w:marLeft w:val="0"/>
                  <w:marRight w:val="0"/>
                  <w:marTop w:val="0"/>
                  <w:marBottom w:val="0"/>
                  <w:divBdr>
                    <w:top w:val="none" w:sz="0" w:space="0" w:color="auto"/>
                    <w:left w:val="none" w:sz="0" w:space="0" w:color="auto"/>
                    <w:bottom w:val="none" w:sz="0" w:space="0" w:color="auto"/>
                    <w:right w:val="none" w:sz="0" w:space="0" w:color="auto"/>
                  </w:divBdr>
                </w:div>
                <w:div w:id="381099251">
                  <w:marLeft w:val="0"/>
                  <w:marRight w:val="0"/>
                  <w:marTop w:val="0"/>
                  <w:marBottom w:val="0"/>
                  <w:divBdr>
                    <w:top w:val="none" w:sz="0" w:space="0" w:color="auto"/>
                    <w:left w:val="none" w:sz="0" w:space="0" w:color="auto"/>
                    <w:bottom w:val="none" w:sz="0" w:space="0" w:color="auto"/>
                    <w:right w:val="none" w:sz="0" w:space="0" w:color="auto"/>
                  </w:divBdr>
                </w:div>
                <w:div w:id="394551198">
                  <w:marLeft w:val="0"/>
                  <w:marRight w:val="0"/>
                  <w:marTop w:val="0"/>
                  <w:marBottom w:val="0"/>
                  <w:divBdr>
                    <w:top w:val="none" w:sz="0" w:space="0" w:color="auto"/>
                    <w:left w:val="none" w:sz="0" w:space="0" w:color="auto"/>
                    <w:bottom w:val="none" w:sz="0" w:space="0" w:color="auto"/>
                    <w:right w:val="none" w:sz="0" w:space="0" w:color="auto"/>
                  </w:divBdr>
                </w:div>
                <w:div w:id="397216361">
                  <w:marLeft w:val="0"/>
                  <w:marRight w:val="0"/>
                  <w:marTop w:val="0"/>
                  <w:marBottom w:val="0"/>
                  <w:divBdr>
                    <w:top w:val="none" w:sz="0" w:space="0" w:color="auto"/>
                    <w:left w:val="none" w:sz="0" w:space="0" w:color="auto"/>
                    <w:bottom w:val="none" w:sz="0" w:space="0" w:color="auto"/>
                    <w:right w:val="none" w:sz="0" w:space="0" w:color="auto"/>
                  </w:divBdr>
                </w:div>
                <w:div w:id="404494099">
                  <w:marLeft w:val="0"/>
                  <w:marRight w:val="0"/>
                  <w:marTop w:val="0"/>
                  <w:marBottom w:val="0"/>
                  <w:divBdr>
                    <w:top w:val="none" w:sz="0" w:space="0" w:color="auto"/>
                    <w:left w:val="none" w:sz="0" w:space="0" w:color="auto"/>
                    <w:bottom w:val="none" w:sz="0" w:space="0" w:color="auto"/>
                    <w:right w:val="none" w:sz="0" w:space="0" w:color="auto"/>
                  </w:divBdr>
                </w:div>
                <w:div w:id="423306332">
                  <w:marLeft w:val="0"/>
                  <w:marRight w:val="0"/>
                  <w:marTop w:val="0"/>
                  <w:marBottom w:val="0"/>
                  <w:divBdr>
                    <w:top w:val="none" w:sz="0" w:space="0" w:color="auto"/>
                    <w:left w:val="none" w:sz="0" w:space="0" w:color="auto"/>
                    <w:bottom w:val="none" w:sz="0" w:space="0" w:color="auto"/>
                    <w:right w:val="none" w:sz="0" w:space="0" w:color="auto"/>
                  </w:divBdr>
                </w:div>
                <w:div w:id="428887990">
                  <w:marLeft w:val="0"/>
                  <w:marRight w:val="0"/>
                  <w:marTop w:val="0"/>
                  <w:marBottom w:val="0"/>
                  <w:divBdr>
                    <w:top w:val="none" w:sz="0" w:space="0" w:color="auto"/>
                    <w:left w:val="none" w:sz="0" w:space="0" w:color="auto"/>
                    <w:bottom w:val="none" w:sz="0" w:space="0" w:color="auto"/>
                    <w:right w:val="none" w:sz="0" w:space="0" w:color="auto"/>
                  </w:divBdr>
                </w:div>
                <w:div w:id="429204938">
                  <w:marLeft w:val="0"/>
                  <w:marRight w:val="0"/>
                  <w:marTop w:val="0"/>
                  <w:marBottom w:val="0"/>
                  <w:divBdr>
                    <w:top w:val="none" w:sz="0" w:space="0" w:color="auto"/>
                    <w:left w:val="none" w:sz="0" w:space="0" w:color="auto"/>
                    <w:bottom w:val="none" w:sz="0" w:space="0" w:color="auto"/>
                    <w:right w:val="none" w:sz="0" w:space="0" w:color="auto"/>
                  </w:divBdr>
                </w:div>
                <w:div w:id="480083002">
                  <w:marLeft w:val="0"/>
                  <w:marRight w:val="0"/>
                  <w:marTop w:val="0"/>
                  <w:marBottom w:val="0"/>
                  <w:divBdr>
                    <w:top w:val="none" w:sz="0" w:space="0" w:color="auto"/>
                    <w:left w:val="none" w:sz="0" w:space="0" w:color="auto"/>
                    <w:bottom w:val="none" w:sz="0" w:space="0" w:color="auto"/>
                    <w:right w:val="none" w:sz="0" w:space="0" w:color="auto"/>
                  </w:divBdr>
                </w:div>
                <w:div w:id="500051838">
                  <w:marLeft w:val="0"/>
                  <w:marRight w:val="0"/>
                  <w:marTop w:val="0"/>
                  <w:marBottom w:val="0"/>
                  <w:divBdr>
                    <w:top w:val="none" w:sz="0" w:space="0" w:color="auto"/>
                    <w:left w:val="none" w:sz="0" w:space="0" w:color="auto"/>
                    <w:bottom w:val="none" w:sz="0" w:space="0" w:color="auto"/>
                    <w:right w:val="none" w:sz="0" w:space="0" w:color="auto"/>
                  </w:divBdr>
                </w:div>
                <w:div w:id="530076398">
                  <w:marLeft w:val="0"/>
                  <w:marRight w:val="0"/>
                  <w:marTop w:val="0"/>
                  <w:marBottom w:val="0"/>
                  <w:divBdr>
                    <w:top w:val="none" w:sz="0" w:space="0" w:color="auto"/>
                    <w:left w:val="none" w:sz="0" w:space="0" w:color="auto"/>
                    <w:bottom w:val="none" w:sz="0" w:space="0" w:color="auto"/>
                    <w:right w:val="none" w:sz="0" w:space="0" w:color="auto"/>
                  </w:divBdr>
                </w:div>
                <w:div w:id="538322147">
                  <w:marLeft w:val="0"/>
                  <w:marRight w:val="0"/>
                  <w:marTop w:val="0"/>
                  <w:marBottom w:val="0"/>
                  <w:divBdr>
                    <w:top w:val="none" w:sz="0" w:space="0" w:color="auto"/>
                    <w:left w:val="none" w:sz="0" w:space="0" w:color="auto"/>
                    <w:bottom w:val="none" w:sz="0" w:space="0" w:color="auto"/>
                    <w:right w:val="none" w:sz="0" w:space="0" w:color="auto"/>
                  </w:divBdr>
                </w:div>
                <w:div w:id="587349071">
                  <w:marLeft w:val="0"/>
                  <w:marRight w:val="0"/>
                  <w:marTop w:val="0"/>
                  <w:marBottom w:val="0"/>
                  <w:divBdr>
                    <w:top w:val="none" w:sz="0" w:space="0" w:color="auto"/>
                    <w:left w:val="none" w:sz="0" w:space="0" w:color="auto"/>
                    <w:bottom w:val="none" w:sz="0" w:space="0" w:color="auto"/>
                    <w:right w:val="none" w:sz="0" w:space="0" w:color="auto"/>
                  </w:divBdr>
                </w:div>
                <w:div w:id="600341373">
                  <w:marLeft w:val="0"/>
                  <w:marRight w:val="0"/>
                  <w:marTop w:val="0"/>
                  <w:marBottom w:val="0"/>
                  <w:divBdr>
                    <w:top w:val="none" w:sz="0" w:space="0" w:color="auto"/>
                    <w:left w:val="none" w:sz="0" w:space="0" w:color="auto"/>
                    <w:bottom w:val="none" w:sz="0" w:space="0" w:color="auto"/>
                    <w:right w:val="none" w:sz="0" w:space="0" w:color="auto"/>
                  </w:divBdr>
                </w:div>
                <w:div w:id="607351187">
                  <w:marLeft w:val="0"/>
                  <w:marRight w:val="0"/>
                  <w:marTop w:val="0"/>
                  <w:marBottom w:val="0"/>
                  <w:divBdr>
                    <w:top w:val="none" w:sz="0" w:space="0" w:color="auto"/>
                    <w:left w:val="none" w:sz="0" w:space="0" w:color="auto"/>
                    <w:bottom w:val="none" w:sz="0" w:space="0" w:color="auto"/>
                    <w:right w:val="none" w:sz="0" w:space="0" w:color="auto"/>
                  </w:divBdr>
                </w:div>
                <w:div w:id="635381142">
                  <w:marLeft w:val="0"/>
                  <w:marRight w:val="0"/>
                  <w:marTop w:val="0"/>
                  <w:marBottom w:val="0"/>
                  <w:divBdr>
                    <w:top w:val="none" w:sz="0" w:space="0" w:color="auto"/>
                    <w:left w:val="none" w:sz="0" w:space="0" w:color="auto"/>
                    <w:bottom w:val="none" w:sz="0" w:space="0" w:color="auto"/>
                    <w:right w:val="none" w:sz="0" w:space="0" w:color="auto"/>
                  </w:divBdr>
                </w:div>
                <w:div w:id="640965433">
                  <w:marLeft w:val="0"/>
                  <w:marRight w:val="0"/>
                  <w:marTop w:val="0"/>
                  <w:marBottom w:val="0"/>
                  <w:divBdr>
                    <w:top w:val="none" w:sz="0" w:space="0" w:color="auto"/>
                    <w:left w:val="none" w:sz="0" w:space="0" w:color="auto"/>
                    <w:bottom w:val="none" w:sz="0" w:space="0" w:color="auto"/>
                    <w:right w:val="none" w:sz="0" w:space="0" w:color="auto"/>
                  </w:divBdr>
                </w:div>
                <w:div w:id="642196811">
                  <w:marLeft w:val="0"/>
                  <w:marRight w:val="0"/>
                  <w:marTop w:val="0"/>
                  <w:marBottom w:val="0"/>
                  <w:divBdr>
                    <w:top w:val="none" w:sz="0" w:space="0" w:color="auto"/>
                    <w:left w:val="none" w:sz="0" w:space="0" w:color="auto"/>
                    <w:bottom w:val="none" w:sz="0" w:space="0" w:color="auto"/>
                    <w:right w:val="none" w:sz="0" w:space="0" w:color="auto"/>
                  </w:divBdr>
                </w:div>
                <w:div w:id="644774758">
                  <w:marLeft w:val="0"/>
                  <w:marRight w:val="0"/>
                  <w:marTop w:val="0"/>
                  <w:marBottom w:val="0"/>
                  <w:divBdr>
                    <w:top w:val="none" w:sz="0" w:space="0" w:color="auto"/>
                    <w:left w:val="none" w:sz="0" w:space="0" w:color="auto"/>
                    <w:bottom w:val="none" w:sz="0" w:space="0" w:color="auto"/>
                    <w:right w:val="none" w:sz="0" w:space="0" w:color="auto"/>
                  </w:divBdr>
                </w:div>
                <w:div w:id="686371803">
                  <w:marLeft w:val="0"/>
                  <w:marRight w:val="0"/>
                  <w:marTop w:val="0"/>
                  <w:marBottom w:val="0"/>
                  <w:divBdr>
                    <w:top w:val="none" w:sz="0" w:space="0" w:color="auto"/>
                    <w:left w:val="none" w:sz="0" w:space="0" w:color="auto"/>
                    <w:bottom w:val="none" w:sz="0" w:space="0" w:color="auto"/>
                    <w:right w:val="none" w:sz="0" w:space="0" w:color="auto"/>
                  </w:divBdr>
                </w:div>
                <w:div w:id="713698167">
                  <w:marLeft w:val="0"/>
                  <w:marRight w:val="0"/>
                  <w:marTop w:val="0"/>
                  <w:marBottom w:val="0"/>
                  <w:divBdr>
                    <w:top w:val="none" w:sz="0" w:space="0" w:color="auto"/>
                    <w:left w:val="none" w:sz="0" w:space="0" w:color="auto"/>
                    <w:bottom w:val="none" w:sz="0" w:space="0" w:color="auto"/>
                    <w:right w:val="none" w:sz="0" w:space="0" w:color="auto"/>
                  </w:divBdr>
                </w:div>
                <w:div w:id="739908813">
                  <w:marLeft w:val="0"/>
                  <w:marRight w:val="0"/>
                  <w:marTop w:val="0"/>
                  <w:marBottom w:val="0"/>
                  <w:divBdr>
                    <w:top w:val="none" w:sz="0" w:space="0" w:color="auto"/>
                    <w:left w:val="none" w:sz="0" w:space="0" w:color="auto"/>
                    <w:bottom w:val="none" w:sz="0" w:space="0" w:color="auto"/>
                    <w:right w:val="none" w:sz="0" w:space="0" w:color="auto"/>
                  </w:divBdr>
                </w:div>
                <w:div w:id="749273524">
                  <w:marLeft w:val="0"/>
                  <w:marRight w:val="0"/>
                  <w:marTop w:val="0"/>
                  <w:marBottom w:val="0"/>
                  <w:divBdr>
                    <w:top w:val="none" w:sz="0" w:space="0" w:color="auto"/>
                    <w:left w:val="none" w:sz="0" w:space="0" w:color="auto"/>
                    <w:bottom w:val="none" w:sz="0" w:space="0" w:color="auto"/>
                    <w:right w:val="none" w:sz="0" w:space="0" w:color="auto"/>
                  </w:divBdr>
                </w:div>
                <w:div w:id="750471176">
                  <w:marLeft w:val="0"/>
                  <w:marRight w:val="0"/>
                  <w:marTop w:val="0"/>
                  <w:marBottom w:val="0"/>
                  <w:divBdr>
                    <w:top w:val="none" w:sz="0" w:space="0" w:color="auto"/>
                    <w:left w:val="none" w:sz="0" w:space="0" w:color="auto"/>
                    <w:bottom w:val="none" w:sz="0" w:space="0" w:color="auto"/>
                    <w:right w:val="none" w:sz="0" w:space="0" w:color="auto"/>
                  </w:divBdr>
                </w:div>
                <w:div w:id="759109192">
                  <w:marLeft w:val="0"/>
                  <w:marRight w:val="0"/>
                  <w:marTop w:val="0"/>
                  <w:marBottom w:val="0"/>
                  <w:divBdr>
                    <w:top w:val="none" w:sz="0" w:space="0" w:color="auto"/>
                    <w:left w:val="none" w:sz="0" w:space="0" w:color="auto"/>
                    <w:bottom w:val="none" w:sz="0" w:space="0" w:color="auto"/>
                    <w:right w:val="none" w:sz="0" w:space="0" w:color="auto"/>
                  </w:divBdr>
                </w:div>
                <w:div w:id="773089182">
                  <w:marLeft w:val="0"/>
                  <w:marRight w:val="0"/>
                  <w:marTop w:val="0"/>
                  <w:marBottom w:val="0"/>
                  <w:divBdr>
                    <w:top w:val="none" w:sz="0" w:space="0" w:color="auto"/>
                    <w:left w:val="none" w:sz="0" w:space="0" w:color="auto"/>
                    <w:bottom w:val="none" w:sz="0" w:space="0" w:color="auto"/>
                    <w:right w:val="none" w:sz="0" w:space="0" w:color="auto"/>
                  </w:divBdr>
                </w:div>
                <w:div w:id="804854358">
                  <w:marLeft w:val="0"/>
                  <w:marRight w:val="0"/>
                  <w:marTop w:val="0"/>
                  <w:marBottom w:val="0"/>
                  <w:divBdr>
                    <w:top w:val="none" w:sz="0" w:space="0" w:color="auto"/>
                    <w:left w:val="none" w:sz="0" w:space="0" w:color="auto"/>
                    <w:bottom w:val="none" w:sz="0" w:space="0" w:color="auto"/>
                    <w:right w:val="none" w:sz="0" w:space="0" w:color="auto"/>
                  </w:divBdr>
                </w:div>
                <w:div w:id="808984272">
                  <w:marLeft w:val="0"/>
                  <w:marRight w:val="0"/>
                  <w:marTop w:val="0"/>
                  <w:marBottom w:val="0"/>
                  <w:divBdr>
                    <w:top w:val="none" w:sz="0" w:space="0" w:color="auto"/>
                    <w:left w:val="none" w:sz="0" w:space="0" w:color="auto"/>
                    <w:bottom w:val="none" w:sz="0" w:space="0" w:color="auto"/>
                    <w:right w:val="none" w:sz="0" w:space="0" w:color="auto"/>
                  </w:divBdr>
                </w:div>
                <w:div w:id="822356145">
                  <w:marLeft w:val="0"/>
                  <w:marRight w:val="0"/>
                  <w:marTop w:val="0"/>
                  <w:marBottom w:val="0"/>
                  <w:divBdr>
                    <w:top w:val="none" w:sz="0" w:space="0" w:color="auto"/>
                    <w:left w:val="none" w:sz="0" w:space="0" w:color="auto"/>
                    <w:bottom w:val="none" w:sz="0" w:space="0" w:color="auto"/>
                    <w:right w:val="none" w:sz="0" w:space="0" w:color="auto"/>
                  </w:divBdr>
                </w:div>
                <w:div w:id="829369021">
                  <w:marLeft w:val="0"/>
                  <w:marRight w:val="0"/>
                  <w:marTop w:val="0"/>
                  <w:marBottom w:val="0"/>
                  <w:divBdr>
                    <w:top w:val="none" w:sz="0" w:space="0" w:color="auto"/>
                    <w:left w:val="none" w:sz="0" w:space="0" w:color="auto"/>
                    <w:bottom w:val="none" w:sz="0" w:space="0" w:color="auto"/>
                    <w:right w:val="none" w:sz="0" w:space="0" w:color="auto"/>
                  </w:divBdr>
                </w:div>
                <w:div w:id="829752028">
                  <w:marLeft w:val="0"/>
                  <w:marRight w:val="0"/>
                  <w:marTop w:val="0"/>
                  <w:marBottom w:val="0"/>
                  <w:divBdr>
                    <w:top w:val="none" w:sz="0" w:space="0" w:color="auto"/>
                    <w:left w:val="none" w:sz="0" w:space="0" w:color="auto"/>
                    <w:bottom w:val="none" w:sz="0" w:space="0" w:color="auto"/>
                    <w:right w:val="none" w:sz="0" w:space="0" w:color="auto"/>
                  </w:divBdr>
                </w:div>
                <w:div w:id="851067372">
                  <w:marLeft w:val="0"/>
                  <w:marRight w:val="0"/>
                  <w:marTop w:val="0"/>
                  <w:marBottom w:val="0"/>
                  <w:divBdr>
                    <w:top w:val="none" w:sz="0" w:space="0" w:color="auto"/>
                    <w:left w:val="none" w:sz="0" w:space="0" w:color="auto"/>
                    <w:bottom w:val="none" w:sz="0" w:space="0" w:color="auto"/>
                    <w:right w:val="none" w:sz="0" w:space="0" w:color="auto"/>
                  </w:divBdr>
                </w:div>
                <w:div w:id="853884253">
                  <w:marLeft w:val="0"/>
                  <w:marRight w:val="0"/>
                  <w:marTop w:val="0"/>
                  <w:marBottom w:val="0"/>
                  <w:divBdr>
                    <w:top w:val="none" w:sz="0" w:space="0" w:color="auto"/>
                    <w:left w:val="none" w:sz="0" w:space="0" w:color="auto"/>
                    <w:bottom w:val="none" w:sz="0" w:space="0" w:color="auto"/>
                    <w:right w:val="none" w:sz="0" w:space="0" w:color="auto"/>
                  </w:divBdr>
                </w:div>
                <w:div w:id="866483252">
                  <w:marLeft w:val="0"/>
                  <w:marRight w:val="0"/>
                  <w:marTop w:val="0"/>
                  <w:marBottom w:val="0"/>
                  <w:divBdr>
                    <w:top w:val="none" w:sz="0" w:space="0" w:color="auto"/>
                    <w:left w:val="none" w:sz="0" w:space="0" w:color="auto"/>
                    <w:bottom w:val="none" w:sz="0" w:space="0" w:color="auto"/>
                    <w:right w:val="none" w:sz="0" w:space="0" w:color="auto"/>
                  </w:divBdr>
                </w:div>
                <w:div w:id="867328993">
                  <w:marLeft w:val="0"/>
                  <w:marRight w:val="0"/>
                  <w:marTop w:val="0"/>
                  <w:marBottom w:val="0"/>
                  <w:divBdr>
                    <w:top w:val="none" w:sz="0" w:space="0" w:color="auto"/>
                    <w:left w:val="none" w:sz="0" w:space="0" w:color="auto"/>
                    <w:bottom w:val="none" w:sz="0" w:space="0" w:color="auto"/>
                    <w:right w:val="none" w:sz="0" w:space="0" w:color="auto"/>
                  </w:divBdr>
                </w:div>
                <w:div w:id="945499786">
                  <w:marLeft w:val="0"/>
                  <w:marRight w:val="0"/>
                  <w:marTop w:val="0"/>
                  <w:marBottom w:val="0"/>
                  <w:divBdr>
                    <w:top w:val="none" w:sz="0" w:space="0" w:color="auto"/>
                    <w:left w:val="none" w:sz="0" w:space="0" w:color="auto"/>
                    <w:bottom w:val="none" w:sz="0" w:space="0" w:color="auto"/>
                    <w:right w:val="none" w:sz="0" w:space="0" w:color="auto"/>
                  </w:divBdr>
                </w:div>
                <w:div w:id="978222982">
                  <w:marLeft w:val="0"/>
                  <w:marRight w:val="0"/>
                  <w:marTop w:val="0"/>
                  <w:marBottom w:val="0"/>
                  <w:divBdr>
                    <w:top w:val="none" w:sz="0" w:space="0" w:color="auto"/>
                    <w:left w:val="none" w:sz="0" w:space="0" w:color="auto"/>
                    <w:bottom w:val="none" w:sz="0" w:space="0" w:color="auto"/>
                    <w:right w:val="none" w:sz="0" w:space="0" w:color="auto"/>
                  </w:divBdr>
                </w:div>
                <w:div w:id="991371946">
                  <w:marLeft w:val="0"/>
                  <w:marRight w:val="0"/>
                  <w:marTop w:val="0"/>
                  <w:marBottom w:val="0"/>
                  <w:divBdr>
                    <w:top w:val="none" w:sz="0" w:space="0" w:color="auto"/>
                    <w:left w:val="none" w:sz="0" w:space="0" w:color="auto"/>
                    <w:bottom w:val="none" w:sz="0" w:space="0" w:color="auto"/>
                    <w:right w:val="none" w:sz="0" w:space="0" w:color="auto"/>
                  </w:divBdr>
                </w:div>
                <w:div w:id="1023557425">
                  <w:marLeft w:val="0"/>
                  <w:marRight w:val="0"/>
                  <w:marTop w:val="0"/>
                  <w:marBottom w:val="0"/>
                  <w:divBdr>
                    <w:top w:val="none" w:sz="0" w:space="0" w:color="auto"/>
                    <w:left w:val="none" w:sz="0" w:space="0" w:color="auto"/>
                    <w:bottom w:val="none" w:sz="0" w:space="0" w:color="auto"/>
                    <w:right w:val="none" w:sz="0" w:space="0" w:color="auto"/>
                  </w:divBdr>
                </w:div>
                <w:div w:id="1039353952">
                  <w:marLeft w:val="0"/>
                  <w:marRight w:val="0"/>
                  <w:marTop w:val="0"/>
                  <w:marBottom w:val="0"/>
                  <w:divBdr>
                    <w:top w:val="none" w:sz="0" w:space="0" w:color="auto"/>
                    <w:left w:val="none" w:sz="0" w:space="0" w:color="auto"/>
                    <w:bottom w:val="none" w:sz="0" w:space="0" w:color="auto"/>
                    <w:right w:val="none" w:sz="0" w:space="0" w:color="auto"/>
                  </w:divBdr>
                </w:div>
                <w:div w:id="1068041497">
                  <w:marLeft w:val="0"/>
                  <w:marRight w:val="0"/>
                  <w:marTop w:val="0"/>
                  <w:marBottom w:val="0"/>
                  <w:divBdr>
                    <w:top w:val="none" w:sz="0" w:space="0" w:color="auto"/>
                    <w:left w:val="none" w:sz="0" w:space="0" w:color="auto"/>
                    <w:bottom w:val="none" w:sz="0" w:space="0" w:color="auto"/>
                    <w:right w:val="none" w:sz="0" w:space="0" w:color="auto"/>
                  </w:divBdr>
                </w:div>
                <w:div w:id="1111516240">
                  <w:marLeft w:val="0"/>
                  <w:marRight w:val="0"/>
                  <w:marTop w:val="0"/>
                  <w:marBottom w:val="0"/>
                  <w:divBdr>
                    <w:top w:val="none" w:sz="0" w:space="0" w:color="auto"/>
                    <w:left w:val="none" w:sz="0" w:space="0" w:color="auto"/>
                    <w:bottom w:val="none" w:sz="0" w:space="0" w:color="auto"/>
                    <w:right w:val="none" w:sz="0" w:space="0" w:color="auto"/>
                  </w:divBdr>
                </w:div>
                <w:div w:id="1121337845">
                  <w:marLeft w:val="0"/>
                  <w:marRight w:val="0"/>
                  <w:marTop w:val="0"/>
                  <w:marBottom w:val="0"/>
                  <w:divBdr>
                    <w:top w:val="none" w:sz="0" w:space="0" w:color="auto"/>
                    <w:left w:val="none" w:sz="0" w:space="0" w:color="auto"/>
                    <w:bottom w:val="none" w:sz="0" w:space="0" w:color="auto"/>
                    <w:right w:val="none" w:sz="0" w:space="0" w:color="auto"/>
                  </w:divBdr>
                </w:div>
                <w:div w:id="1129401099">
                  <w:marLeft w:val="0"/>
                  <w:marRight w:val="0"/>
                  <w:marTop w:val="0"/>
                  <w:marBottom w:val="0"/>
                  <w:divBdr>
                    <w:top w:val="none" w:sz="0" w:space="0" w:color="auto"/>
                    <w:left w:val="none" w:sz="0" w:space="0" w:color="auto"/>
                    <w:bottom w:val="none" w:sz="0" w:space="0" w:color="auto"/>
                    <w:right w:val="none" w:sz="0" w:space="0" w:color="auto"/>
                  </w:divBdr>
                </w:div>
                <w:div w:id="1140343300">
                  <w:marLeft w:val="0"/>
                  <w:marRight w:val="0"/>
                  <w:marTop w:val="0"/>
                  <w:marBottom w:val="0"/>
                  <w:divBdr>
                    <w:top w:val="none" w:sz="0" w:space="0" w:color="auto"/>
                    <w:left w:val="none" w:sz="0" w:space="0" w:color="auto"/>
                    <w:bottom w:val="none" w:sz="0" w:space="0" w:color="auto"/>
                    <w:right w:val="none" w:sz="0" w:space="0" w:color="auto"/>
                  </w:divBdr>
                </w:div>
                <w:div w:id="1140726377">
                  <w:marLeft w:val="0"/>
                  <w:marRight w:val="0"/>
                  <w:marTop w:val="0"/>
                  <w:marBottom w:val="0"/>
                  <w:divBdr>
                    <w:top w:val="none" w:sz="0" w:space="0" w:color="auto"/>
                    <w:left w:val="none" w:sz="0" w:space="0" w:color="auto"/>
                    <w:bottom w:val="none" w:sz="0" w:space="0" w:color="auto"/>
                    <w:right w:val="none" w:sz="0" w:space="0" w:color="auto"/>
                  </w:divBdr>
                </w:div>
                <w:div w:id="1162424951">
                  <w:marLeft w:val="0"/>
                  <w:marRight w:val="0"/>
                  <w:marTop w:val="0"/>
                  <w:marBottom w:val="0"/>
                  <w:divBdr>
                    <w:top w:val="none" w:sz="0" w:space="0" w:color="auto"/>
                    <w:left w:val="none" w:sz="0" w:space="0" w:color="auto"/>
                    <w:bottom w:val="none" w:sz="0" w:space="0" w:color="auto"/>
                    <w:right w:val="none" w:sz="0" w:space="0" w:color="auto"/>
                  </w:divBdr>
                </w:div>
                <w:div w:id="1164393261">
                  <w:marLeft w:val="0"/>
                  <w:marRight w:val="0"/>
                  <w:marTop w:val="0"/>
                  <w:marBottom w:val="0"/>
                  <w:divBdr>
                    <w:top w:val="none" w:sz="0" w:space="0" w:color="auto"/>
                    <w:left w:val="none" w:sz="0" w:space="0" w:color="auto"/>
                    <w:bottom w:val="none" w:sz="0" w:space="0" w:color="auto"/>
                    <w:right w:val="none" w:sz="0" w:space="0" w:color="auto"/>
                  </w:divBdr>
                </w:div>
                <w:div w:id="1168208034">
                  <w:marLeft w:val="0"/>
                  <w:marRight w:val="0"/>
                  <w:marTop w:val="0"/>
                  <w:marBottom w:val="0"/>
                  <w:divBdr>
                    <w:top w:val="none" w:sz="0" w:space="0" w:color="auto"/>
                    <w:left w:val="none" w:sz="0" w:space="0" w:color="auto"/>
                    <w:bottom w:val="none" w:sz="0" w:space="0" w:color="auto"/>
                    <w:right w:val="none" w:sz="0" w:space="0" w:color="auto"/>
                  </w:divBdr>
                </w:div>
                <w:div w:id="1171799282">
                  <w:marLeft w:val="0"/>
                  <w:marRight w:val="0"/>
                  <w:marTop w:val="0"/>
                  <w:marBottom w:val="0"/>
                  <w:divBdr>
                    <w:top w:val="none" w:sz="0" w:space="0" w:color="auto"/>
                    <w:left w:val="none" w:sz="0" w:space="0" w:color="auto"/>
                    <w:bottom w:val="none" w:sz="0" w:space="0" w:color="auto"/>
                    <w:right w:val="none" w:sz="0" w:space="0" w:color="auto"/>
                  </w:divBdr>
                </w:div>
                <w:div w:id="1172143629">
                  <w:marLeft w:val="0"/>
                  <w:marRight w:val="0"/>
                  <w:marTop w:val="0"/>
                  <w:marBottom w:val="0"/>
                  <w:divBdr>
                    <w:top w:val="none" w:sz="0" w:space="0" w:color="auto"/>
                    <w:left w:val="none" w:sz="0" w:space="0" w:color="auto"/>
                    <w:bottom w:val="none" w:sz="0" w:space="0" w:color="auto"/>
                    <w:right w:val="none" w:sz="0" w:space="0" w:color="auto"/>
                  </w:divBdr>
                </w:div>
                <w:div w:id="1208833601">
                  <w:marLeft w:val="0"/>
                  <w:marRight w:val="0"/>
                  <w:marTop w:val="0"/>
                  <w:marBottom w:val="0"/>
                  <w:divBdr>
                    <w:top w:val="none" w:sz="0" w:space="0" w:color="auto"/>
                    <w:left w:val="none" w:sz="0" w:space="0" w:color="auto"/>
                    <w:bottom w:val="none" w:sz="0" w:space="0" w:color="auto"/>
                    <w:right w:val="none" w:sz="0" w:space="0" w:color="auto"/>
                  </w:divBdr>
                </w:div>
                <w:div w:id="1241015732">
                  <w:marLeft w:val="0"/>
                  <w:marRight w:val="0"/>
                  <w:marTop w:val="0"/>
                  <w:marBottom w:val="0"/>
                  <w:divBdr>
                    <w:top w:val="none" w:sz="0" w:space="0" w:color="auto"/>
                    <w:left w:val="none" w:sz="0" w:space="0" w:color="auto"/>
                    <w:bottom w:val="none" w:sz="0" w:space="0" w:color="auto"/>
                    <w:right w:val="none" w:sz="0" w:space="0" w:color="auto"/>
                  </w:divBdr>
                </w:div>
                <w:div w:id="1259869900">
                  <w:marLeft w:val="0"/>
                  <w:marRight w:val="0"/>
                  <w:marTop w:val="0"/>
                  <w:marBottom w:val="0"/>
                  <w:divBdr>
                    <w:top w:val="none" w:sz="0" w:space="0" w:color="auto"/>
                    <w:left w:val="none" w:sz="0" w:space="0" w:color="auto"/>
                    <w:bottom w:val="none" w:sz="0" w:space="0" w:color="auto"/>
                    <w:right w:val="none" w:sz="0" w:space="0" w:color="auto"/>
                  </w:divBdr>
                </w:div>
                <w:div w:id="1276519370">
                  <w:marLeft w:val="0"/>
                  <w:marRight w:val="0"/>
                  <w:marTop w:val="0"/>
                  <w:marBottom w:val="0"/>
                  <w:divBdr>
                    <w:top w:val="none" w:sz="0" w:space="0" w:color="auto"/>
                    <w:left w:val="none" w:sz="0" w:space="0" w:color="auto"/>
                    <w:bottom w:val="none" w:sz="0" w:space="0" w:color="auto"/>
                    <w:right w:val="none" w:sz="0" w:space="0" w:color="auto"/>
                  </w:divBdr>
                </w:div>
                <w:div w:id="1290160211">
                  <w:marLeft w:val="0"/>
                  <w:marRight w:val="0"/>
                  <w:marTop w:val="0"/>
                  <w:marBottom w:val="0"/>
                  <w:divBdr>
                    <w:top w:val="none" w:sz="0" w:space="0" w:color="auto"/>
                    <w:left w:val="none" w:sz="0" w:space="0" w:color="auto"/>
                    <w:bottom w:val="none" w:sz="0" w:space="0" w:color="auto"/>
                    <w:right w:val="none" w:sz="0" w:space="0" w:color="auto"/>
                  </w:divBdr>
                </w:div>
                <w:div w:id="1291978331">
                  <w:marLeft w:val="0"/>
                  <w:marRight w:val="0"/>
                  <w:marTop w:val="0"/>
                  <w:marBottom w:val="0"/>
                  <w:divBdr>
                    <w:top w:val="none" w:sz="0" w:space="0" w:color="auto"/>
                    <w:left w:val="none" w:sz="0" w:space="0" w:color="auto"/>
                    <w:bottom w:val="none" w:sz="0" w:space="0" w:color="auto"/>
                    <w:right w:val="none" w:sz="0" w:space="0" w:color="auto"/>
                  </w:divBdr>
                </w:div>
                <w:div w:id="1300307346">
                  <w:marLeft w:val="0"/>
                  <w:marRight w:val="0"/>
                  <w:marTop w:val="0"/>
                  <w:marBottom w:val="0"/>
                  <w:divBdr>
                    <w:top w:val="none" w:sz="0" w:space="0" w:color="auto"/>
                    <w:left w:val="none" w:sz="0" w:space="0" w:color="auto"/>
                    <w:bottom w:val="none" w:sz="0" w:space="0" w:color="auto"/>
                    <w:right w:val="none" w:sz="0" w:space="0" w:color="auto"/>
                  </w:divBdr>
                </w:div>
                <w:div w:id="1316376415">
                  <w:marLeft w:val="0"/>
                  <w:marRight w:val="0"/>
                  <w:marTop w:val="0"/>
                  <w:marBottom w:val="0"/>
                  <w:divBdr>
                    <w:top w:val="none" w:sz="0" w:space="0" w:color="auto"/>
                    <w:left w:val="none" w:sz="0" w:space="0" w:color="auto"/>
                    <w:bottom w:val="none" w:sz="0" w:space="0" w:color="auto"/>
                    <w:right w:val="none" w:sz="0" w:space="0" w:color="auto"/>
                  </w:divBdr>
                </w:div>
                <w:div w:id="1341858886">
                  <w:marLeft w:val="0"/>
                  <w:marRight w:val="0"/>
                  <w:marTop w:val="0"/>
                  <w:marBottom w:val="0"/>
                  <w:divBdr>
                    <w:top w:val="none" w:sz="0" w:space="0" w:color="auto"/>
                    <w:left w:val="none" w:sz="0" w:space="0" w:color="auto"/>
                    <w:bottom w:val="none" w:sz="0" w:space="0" w:color="auto"/>
                    <w:right w:val="none" w:sz="0" w:space="0" w:color="auto"/>
                  </w:divBdr>
                </w:div>
                <w:div w:id="1345329226">
                  <w:marLeft w:val="0"/>
                  <w:marRight w:val="0"/>
                  <w:marTop w:val="0"/>
                  <w:marBottom w:val="0"/>
                  <w:divBdr>
                    <w:top w:val="none" w:sz="0" w:space="0" w:color="auto"/>
                    <w:left w:val="none" w:sz="0" w:space="0" w:color="auto"/>
                    <w:bottom w:val="none" w:sz="0" w:space="0" w:color="auto"/>
                    <w:right w:val="none" w:sz="0" w:space="0" w:color="auto"/>
                  </w:divBdr>
                </w:div>
                <w:div w:id="1363363229">
                  <w:marLeft w:val="0"/>
                  <w:marRight w:val="0"/>
                  <w:marTop w:val="0"/>
                  <w:marBottom w:val="0"/>
                  <w:divBdr>
                    <w:top w:val="none" w:sz="0" w:space="0" w:color="auto"/>
                    <w:left w:val="none" w:sz="0" w:space="0" w:color="auto"/>
                    <w:bottom w:val="none" w:sz="0" w:space="0" w:color="auto"/>
                    <w:right w:val="none" w:sz="0" w:space="0" w:color="auto"/>
                  </w:divBdr>
                </w:div>
                <w:div w:id="1393310715">
                  <w:marLeft w:val="0"/>
                  <w:marRight w:val="0"/>
                  <w:marTop w:val="0"/>
                  <w:marBottom w:val="0"/>
                  <w:divBdr>
                    <w:top w:val="none" w:sz="0" w:space="0" w:color="auto"/>
                    <w:left w:val="none" w:sz="0" w:space="0" w:color="auto"/>
                    <w:bottom w:val="none" w:sz="0" w:space="0" w:color="auto"/>
                    <w:right w:val="none" w:sz="0" w:space="0" w:color="auto"/>
                  </w:divBdr>
                </w:div>
                <w:div w:id="1402099724">
                  <w:marLeft w:val="0"/>
                  <w:marRight w:val="0"/>
                  <w:marTop w:val="0"/>
                  <w:marBottom w:val="0"/>
                  <w:divBdr>
                    <w:top w:val="none" w:sz="0" w:space="0" w:color="auto"/>
                    <w:left w:val="none" w:sz="0" w:space="0" w:color="auto"/>
                    <w:bottom w:val="none" w:sz="0" w:space="0" w:color="auto"/>
                    <w:right w:val="none" w:sz="0" w:space="0" w:color="auto"/>
                  </w:divBdr>
                </w:div>
                <w:div w:id="1402944339">
                  <w:marLeft w:val="0"/>
                  <w:marRight w:val="0"/>
                  <w:marTop w:val="0"/>
                  <w:marBottom w:val="0"/>
                  <w:divBdr>
                    <w:top w:val="none" w:sz="0" w:space="0" w:color="auto"/>
                    <w:left w:val="none" w:sz="0" w:space="0" w:color="auto"/>
                    <w:bottom w:val="none" w:sz="0" w:space="0" w:color="auto"/>
                    <w:right w:val="none" w:sz="0" w:space="0" w:color="auto"/>
                  </w:divBdr>
                </w:div>
                <w:div w:id="1405451907">
                  <w:marLeft w:val="0"/>
                  <w:marRight w:val="0"/>
                  <w:marTop w:val="0"/>
                  <w:marBottom w:val="0"/>
                  <w:divBdr>
                    <w:top w:val="none" w:sz="0" w:space="0" w:color="auto"/>
                    <w:left w:val="none" w:sz="0" w:space="0" w:color="auto"/>
                    <w:bottom w:val="none" w:sz="0" w:space="0" w:color="auto"/>
                    <w:right w:val="none" w:sz="0" w:space="0" w:color="auto"/>
                  </w:divBdr>
                </w:div>
                <w:div w:id="1455253054">
                  <w:marLeft w:val="0"/>
                  <w:marRight w:val="0"/>
                  <w:marTop w:val="0"/>
                  <w:marBottom w:val="0"/>
                  <w:divBdr>
                    <w:top w:val="none" w:sz="0" w:space="0" w:color="auto"/>
                    <w:left w:val="none" w:sz="0" w:space="0" w:color="auto"/>
                    <w:bottom w:val="none" w:sz="0" w:space="0" w:color="auto"/>
                    <w:right w:val="none" w:sz="0" w:space="0" w:color="auto"/>
                  </w:divBdr>
                </w:div>
                <w:div w:id="1459496792">
                  <w:marLeft w:val="0"/>
                  <w:marRight w:val="0"/>
                  <w:marTop w:val="0"/>
                  <w:marBottom w:val="0"/>
                  <w:divBdr>
                    <w:top w:val="none" w:sz="0" w:space="0" w:color="auto"/>
                    <w:left w:val="none" w:sz="0" w:space="0" w:color="auto"/>
                    <w:bottom w:val="none" w:sz="0" w:space="0" w:color="auto"/>
                    <w:right w:val="none" w:sz="0" w:space="0" w:color="auto"/>
                  </w:divBdr>
                </w:div>
                <w:div w:id="1498036308">
                  <w:marLeft w:val="0"/>
                  <w:marRight w:val="0"/>
                  <w:marTop w:val="0"/>
                  <w:marBottom w:val="0"/>
                  <w:divBdr>
                    <w:top w:val="none" w:sz="0" w:space="0" w:color="auto"/>
                    <w:left w:val="none" w:sz="0" w:space="0" w:color="auto"/>
                    <w:bottom w:val="none" w:sz="0" w:space="0" w:color="auto"/>
                    <w:right w:val="none" w:sz="0" w:space="0" w:color="auto"/>
                  </w:divBdr>
                </w:div>
                <w:div w:id="1501576152">
                  <w:marLeft w:val="0"/>
                  <w:marRight w:val="0"/>
                  <w:marTop w:val="0"/>
                  <w:marBottom w:val="0"/>
                  <w:divBdr>
                    <w:top w:val="none" w:sz="0" w:space="0" w:color="auto"/>
                    <w:left w:val="none" w:sz="0" w:space="0" w:color="auto"/>
                    <w:bottom w:val="none" w:sz="0" w:space="0" w:color="auto"/>
                    <w:right w:val="none" w:sz="0" w:space="0" w:color="auto"/>
                  </w:divBdr>
                </w:div>
                <w:div w:id="1508014691">
                  <w:marLeft w:val="0"/>
                  <w:marRight w:val="0"/>
                  <w:marTop w:val="0"/>
                  <w:marBottom w:val="0"/>
                  <w:divBdr>
                    <w:top w:val="none" w:sz="0" w:space="0" w:color="auto"/>
                    <w:left w:val="none" w:sz="0" w:space="0" w:color="auto"/>
                    <w:bottom w:val="none" w:sz="0" w:space="0" w:color="auto"/>
                    <w:right w:val="none" w:sz="0" w:space="0" w:color="auto"/>
                  </w:divBdr>
                </w:div>
                <w:div w:id="1540967873">
                  <w:marLeft w:val="0"/>
                  <w:marRight w:val="0"/>
                  <w:marTop w:val="0"/>
                  <w:marBottom w:val="0"/>
                  <w:divBdr>
                    <w:top w:val="none" w:sz="0" w:space="0" w:color="auto"/>
                    <w:left w:val="none" w:sz="0" w:space="0" w:color="auto"/>
                    <w:bottom w:val="none" w:sz="0" w:space="0" w:color="auto"/>
                    <w:right w:val="none" w:sz="0" w:space="0" w:color="auto"/>
                  </w:divBdr>
                </w:div>
                <w:div w:id="1552427511">
                  <w:marLeft w:val="0"/>
                  <w:marRight w:val="0"/>
                  <w:marTop w:val="0"/>
                  <w:marBottom w:val="0"/>
                  <w:divBdr>
                    <w:top w:val="none" w:sz="0" w:space="0" w:color="auto"/>
                    <w:left w:val="none" w:sz="0" w:space="0" w:color="auto"/>
                    <w:bottom w:val="none" w:sz="0" w:space="0" w:color="auto"/>
                    <w:right w:val="none" w:sz="0" w:space="0" w:color="auto"/>
                  </w:divBdr>
                </w:div>
                <w:div w:id="1595741432">
                  <w:marLeft w:val="0"/>
                  <w:marRight w:val="0"/>
                  <w:marTop w:val="0"/>
                  <w:marBottom w:val="0"/>
                  <w:divBdr>
                    <w:top w:val="none" w:sz="0" w:space="0" w:color="auto"/>
                    <w:left w:val="none" w:sz="0" w:space="0" w:color="auto"/>
                    <w:bottom w:val="none" w:sz="0" w:space="0" w:color="auto"/>
                    <w:right w:val="none" w:sz="0" w:space="0" w:color="auto"/>
                  </w:divBdr>
                </w:div>
                <w:div w:id="1624771484">
                  <w:marLeft w:val="0"/>
                  <w:marRight w:val="0"/>
                  <w:marTop w:val="0"/>
                  <w:marBottom w:val="0"/>
                  <w:divBdr>
                    <w:top w:val="none" w:sz="0" w:space="0" w:color="auto"/>
                    <w:left w:val="none" w:sz="0" w:space="0" w:color="auto"/>
                    <w:bottom w:val="none" w:sz="0" w:space="0" w:color="auto"/>
                    <w:right w:val="none" w:sz="0" w:space="0" w:color="auto"/>
                  </w:divBdr>
                </w:div>
                <w:div w:id="1664047483">
                  <w:marLeft w:val="0"/>
                  <w:marRight w:val="0"/>
                  <w:marTop w:val="0"/>
                  <w:marBottom w:val="0"/>
                  <w:divBdr>
                    <w:top w:val="none" w:sz="0" w:space="0" w:color="auto"/>
                    <w:left w:val="none" w:sz="0" w:space="0" w:color="auto"/>
                    <w:bottom w:val="none" w:sz="0" w:space="0" w:color="auto"/>
                    <w:right w:val="none" w:sz="0" w:space="0" w:color="auto"/>
                  </w:divBdr>
                </w:div>
                <w:div w:id="1673410966">
                  <w:marLeft w:val="0"/>
                  <w:marRight w:val="0"/>
                  <w:marTop w:val="0"/>
                  <w:marBottom w:val="0"/>
                  <w:divBdr>
                    <w:top w:val="none" w:sz="0" w:space="0" w:color="auto"/>
                    <w:left w:val="none" w:sz="0" w:space="0" w:color="auto"/>
                    <w:bottom w:val="none" w:sz="0" w:space="0" w:color="auto"/>
                    <w:right w:val="none" w:sz="0" w:space="0" w:color="auto"/>
                  </w:divBdr>
                </w:div>
                <w:div w:id="1684940425">
                  <w:marLeft w:val="0"/>
                  <w:marRight w:val="0"/>
                  <w:marTop w:val="0"/>
                  <w:marBottom w:val="0"/>
                  <w:divBdr>
                    <w:top w:val="none" w:sz="0" w:space="0" w:color="auto"/>
                    <w:left w:val="none" w:sz="0" w:space="0" w:color="auto"/>
                    <w:bottom w:val="none" w:sz="0" w:space="0" w:color="auto"/>
                    <w:right w:val="none" w:sz="0" w:space="0" w:color="auto"/>
                  </w:divBdr>
                </w:div>
                <w:div w:id="1686706007">
                  <w:marLeft w:val="0"/>
                  <w:marRight w:val="0"/>
                  <w:marTop w:val="0"/>
                  <w:marBottom w:val="0"/>
                  <w:divBdr>
                    <w:top w:val="none" w:sz="0" w:space="0" w:color="auto"/>
                    <w:left w:val="none" w:sz="0" w:space="0" w:color="auto"/>
                    <w:bottom w:val="none" w:sz="0" w:space="0" w:color="auto"/>
                    <w:right w:val="none" w:sz="0" w:space="0" w:color="auto"/>
                  </w:divBdr>
                </w:div>
                <w:div w:id="1687558557">
                  <w:marLeft w:val="0"/>
                  <w:marRight w:val="0"/>
                  <w:marTop w:val="0"/>
                  <w:marBottom w:val="0"/>
                  <w:divBdr>
                    <w:top w:val="none" w:sz="0" w:space="0" w:color="auto"/>
                    <w:left w:val="none" w:sz="0" w:space="0" w:color="auto"/>
                    <w:bottom w:val="none" w:sz="0" w:space="0" w:color="auto"/>
                    <w:right w:val="none" w:sz="0" w:space="0" w:color="auto"/>
                  </w:divBdr>
                </w:div>
                <w:div w:id="1709069707">
                  <w:marLeft w:val="0"/>
                  <w:marRight w:val="0"/>
                  <w:marTop w:val="0"/>
                  <w:marBottom w:val="0"/>
                  <w:divBdr>
                    <w:top w:val="none" w:sz="0" w:space="0" w:color="auto"/>
                    <w:left w:val="none" w:sz="0" w:space="0" w:color="auto"/>
                    <w:bottom w:val="none" w:sz="0" w:space="0" w:color="auto"/>
                    <w:right w:val="none" w:sz="0" w:space="0" w:color="auto"/>
                  </w:divBdr>
                </w:div>
                <w:div w:id="1793667192">
                  <w:marLeft w:val="0"/>
                  <w:marRight w:val="0"/>
                  <w:marTop w:val="0"/>
                  <w:marBottom w:val="0"/>
                  <w:divBdr>
                    <w:top w:val="none" w:sz="0" w:space="0" w:color="auto"/>
                    <w:left w:val="none" w:sz="0" w:space="0" w:color="auto"/>
                    <w:bottom w:val="none" w:sz="0" w:space="0" w:color="auto"/>
                    <w:right w:val="none" w:sz="0" w:space="0" w:color="auto"/>
                  </w:divBdr>
                </w:div>
                <w:div w:id="1799645429">
                  <w:marLeft w:val="0"/>
                  <w:marRight w:val="0"/>
                  <w:marTop w:val="0"/>
                  <w:marBottom w:val="0"/>
                  <w:divBdr>
                    <w:top w:val="none" w:sz="0" w:space="0" w:color="auto"/>
                    <w:left w:val="none" w:sz="0" w:space="0" w:color="auto"/>
                    <w:bottom w:val="none" w:sz="0" w:space="0" w:color="auto"/>
                    <w:right w:val="none" w:sz="0" w:space="0" w:color="auto"/>
                  </w:divBdr>
                </w:div>
                <w:div w:id="1806434857">
                  <w:marLeft w:val="0"/>
                  <w:marRight w:val="0"/>
                  <w:marTop w:val="0"/>
                  <w:marBottom w:val="0"/>
                  <w:divBdr>
                    <w:top w:val="none" w:sz="0" w:space="0" w:color="auto"/>
                    <w:left w:val="none" w:sz="0" w:space="0" w:color="auto"/>
                    <w:bottom w:val="none" w:sz="0" w:space="0" w:color="auto"/>
                    <w:right w:val="none" w:sz="0" w:space="0" w:color="auto"/>
                  </w:divBdr>
                </w:div>
                <w:div w:id="1810515017">
                  <w:marLeft w:val="0"/>
                  <w:marRight w:val="0"/>
                  <w:marTop w:val="0"/>
                  <w:marBottom w:val="0"/>
                  <w:divBdr>
                    <w:top w:val="none" w:sz="0" w:space="0" w:color="auto"/>
                    <w:left w:val="none" w:sz="0" w:space="0" w:color="auto"/>
                    <w:bottom w:val="none" w:sz="0" w:space="0" w:color="auto"/>
                    <w:right w:val="none" w:sz="0" w:space="0" w:color="auto"/>
                  </w:divBdr>
                </w:div>
                <w:div w:id="1819568134">
                  <w:marLeft w:val="0"/>
                  <w:marRight w:val="0"/>
                  <w:marTop w:val="0"/>
                  <w:marBottom w:val="0"/>
                  <w:divBdr>
                    <w:top w:val="none" w:sz="0" w:space="0" w:color="auto"/>
                    <w:left w:val="none" w:sz="0" w:space="0" w:color="auto"/>
                    <w:bottom w:val="none" w:sz="0" w:space="0" w:color="auto"/>
                    <w:right w:val="none" w:sz="0" w:space="0" w:color="auto"/>
                  </w:divBdr>
                </w:div>
                <w:div w:id="1838420248">
                  <w:marLeft w:val="0"/>
                  <w:marRight w:val="0"/>
                  <w:marTop w:val="0"/>
                  <w:marBottom w:val="0"/>
                  <w:divBdr>
                    <w:top w:val="none" w:sz="0" w:space="0" w:color="auto"/>
                    <w:left w:val="none" w:sz="0" w:space="0" w:color="auto"/>
                    <w:bottom w:val="none" w:sz="0" w:space="0" w:color="auto"/>
                    <w:right w:val="none" w:sz="0" w:space="0" w:color="auto"/>
                  </w:divBdr>
                </w:div>
                <w:div w:id="1857841374">
                  <w:marLeft w:val="0"/>
                  <w:marRight w:val="0"/>
                  <w:marTop w:val="0"/>
                  <w:marBottom w:val="0"/>
                  <w:divBdr>
                    <w:top w:val="none" w:sz="0" w:space="0" w:color="auto"/>
                    <w:left w:val="none" w:sz="0" w:space="0" w:color="auto"/>
                    <w:bottom w:val="none" w:sz="0" w:space="0" w:color="auto"/>
                    <w:right w:val="none" w:sz="0" w:space="0" w:color="auto"/>
                  </w:divBdr>
                </w:div>
                <w:div w:id="1882279256">
                  <w:marLeft w:val="0"/>
                  <w:marRight w:val="0"/>
                  <w:marTop w:val="0"/>
                  <w:marBottom w:val="0"/>
                  <w:divBdr>
                    <w:top w:val="none" w:sz="0" w:space="0" w:color="auto"/>
                    <w:left w:val="none" w:sz="0" w:space="0" w:color="auto"/>
                    <w:bottom w:val="none" w:sz="0" w:space="0" w:color="auto"/>
                    <w:right w:val="none" w:sz="0" w:space="0" w:color="auto"/>
                  </w:divBdr>
                </w:div>
                <w:div w:id="1887520298">
                  <w:marLeft w:val="0"/>
                  <w:marRight w:val="0"/>
                  <w:marTop w:val="0"/>
                  <w:marBottom w:val="0"/>
                  <w:divBdr>
                    <w:top w:val="none" w:sz="0" w:space="0" w:color="auto"/>
                    <w:left w:val="none" w:sz="0" w:space="0" w:color="auto"/>
                    <w:bottom w:val="none" w:sz="0" w:space="0" w:color="auto"/>
                    <w:right w:val="none" w:sz="0" w:space="0" w:color="auto"/>
                  </w:divBdr>
                </w:div>
                <w:div w:id="1888301737">
                  <w:marLeft w:val="0"/>
                  <w:marRight w:val="0"/>
                  <w:marTop w:val="0"/>
                  <w:marBottom w:val="0"/>
                  <w:divBdr>
                    <w:top w:val="none" w:sz="0" w:space="0" w:color="auto"/>
                    <w:left w:val="none" w:sz="0" w:space="0" w:color="auto"/>
                    <w:bottom w:val="none" w:sz="0" w:space="0" w:color="auto"/>
                    <w:right w:val="none" w:sz="0" w:space="0" w:color="auto"/>
                  </w:divBdr>
                </w:div>
                <w:div w:id="1906211444">
                  <w:marLeft w:val="0"/>
                  <w:marRight w:val="0"/>
                  <w:marTop w:val="0"/>
                  <w:marBottom w:val="0"/>
                  <w:divBdr>
                    <w:top w:val="none" w:sz="0" w:space="0" w:color="auto"/>
                    <w:left w:val="none" w:sz="0" w:space="0" w:color="auto"/>
                    <w:bottom w:val="none" w:sz="0" w:space="0" w:color="auto"/>
                    <w:right w:val="none" w:sz="0" w:space="0" w:color="auto"/>
                  </w:divBdr>
                </w:div>
                <w:div w:id="1946424724">
                  <w:marLeft w:val="0"/>
                  <w:marRight w:val="0"/>
                  <w:marTop w:val="0"/>
                  <w:marBottom w:val="0"/>
                  <w:divBdr>
                    <w:top w:val="none" w:sz="0" w:space="0" w:color="auto"/>
                    <w:left w:val="none" w:sz="0" w:space="0" w:color="auto"/>
                    <w:bottom w:val="none" w:sz="0" w:space="0" w:color="auto"/>
                    <w:right w:val="none" w:sz="0" w:space="0" w:color="auto"/>
                  </w:divBdr>
                </w:div>
                <w:div w:id="1949117293">
                  <w:marLeft w:val="0"/>
                  <w:marRight w:val="0"/>
                  <w:marTop w:val="0"/>
                  <w:marBottom w:val="0"/>
                  <w:divBdr>
                    <w:top w:val="none" w:sz="0" w:space="0" w:color="auto"/>
                    <w:left w:val="none" w:sz="0" w:space="0" w:color="auto"/>
                    <w:bottom w:val="none" w:sz="0" w:space="0" w:color="auto"/>
                    <w:right w:val="none" w:sz="0" w:space="0" w:color="auto"/>
                  </w:divBdr>
                </w:div>
                <w:div w:id="1955752178">
                  <w:marLeft w:val="0"/>
                  <w:marRight w:val="0"/>
                  <w:marTop w:val="0"/>
                  <w:marBottom w:val="0"/>
                  <w:divBdr>
                    <w:top w:val="none" w:sz="0" w:space="0" w:color="auto"/>
                    <w:left w:val="none" w:sz="0" w:space="0" w:color="auto"/>
                    <w:bottom w:val="none" w:sz="0" w:space="0" w:color="auto"/>
                    <w:right w:val="none" w:sz="0" w:space="0" w:color="auto"/>
                  </w:divBdr>
                </w:div>
                <w:div w:id="1968319183">
                  <w:marLeft w:val="0"/>
                  <w:marRight w:val="0"/>
                  <w:marTop w:val="0"/>
                  <w:marBottom w:val="0"/>
                  <w:divBdr>
                    <w:top w:val="none" w:sz="0" w:space="0" w:color="auto"/>
                    <w:left w:val="none" w:sz="0" w:space="0" w:color="auto"/>
                    <w:bottom w:val="none" w:sz="0" w:space="0" w:color="auto"/>
                    <w:right w:val="none" w:sz="0" w:space="0" w:color="auto"/>
                  </w:divBdr>
                </w:div>
                <w:div w:id="1974098171">
                  <w:marLeft w:val="0"/>
                  <w:marRight w:val="0"/>
                  <w:marTop w:val="0"/>
                  <w:marBottom w:val="0"/>
                  <w:divBdr>
                    <w:top w:val="none" w:sz="0" w:space="0" w:color="auto"/>
                    <w:left w:val="none" w:sz="0" w:space="0" w:color="auto"/>
                    <w:bottom w:val="none" w:sz="0" w:space="0" w:color="auto"/>
                    <w:right w:val="none" w:sz="0" w:space="0" w:color="auto"/>
                  </w:divBdr>
                </w:div>
                <w:div w:id="1984895276">
                  <w:marLeft w:val="0"/>
                  <w:marRight w:val="0"/>
                  <w:marTop w:val="0"/>
                  <w:marBottom w:val="0"/>
                  <w:divBdr>
                    <w:top w:val="none" w:sz="0" w:space="0" w:color="auto"/>
                    <w:left w:val="none" w:sz="0" w:space="0" w:color="auto"/>
                    <w:bottom w:val="none" w:sz="0" w:space="0" w:color="auto"/>
                    <w:right w:val="none" w:sz="0" w:space="0" w:color="auto"/>
                  </w:divBdr>
                </w:div>
                <w:div w:id="1990590514">
                  <w:marLeft w:val="0"/>
                  <w:marRight w:val="0"/>
                  <w:marTop w:val="0"/>
                  <w:marBottom w:val="0"/>
                  <w:divBdr>
                    <w:top w:val="none" w:sz="0" w:space="0" w:color="auto"/>
                    <w:left w:val="none" w:sz="0" w:space="0" w:color="auto"/>
                    <w:bottom w:val="none" w:sz="0" w:space="0" w:color="auto"/>
                    <w:right w:val="none" w:sz="0" w:space="0" w:color="auto"/>
                  </w:divBdr>
                </w:div>
                <w:div w:id="1991785053">
                  <w:marLeft w:val="0"/>
                  <w:marRight w:val="0"/>
                  <w:marTop w:val="0"/>
                  <w:marBottom w:val="0"/>
                  <w:divBdr>
                    <w:top w:val="none" w:sz="0" w:space="0" w:color="auto"/>
                    <w:left w:val="none" w:sz="0" w:space="0" w:color="auto"/>
                    <w:bottom w:val="none" w:sz="0" w:space="0" w:color="auto"/>
                    <w:right w:val="none" w:sz="0" w:space="0" w:color="auto"/>
                  </w:divBdr>
                </w:div>
                <w:div w:id="1995833391">
                  <w:marLeft w:val="0"/>
                  <w:marRight w:val="0"/>
                  <w:marTop w:val="0"/>
                  <w:marBottom w:val="0"/>
                  <w:divBdr>
                    <w:top w:val="none" w:sz="0" w:space="0" w:color="auto"/>
                    <w:left w:val="none" w:sz="0" w:space="0" w:color="auto"/>
                    <w:bottom w:val="none" w:sz="0" w:space="0" w:color="auto"/>
                    <w:right w:val="none" w:sz="0" w:space="0" w:color="auto"/>
                  </w:divBdr>
                </w:div>
                <w:div w:id="2012222583">
                  <w:marLeft w:val="0"/>
                  <w:marRight w:val="0"/>
                  <w:marTop w:val="0"/>
                  <w:marBottom w:val="0"/>
                  <w:divBdr>
                    <w:top w:val="none" w:sz="0" w:space="0" w:color="auto"/>
                    <w:left w:val="none" w:sz="0" w:space="0" w:color="auto"/>
                    <w:bottom w:val="none" w:sz="0" w:space="0" w:color="auto"/>
                    <w:right w:val="none" w:sz="0" w:space="0" w:color="auto"/>
                  </w:divBdr>
                </w:div>
                <w:div w:id="2013292077">
                  <w:marLeft w:val="0"/>
                  <w:marRight w:val="0"/>
                  <w:marTop w:val="0"/>
                  <w:marBottom w:val="0"/>
                  <w:divBdr>
                    <w:top w:val="none" w:sz="0" w:space="0" w:color="auto"/>
                    <w:left w:val="none" w:sz="0" w:space="0" w:color="auto"/>
                    <w:bottom w:val="none" w:sz="0" w:space="0" w:color="auto"/>
                    <w:right w:val="none" w:sz="0" w:space="0" w:color="auto"/>
                  </w:divBdr>
                </w:div>
                <w:div w:id="2018384094">
                  <w:marLeft w:val="0"/>
                  <w:marRight w:val="0"/>
                  <w:marTop w:val="0"/>
                  <w:marBottom w:val="0"/>
                  <w:divBdr>
                    <w:top w:val="none" w:sz="0" w:space="0" w:color="auto"/>
                    <w:left w:val="none" w:sz="0" w:space="0" w:color="auto"/>
                    <w:bottom w:val="none" w:sz="0" w:space="0" w:color="auto"/>
                    <w:right w:val="none" w:sz="0" w:space="0" w:color="auto"/>
                  </w:divBdr>
                </w:div>
                <w:div w:id="2046252791">
                  <w:marLeft w:val="0"/>
                  <w:marRight w:val="0"/>
                  <w:marTop w:val="0"/>
                  <w:marBottom w:val="0"/>
                  <w:divBdr>
                    <w:top w:val="none" w:sz="0" w:space="0" w:color="auto"/>
                    <w:left w:val="none" w:sz="0" w:space="0" w:color="auto"/>
                    <w:bottom w:val="none" w:sz="0" w:space="0" w:color="auto"/>
                    <w:right w:val="none" w:sz="0" w:space="0" w:color="auto"/>
                  </w:divBdr>
                </w:div>
                <w:div w:id="2052341459">
                  <w:marLeft w:val="0"/>
                  <w:marRight w:val="0"/>
                  <w:marTop w:val="0"/>
                  <w:marBottom w:val="0"/>
                  <w:divBdr>
                    <w:top w:val="none" w:sz="0" w:space="0" w:color="auto"/>
                    <w:left w:val="none" w:sz="0" w:space="0" w:color="auto"/>
                    <w:bottom w:val="none" w:sz="0" w:space="0" w:color="auto"/>
                    <w:right w:val="none" w:sz="0" w:space="0" w:color="auto"/>
                  </w:divBdr>
                </w:div>
                <w:div w:id="2058309977">
                  <w:marLeft w:val="0"/>
                  <w:marRight w:val="0"/>
                  <w:marTop w:val="0"/>
                  <w:marBottom w:val="0"/>
                  <w:divBdr>
                    <w:top w:val="none" w:sz="0" w:space="0" w:color="auto"/>
                    <w:left w:val="none" w:sz="0" w:space="0" w:color="auto"/>
                    <w:bottom w:val="none" w:sz="0" w:space="0" w:color="auto"/>
                    <w:right w:val="none" w:sz="0" w:space="0" w:color="auto"/>
                  </w:divBdr>
                </w:div>
                <w:div w:id="2059544905">
                  <w:marLeft w:val="0"/>
                  <w:marRight w:val="0"/>
                  <w:marTop w:val="0"/>
                  <w:marBottom w:val="0"/>
                  <w:divBdr>
                    <w:top w:val="none" w:sz="0" w:space="0" w:color="auto"/>
                    <w:left w:val="none" w:sz="0" w:space="0" w:color="auto"/>
                    <w:bottom w:val="none" w:sz="0" w:space="0" w:color="auto"/>
                    <w:right w:val="none" w:sz="0" w:space="0" w:color="auto"/>
                  </w:divBdr>
                </w:div>
                <w:div w:id="2086609280">
                  <w:marLeft w:val="0"/>
                  <w:marRight w:val="0"/>
                  <w:marTop w:val="0"/>
                  <w:marBottom w:val="0"/>
                  <w:divBdr>
                    <w:top w:val="none" w:sz="0" w:space="0" w:color="auto"/>
                    <w:left w:val="none" w:sz="0" w:space="0" w:color="auto"/>
                    <w:bottom w:val="none" w:sz="0" w:space="0" w:color="auto"/>
                    <w:right w:val="none" w:sz="0" w:space="0" w:color="auto"/>
                  </w:divBdr>
                </w:div>
                <w:div w:id="2100910280">
                  <w:marLeft w:val="0"/>
                  <w:marRight w:val="0"/>
                  <w:marTop w:val="0"/>
                  <w:marBottom w:val="0"/>
                  <w:divBdr>
                    <w:top w:val="none" w:sz="0" w:space="0" w:color="auto"/>
                    <w:left w:val="none" w:sz="0" w:space="0" w:color="auto"/>
                    <w:bottom w:val="none" w:sz="0" w:space="0" w:color="auto"/>
                    <w:right w:val="none" w:sz="0" w:space="0" w:color="auto"/>
                  </w:divBdr>
                </w:div>
                <w:div w:id="210144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024647">
      <w:bodyDiv w:val="1"/>
      <w:marLeft w:val="0"/>
      <w:marRight w:val="0"/>
      <w:marTop w:val="0"/>
      <w:marBottom w:val="0"/>
      <w:divBdr>
        <w:top w:val="none" w:sz="0" w:space="0" w:color="auto"/>
        <w:left w:val="none" w:sz="0" w:space="0" w:color="auto"/>
        <w:bottom w:val="none" w:sz="0" w:space="0" w:color="auto"/>
        <w:right w:val="none" w:sz="0" w:space="0" w:color="auto"/>
      </w:divBdr>
      <w:divsChild>
        <w:div w:id="969747775">
          <w:marLeft w:val="0"/>
          <w:marRight w:val="0"/>
          <w:marTop w:val="0"/>
          <w:marBottom w:val="0"/>
          <w:divBdr>
            <w:top w:val="none" w:sz="0" w:space="0" w:color="auto"/>
            <w:left w:val="none" w:sz="0" w:space="0" w:color="auto"/>
            <w:bottom w:val="none" w:sz="0" w:space="0" w:color="auto"/>
            <w:right w:val="none" w:sz="0" w:space="0" w:color="auto"/>
          </w:divBdr>
        </w:div>
        <w:div w:id="1289972798">
          <w:marLeft w:val="0"/>
          <w:marRight w:val="0"/>
          <w:marTop w:val="0"/>
          <w:marBottom w:val="0"/>
          <w:divBdr>
            <w:top w:val="none" w:sz="0" w:space="0" w:color="auto"/>
            <w:left w:val="none" w:sz="0" w:space="0" w:color="auto"/>
            <w:bottom w:val="none" w:sz="0" w:space="0" w:color="auto"/>
            <w:right w:val="none" w:sz="0" w:space="0" w:color="auto"/>
          </w:divBdr>
        </w:div>
        <w:div w:id="2082831544">
          <w:marLeft w:val="0"/>
          <w:marRight w:val="0"/>
          <w:marTop w:val="0"/>
          <w:marBottom w:val="0"/>
          <w:divBdr>
            <w:top w:val="none" w:sz="0" w:space="0" w:color="auto"/>
            <w:left w:val="none" w:sz="0" w:space="0" w:color="auto"/>
            <w:bottom w:val="none" w:sz="0" w:space="0" w:color="auto"/>
            <w:right w:val="none" w:sz="0" w:space="0" w:color="auto"/>
          </w:divBdr>
        </w:div>
      </w:divsChild>
    </w:div>
    <w:div w:id="1349136532">
      <w:bodyDiv w:val="1"/>
      <w:marLeft w:val="0"/>
      <w:marRight w:val="0"/>
      <w:marTop w:val="0"/>
      <w:marBottom w:val="0"/>
      <w:divBdr>
        <w:top w:val="none" w:sz="0" w:space="0" w:color="auto"/>
        <w:left w:val="none" w:sz="0" w:space="0" w:color="auto"/>
        <w:bottom w:val="none" w:sz="0" w:space="0" w:color="auto"/>
        <w:right w:val="none" w:sz="0" w:space="0" w:color="auto"/>
      </w:divBdr>
    </w:div>
    <w:div w:id="1354653196">
      <w:bodyDiv w:val="1"/>
      <w:marLeft w:val="0"/>
      <w:marRight w:val="0"/>
      <w:marTop w:val="0"/>
      <w:marBottom w:val="0"/>
      <w:divBdr>
        <w:top w:val="none" w:sz="0" w:space="0" w:color="auto"/>
        <w:left w:val="none" w:sz="0" w:space="0" w:color="auto"/>
        <w:bottom w:val="none" w:sz="0" w:space="0" w:color="auto"/>
        <w:right w:val="none" w:sz="0" w:space="0" w:color="auto"/>
      </w:divBdr>
    </w:div>
    <w:div w:id="1355039870">
      <w:bodyDiv w:val="1"/>
      <w:marLeft w:val="0"/>
      <w:marRight w:val="0"/>
      <w:marTop w:val="0"/>
      <w:marBottom w:val="0"/>
      <w:divBdr>
        <w:top w:val="none" w:sz="0" w:space="0" w:color="auto"/>
        <w:left w:val="none" w:sz="0" w:space="0" w:color="auto"/>
        <w:bottom w:val="none" w:sz="0" w:space="0" w:color="auto"/>
        <w:right w:val="none" w:sz="0" w:space="0" w:color="auto"/>
      </w:divBdr>
      <w:divsChild>
        <w:div w:id="352265087">
          <w:marLeft w:val="0"/>
          <w:marRight w:val="0"/>
          <w:marTop w:val="0"/>
          <w:marBottom w:val="0"/>
          <w:divBdr>
            <w:top w:val="none" w:sz="0" w:space="0" w:color="auto"/>
            <w:left w:val="none" w:sz="0" w:space="0" w:color="auto"/>
            <w:bottom w:val="none" w:sz="0" w:space="0" w:color="auto"/>
            <w:right w:val="none" w:sz="0" w:space="0" w:color="auto"/>
          </w:divBdr>
        </w:div>
      </w:divsChild>
    </w:div>
    <w:div w:id="1357345372">
      <w:bodyDiv w:val="1"/>
      <w:marLeft w:val="0"/>
      <w:marRight w:val="0"/>
      <w:marTop w:val="0"/>
      <w:marBottom w:val="0"/>
      <w:divBdr>
        <w:top w:val="none" w:sz="0" w:space="0" w:color="auto"/>
        <w:left w:val="none" w:sz="0" w:space="0" w:color="auto"/>
        <w:bottom w:val="none" w:sz="0" w:space="0" w:color="auto"/>
        <w:right w:val="none" w:sz="0" w:space="0" w:color="auto"/>
      </w:divBdr>
      <w:divsChild>
        <w:div w:id="19824180">
          <w:marLeft w:val="0"/>
          <w:marRight w:val="0"/>
          <w:marTop w:val="0"/>
          <w:marBottom w:val="0"/>
          <w:divBdr>
            <w:top w:val="none" w:sz="0" w:space="0" w:color="auto"/>
            <w:left w:val="none" w:sz="0" w:space="0" w:color="auto"/>
            <w:bottom w:val="none" w:sz="0" w:space="0" w:color="auto"/>
            <w:right w:val="none" w:sz="0" w:space="0" w:color="auto"/>
          </w:divBdr>
          <w:divsChild>
            <w:div w:id="1817141158">
              <w:marLeft w:val="0"/>
              <w:marRight w:val="0"/>
              <w:marTop w:val="0"/>
              <w:marBottom w:val="0"/>
              <w:divBdr>
                <w:top w:val="none" w:sz="0" w:space="0" w:color="auto"/>
                <w:left w:val="none" w:sz="0" w:space="0" w:color="auto"/>
                <w:bottom w:val="none" w:sz="0" w:space="0" w:color="auto"/>
                <w:right w:val="none" w:sz="0" w:space="0" w:color="auto"/>
              </w:divBdr>
              <w:divsChild>
                <w:div w:id="1221792031">
                  <w:marLeft w:val="0"/>
                  <w:marRight w:val="0"/>
                  <w:marTop w:val="0"/>
                  <w:marBottom w:val="0"/>
                  <w:divBdr>
                    <w:top w:val="none" w:sz="0" w:space="0" w:color="auto"/>
                    <w:left w:val="none" w:sz="0" w:space="0" w:color="auto"/>
                    <w:bottom w:val="none" w:sz="0" w:space="0" w:color="auto"/>
                    <w:right w:val="none" w:sz="0" w:space="0" w:color="auto"/>
                  </w:divBdr>
                  <w:divsChild>
                    <w:div w:id="426006536">
                      <w:marLeft w:val="0"/>
                      <w:marRight w:val="0"/>
                      <w:marTop w:val="0"/>
                      <w:marBottom w:val="0"/>
                      <w:divBdr>
                        <w:top w:val="none" w:sz="0" w:space="0" w:color="auto"/>
                        <w:left w:val="none" w:sz="0" w:space="0" w:color="auto"/>
                        <w:bottom w:val="none" w:sz="0" w:space="0" w:color="auto"/>
                        <w:right w:val="none" w:sz="0" w:space="0" w:color="auto"/>
                      </w:divBdr>
                      <w:divsChild>
                        <w:div w:id="1219586756">
                          <w:marLeft w:val="0"/>
                          <w:marRight w:val="0"/>
                          <w:marTop w:val="0"/>
                          <w:marBottom w:val="0"/>
                          <w:divBdr>
                            <w:top w:val="none" w:sz="0" w:space="0" w:color="auto"/>
                            <w:left w:val="none" w:sz="0" w:space="0" w:color="auto"/>
                            <w:bottom w:val="none" w:sz="0" w:space="0" w:color="auto"/>
                            <w:right w:val="none" w:sz="0" w:space="0" w:color="auto"/>
                          </w:divBdr>
                          <w:divsChild>
                            <w:div w:id="115684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551065">
      <w:bodyDiv w:val="1"/>
      <w:marLeft w:val="0"/>
      <w:marRight w:val="0"/>
      <w:marTop w:val="0"/>
      <w:marBottom w:val="0"/>
      <w:divBdr>
        <w:top w:val="none" w:sz="0" w:space="0" w:color="auto"/>
        <w:left w:val="none" w:sz="0" w:space="0" w:color="auto"/>
        <w:bottom w:val="none" w:sz="0" w:space="0" w:color="auto"/>
        <w:right w:val="none" w:sz="0" w:space="0" w:color="auto"/>
      </w:divBdr>
    </w:div>
    <w:div w:id="1362515497">
      <w:bodyDiv w:val="1"/>
      <w:marLeft w:val="0"/>
      <w:marRight w:val="0"/>
      <w:marTop w:val="0"/>
      <w:marBottom w:val="0"/>
      <w:divBdr>
        <w:top w:val="none" w:sz="0" w:space="0" w:color="auto"/>
        <w:left w:val="none" w:sz="0" w:space="0" w:color="auto"/>
        <w:bottom w:val="none" w:sz="0" w:space="0" w:color="auto"/>
        <w:right w:val="none" w:sz="0" w:space="0" w:color="auto"/>
      </w:divBdr>
      <w:divsChild>
        <w:div w:id="734207160">
          <w:marLeft w:val="0"/>
          <w:marRight w:val="0"/>
          <w:marTop w:val="0"/>
          <w:marBottom w:val="0"/>
          <w:divBdr>
            <w:top w:val="none" w:sz="0" w:space="0" w:color="auto"/>
            <w:left w:val="none" w:sz="0" w:space="0" w:color="auto"/>
            <w:bottom w:val="none" w:sz="0" w:space="0" w:color="auto"/>
            <w:right w:val="none" w:sz="0" w:space="0" w:color="auto"/>
          </w:divBdr>
        </w:div>
        <w:div w:id="1233203114">
          <w:marLeft w:val="0"/>
          <w:marRight w:val="0"/>
          <w:marTop w:val="0"/>
          <w:marBottom w:val="0"/>
          <w:divBdr>
            <w:top w:val="none" w:sz="0" w:space="0" w:color="auto"/>
            <w:left w:val="none" w:sz="0" w:space="0" w:color="auto"/>
            <w:bottom w:val="none" w:sz="0" w:space="0" w:color="auto"/>
            <w:right w:val="none" w:sz="0" w:space="0" w:color="auto"/>
          </w:divBdr>
        </w:div>
        <w:div w:id="1874802217">
          <w:marLeft w:val="0"/>
          <w:marRight w:val="0"/>
          <w:marTop w:val="0"/>
          <w:marBottom w:val="0"/>
          <w:divBdr>
            <w:top w:val="none" w:sz="0" w:space="0" w:color="auto"/>
            <w:left w:val="none" w:sz="0" w:space="0" w:color="auto"/>
            <w:bottom w:val="none" w:sz="0" w:space="0" w:color="auto"/>
            <w:right w:val="none" w:sz="0" w:space="0" w:color="auto"/>
          </w:divBdr>
        </w:div>
      </w:divsChild>
    </w:div>
    <w:div w:id="1367679297">
      <w:bodyDiv w:val="1"/>
      <w:marLeft w:val="0"/>
      <w:marRight w:val="0"/>
      <w:marTop w:val="0"/>
      <w:marBottom w:val="0"/>
      <w:divBdr>
        <w:top w:val="none" w:sz="0" w:space="0" w:color="auto"/>
        <w:left w:val="none" w:sz="0" w:space="0" w:color="auto"/>
        <w:bottom w:val="none" w:sz="0" w:space="0" w:color="auto"/>
        <w:right w:val="none" w:sz="0" w:space="0" w:color="auto"/>
      </w:divBdr>
    </w:div>
    <w:div w:id="1370494253">
      <w:bodyDiv w:val="1"/>
      <w:marLeft w:val="0"/>
      <w:marRight w:val="0"/>
      <w:marTop w:val="0"/>
      <w:marBottom w:val="0"/>
      <w:divBdr>
        <w:top w:val="none" w:sz="0" w:space="0" w:color="auto"/>
        <w:left w:val="none" w:sz="0" w:space="0" w:color="auto"/>
        <w:bottom w:val="none" w:sz="0" w:space="0" w:color="auto"/>
        <w:right w:val="none" w:sz="0" w:space="0" w:color="auto"/>
      </w:divBdr>
    </w:div>
    <w:div w:id="1383865751">
      <w:bodyDiv w:val="1"/>
      <w:marLeft w:val="0"/>
      <w:marRight w:val="0"/>
      <w:marTop w:val="0"/>
      <w:marBottom w:val="0"/>
      <w:divBdr>
        <w:top w:val="none" w:sz="0" w:space="0" w:color="auto"/>
        <w:left w:val="none" w:sz="0" w:space="0" w:color="auto"/>
        <w:bottom w:val="none" w:sz="0" w:space="0" w:color="auto"/>
        <w:right w:val="none" w:sz="0" w:space="0" w:color="auto"/>
      </w:divBdr>
    </w:div>
    <w:div w:id="1385759558">
      <w:bodyDiv w:val="1"/>
      <w:marLeft w:val="0"/>
      <w:marRight w:val="0"/>
      <w:marTop w:val="0"/>
      <w:marBottom w:val="0"/>
      <w:divBdr>
        <w:top w:val="none" w:sz="0" w:space="0" w:color="auto"/>
        <w:left w:val="none" w:sz="0" w:space="0" w:color="auto"/>
        <w:bottom w:val="none" w:sz="0" w:space="0" w:color="auto"/>
        <w:right w:val="none" w:sz="0" w:space="0" w:color="auto"/>
      </w:divBdr>
      <w:divsChild>
        <w:div w:id="115490265">
          <w:marLeft w:val="0"/>
          <w:marRight w:val="0"/>
          <w:marTop w:val="0"/>
          <w:marBottom w:val="0"/>
          <w:divBdr>
            <w:top w:val="none" w:sz="0" w:space="0" w:color="auto"/>
            <w:left w:val="none" w:sz="0" w:space="0" w:color="auto"/>
            <w:bottom w:val="none" w:sz="0" w:space="0" w:color="auto"/>
            <w:right w:val="none" w:sz="0" w:space="0" w:color="auto"/>
          </w:divBdr>
        </w:div>
        <w:div w:id="253245879">
          <w:marLeft w:val="0"/>
          <w:marRight w:val="0"/>
          <w:marTop w:val="0"/>
          <w:marBottom w:val="0"/>
          <w:divBdr>
            <w:top w:val="none" w:sz="0" w:space="0" w:color="auto"/>
            <w:left w:val="none" w:sz="0" w:space="0" w:color="auto"/>
            <w:bottom w:val="none" w:sz="0" w:space="0" w:color="auto"/>
            <w:right w:val="none" w:sz="0" w:space="0" w:color="auto"/>
          </w:divBdr>
        </w:div>
        <w:div w:id="409887945">
          <w:marLeft w:val="0"/>
          <w:marRight w:val="0"/>
          <w:marTop w:val="0"/>
          <w:marBottom w:val="0"/>
          <w:divBdr>
            <w:top w:val="none" w:sz="0" w:space="0" w:color="auto"/>
            <w:left w:val="none" w:sz="0" w:space="0" w:color="auto"/>
            <w:bottom w:val="none" w:sz="0" w:space="0" w:color="auto"/>
            <w:right w:val="none" w:sz="0" w:space="0" w:color="auto"/>
          </w:divBdr>
        </w:div>
        <w:div w:id="677393201">
          <w:marLeft w:val="0"/>
          <w:marRight w:val="0"/>
          <w:marTop w:val="0"/>
          <w:marBottom w:val="0"/>
          <w:divBdr>
            <w:top w:val="none" w:sz="0" w:space="0" w:color="auto"/>
            <w:left w:val="none" w:sz="0" w:space="0" w:color="auto"/>
            <w:bottom w:val="none" w:sz="0" w:space="0" w:color="auto"/>
            <w:right w:val="none" w:sz="0" w:space="0" w:color="auto"/>
          </w:divBdr>
        </w:div>
        <w:div w:id="1082943860">
          <w:marLeft w:val="0"/>
          <w:marRight w:val="0"/>
          <w:marTop w:val="0"/>
          <w:marBottom w:val="0"/>
          <w:divBdr>
            <w:top w:val="none" w:sz="0" w:space="0" w:color="auto"/>
            <w:left w:val="none" w:sz="0" w:space="0" w:color="auto"/>
            <w:bottom w:val="none" w:sz="0" w:space="0" w:color="auto"/>
            <w:right w:val="none" w:sz="0" w:space="0" w:color="auto"/>
          </w:divBdr>
        </w:div>
        <w:div w:id="1208377007">
          <w:marLeft w:val="0"/>
          <w:marRight w:val="0"/>
          <w:marTop w:val="0"/>
          <w:marBottom w:val="0"/>
          <w:divBdr>
            <w:top w:val="none" w:sz="0" w:space="0" w:color="auto"/>
            <w:left w:val="none" w:sz="0" w:space="0" w:color="auto"/>
            <w:bottom w:val="none" w:sz="0" w:space="0" w:color="auto"/>
            <w:right w:val="none" w:sz="0" w:space="0" w:color="auto"/>
          </w:divBdr>
        </w:div>
        <w:div w:id="1242057258">
          <w:marLeft w:val="0"/>
          <w:marRight w:val="0"/>
          <w:marTop w:val="0"/>
          <w:marBottom w:val="0"/>
          <w:divBdr>
            <w:top w:val="none" w:sz="0" w:space="0" w:color="auto"/>
            <w:left w:val="none" w:sz="0" w:space="0" w:color="auto"/>
            <w:bottom w:val="none" w:sz="0" w:space="0" w:color="auto"/>
            <w:right w:val="none" w:sz="0" w:space="0" w:color="auto"/>
          </w:divBdr>
        </w:div>
        <w:div w:id="1668896442">
          <w:marLeft w:val="0"/>
          <w:marRight w:val="0"/>
          <w:marTop w:val="0"/>
          <w:marBottom w:val="0"/>
          <w:divBdr>
            <w:top w:val="none" w:sz="0" w:space="0" w:color="auto"/>
            <w:left w:val="none" w:sz="0" w:space="0" w:color="auto"/>
            <w:bottom w:val="none" w:sz="0" w:space="0" w:color="auto"/>
            <w:right w:val="none" w:sz="0" w:space="0" w:color="auto"/>
          </w:divBdr>
        </w:div>
        <w:div w:id="1947691879">
          <w:marLeft w:val="0"/>
          <w:marRight w:val="0"/>
          <w:marTop w:val="0"/>
          <w:marBottom w:val="0"/>
          <w:divBdr>
            <w:top w:val="none" w:sz="0" w:space="0" w:color="auto"/>
            <w:left w:val="none" w:sz="0" w:space="0" w:color="auto"/>
            <w:bottom w:val="none" w:sz="0" w:space="0" w:color="auto"/>
            <w:right w:val="none" w:sz="0" w:space="0" w:color="auto"/>
          </w:divBdr>
        </w:div>
        <w:div w:id="2012564218">
          <w:marLeft w:val="0"/>
          <w:marRight w:val="0"/>
          <w:marTop w:val="0"/>
          <w:marBottom w:val="0"/>
          <w:divBdr>
            <w:top w:val="none" w:sz="0" w:space="0" w:color="auto"/>
            <w:left w:val="none" w:sz="0" w:space="0" w:color="auto"/>
            <w:bottom w:val="none" w:sz="0" w:space="0" w:color="auto"/>
            <w:right w:val="none" w:sz="0" w:space="0" w:color="auto"/>
          </w:divBdr>
        </w:div>
        <w:div w:id="2143225773">
          <w:marLeft w:val="0"/>
          <w:marRight w:val="0"/>
          <w:marTop w:val="0"/>
          <w:marBottom w:val="0"/>
          <w:divBdr>
            <w:top w:val="none" w:sz="0" w:space="0" w:color="auto"/>
            <w:left w:val="none" w:sz="0" w:space="0" w:color="auto"/>
            <w:bottom w:val="none" w:sz="0" w:space="0" w:color="auto"/>
            <w:right w:val="none" w:sz="0" w:space="0" w:color="auto"/>
          </w:divBdr>
        </w:div>
      </w:divsChild>
    </w:div>
    <w:div w:id="1394348192">
      <w:bodyDiv w:val="1"/>
      <w:marLeft w:val="0"/>
      <w:marRight w:val="0"/>
      <w:marTop w:val="0"/>
      <w:marBottom w:val="0"/>
      <w:divBdr>
        <w:top w:val="none" w:sz="0" w:space="0" w:color="auto"/>
        <w:left w:val="none" w:sz="0" w:space="0" w:color="auto"/>
        <w:bottom w:val="none" w:sz="0" w:space="0" w:color="auto"/>
        <w:right w:val="none" w:sz="0" w:space="0" w:color="auto"/>
      </w:divBdr>
    </w:div>
    <w:div w:id="1399208419">
      <w:bodyDiv w:val="1"/>
      <w:marLeft w:val="0"/>
      <w:marRight w:val="0"/>
      <w:marTop w:val="0"/>
      <w:marBottom w:val="0"/>
      <w:divBdr>
        <w:top w:val="none" w:sz="0" w:space="0" w:color="auto"/>
        <w:left w:val="none" w:sz="0" w:space="0" w:color="auto"/>
        <w:bottom w:val="none" w:sz="0" w:space="0" w:color="auto"/>
        <w:right w:val="none" w:sz="0" w:space="0" w:color="auto"/>
      </w:divBdr>
    </w:div>
    <w:div w:id="1400786135">
      <w:bodyDiv w:val="1"/>
      <w:marLeft w:val="0"/>
      <w:marRight w:val="0"/>
      <w:marTop w:val="0"/>
      <w:marBottom w:val="0"/>
      <w:divBdr>
        <w:top w:val="none" w:sz="0" w:space="0" w:color="auto"/>
        <w:left w:val="none" w:sz="0" w:space="0" w:color="auto"/>
        <w:bottom w:val="none" w:sz="0" w:space="0" w:color="auto"/>
        <w:right w:val="none" w:sz="0" w:space="0" w:color="auto"/>
      </w:divBdr>
    </w:div>
    <w:div w:id="1406339357">
      <w:bodyDiv w:val="1"/>
      <w:marLeft w:val="0"/>
      <w:marRight w:val="0"/>
      <w:marTop w:val="0"/>
      <w:marBottom w:val="0"/>
      <w:divBdr>
        <w:top w:val="none" w:sz="0" w:space="0" w:color="auto"/>
        <w:left w:val="none" w:sz="0" w:space="0" w:color="auto"/>
        <w:bottom w:val="none" w:sz="0" w:space="0" w:color="auto"/>
        <w:right w:val="none" w:sz="0" w:space="0" w:color="auto"/>
      </w:divBdr>
    </w:div>
    <w:div w:id="1406564771">
      <w:bodyDiv w:val="1"/>
      <w:marLeft w:val="0"/>
      <w:marRight w:val="0"/>
      <w:marTop w:val="0"/>
      <w:marBottom w:val="0"/>
      <w:divBdr>
        <w:top w:val="none" w:sz="0" w:space="0" w:color="auto"/>
        <w:left w:val="none" w:sz="0" w:space="0" w:color="auto"/>
        <w:bottom w:val="none" w:sz="0" w:space="0" w:color="auto"/>
        <w:right w:val="none" w:sz="0" w:space="0" w:color="auto"/>
      </w:divBdr>
      <w:divsChild>
        <w:div w:id="12264072">
          <w:marLeft w:val="0"/>
          <w:marRight w:val="0"/>
          <w:marTop w:val="0"/>
          <w:marBottom w:val="0"/>
          <w:divBdr>
            <w:top w:val="none" w:sz="0" w:space="0" w:color="auto"/>
            <w:left w:val="none" w:sz="0" w:space="0" w:color="auto"/>
            <w:bottom w:val="none" w:sz="0" w:space="0" w:color="auto"/>
            <w:right w:val="none" w:sz="0" w:space="0" w:color="auto"/>
          </w:divBdr>
        </w:div>
        <w:div w:id="1724065017">
          <w:marLeft w:val="0"/>
          <w:marRight w:val="0"/>
          <w:marTop w:val="0"/>
          <w:marBottom w:val="0"/>
          <w:divBdr>
            <w:top w:val="none" w:sz="0" w:space="0" w:color="auto"/>
            <w:left w:val="none" w:sz="0" w:space="0" w:color="auto"/>
            <w:bottom w:val="none" w:sz="0" w:space="0" w:color="auto"/>
            <w:right w:val="none" w:sz="0" w:space="0" w:color="auto"/>
          </w:divBdr>
        </w:div>
      </w:divsChild>
    </w:div>
    <w:div w:id="1408305654">
      <w:bodyDiv w:val="1"/>
      <w:marLeft w:val="0"/>
      <w:marRight w:val="0"/>
      <w:marTop w:val="0"/>
      <w:marBottom w:val="0"/>
      <w:divBdr>
        <w:top w:val="none" w:sz="0" w:space="0" w:color="auto"/>
        <w:left w:val="none" w:sz="0" w:space="0" w:color="auto"/>
        <w:bottom w:val="none" w:sz="0" w:space="0" w:color="auto"/>
        <w:right w:val="none" w:sz="0" w:space="0" w:color="auto"/>
      </w:divBdr>
      <w:divsChild>
        <w:div w:id="1427723953">
          <w:marLeft w:val="0"/>
          <w:marRight w:val="0"/>
          <w:marTop w:val="0"/>
          <w:marBottom w:val="0"/>
          <w:divBdr>
            <w:top w:val="none" w:sz="0" w:space="0" w:color="auto"/>
            <w:left w:val="none" w:sz="0" w:space="0" w:color="auto"/>
            <w:bottom w:val="none" w:sz="0" w:space="0" w:color="auto"/>
            <w:right w:val="none" w:sz="0" w:space="0" w:color="auto"/>
          </w:divBdr>
          <w:divsChild>
            <w:div w:id="1844002939">
              <w:marLeft w:val="0"/>
              <w:marRight w:val="0"/>
              <w:marTop w:val="0"/>
              <w:marBottom w:val="0"/>
              <w:divBdr>
                <w:top w:val="none" w:sz="0" w:space="0" w:color="auto"/>
                <w:left w:val="none" w:sz="0" w:space="0" w:color="auto"/>
                <w:bottom w:val="none" w:sz="0" w:space="0" w:color="auto"/>
                <w:right w:val="none" w:sz="0" w:space="0" w:color="auto"/>
              </w:divBdr>
              <w:divsChild>
                <w:div w:id="1366563111">
                  <w:marLeft w:val="0"/>
                  <w:marRight w:val="0"/>
                  <w:marTop w:val="0"/>
                  <w:marBottom w:val="0"/>
                  <w:divBdr>
                    <w:top w:val="none" w:sz="0" w:space="0" w:color="auto"/>
                    <w:left w:val="none" w:sz="0" w:space="0" w:color="auto"/>
                    <w:bottom w:val="none" w:sz="0" w:space="0" w:color="auto"/>
                    <w:right w:val="none" w:sz="0" w:space="0" w:color="auto"/>
                  </w:divBdr>
                  <w:divsChild>
                    <w:div w:id="1382051600">
                      <w:marLeft w:val="0"/>
                      <w:marRight w:val="0"/>
                      <w:marTop w:val="0"/>
                      <w:marBottom w:val="0"/>
                      <w:divBdr>
                        <w:top w:val="none" w:sz="0" w:space="0" w:color="auto"/>
                        <w:left w:val="none" w:sz="0" w:space="0" w:color="auto"/>
                        <w:bottom w:val="none" w:sz="0" w:space="0" w:color="auto"/>
                        <w:right w:val="none" w:sz="0" w:space="0" w:color="auto"/>
                      </w:divBdr>
                      <w:divsChild>
                        <w:div w:id="254824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116707">
      <w:bodyDiv w:val="1"/>
      <w:marLeft w:val="0"/>
      <w:marRight w:val="0"/>
      <w:marTop w:val="0"/>
      <w:marBottom w:val="0"/>
      <w:divBdr>
        <w:top w:val="none" w:sz="0" w:space="0" w:color="auto"/>
        <w:left w:val="none" w:sz="0" w:space="0" w:color="auto"/>
        <w:bottom w:val="none" w:sz="0" w:space="0" w:color="auto"/>
        <w:right w:val="none" w:sz="0" w:space="0" w:color="auto"/>
      </w:divBdr>
      <w:divsChild>
        <w:div w:id="1540820471">
          <w:marLeft w:val="0"/>
          <w:marRight w:val="0"/>
          <w:marTop w:val="0"/>
          <w:marBottom w:val="0"/>
          <w:divBdr>
            <w:top w:val="none" w:sz="0" w:space="0" w:color="auto"/>
            <w:left w:val="none" w:sz="0" w:space="0" w:color="auto"/>
            <w:bottom w:val="none" w:sz="0" w:space="0" w:color="auto"/>
            <w:right w:val="none" w:sz="0" w:space="0" w:color="auto"/>
          </w:divBdr>
          <w:divsChild>
            <w:div w:id="1825395633">
              <w:marLeft w:val="0"/>
              <w:marRight w:val="0"/>
              <w:marTop w:val="0"/>
              <w:marBottom w:val="0"/>
              <w:divBdr>
                <w:top w:val="none" w:sz="0" w:space="0" w:color="auto"/>
                <w:left w:val="none" w:sz="0" w:space="0" w:color="auto"/>
                <w:bottom w:val="none" w:sz="0" w:space="0" w:color="auto"/>
                <w:right w:val="none" w:sz="0" w:space="0" w:color="auto"/>
              </w:divBdr>
              <w:divsChild>
                <w:div w:id="1798403310">
                  <w:marLeft w:val="0"/>
                  <w:marRight w:val="0"/>
                  <w:marTop w:val="0"/>
                  <w:marBottom w:val="0"/>
                  <w:divBdr>
                    <w:top w:val="none" w:sz="0" w:space="0" w:color="auto"/>
                    <w:left w:val="none" w:sz="0" w:space="0" w:color="auto"/>
                    <w:bottom w:val="none" w:sz="0" w:space="0" w:color="auto"/>
                    <w:right w:val="none" w:sz="0" w:space="0" w:color="auto"/>
                  </w:divBdr>
                  <w:divsChild>
                    <w:div w:id="876818108">
                      <w:marLeft w:val="0"/>
                      <w:marRight w:val="0"/>
                      <w:marTop w:val="0"/>
                      <w:marBottom w:val="0"/>
                      <w:divBdr>
                        <w:top w:val="none" w:sz="0" w:space="0" w:color="auto"/>
                        <w:left w:val="none" w:sz="0" w:space="0" w:color="auto"/>
                        <w:bottom w:val="none" w:sz="0" w:space="0" w:color="auto"/>
                        <w:right w:val="none" w:sz="0" w:space="0" w:color="auto"/>
                      </w:divBdr>
                      <w:divsChild>
                        <w:div w:id="824323920">
                          <w:marLeft w:val="0"/>
                          <w:marRight w:val="0"/>
                          <w:marTop w:val="0"/>
                          <w:marBottom w:val="0"/>
                          <w:divBdr>
                            <w:top w:val="none" w:sz="0" w:space="0" w:color="auto"/>
                            <w:left w:val="none" w:sz="0" w:space="0" w:color="auto"/>
                            <w:bottom w:val="none" w:sz="0" w:space="0" w:color="auto"/>
                            <w:right w:val="none" w:sz="0" w:space="0" w:color="auto"/>
                          </w:divBdr>
                          <w:divsChild>
                            <w:div w:id="649091380">
                              <w:marLeft w:val="0"/>
                              <w:marRight w:val="0"/>
                              <w:marTop w:val="0"/>
                              <w:marBottom w:val="0"/>
                              <w:divBdr>
                                <w:top w:val="none" w:sz="0" w:space="0" w:color="auto"/>
                                <w:left w:val="none" w:sz="0" w:space="0" w:color="auto"/>
                                <w:bottom w:val="none" w:sz="0" w:space="0" w:color="auto"/>
                                <w:right w:val="none" w:sz="0" w:space="0" w:color="auto"/>
                              </w:divBdr>
                            </w:div>
                            <w:div w:id="1323121130">
                              <w:marLeft w:val="0"/>
                              <w:marRight w:val="0"/>
                              <w:marTop w:val="0"/>
                              <w:marBottom w:val="0"/>
                              <w:divBdr>
                                <w:top w:val="none" w:sz="0" w:space="0" w:color="auto"/>
                                <w:left w:val="none" w:sz="0" w:space="0" w:color="auto"/>
                                <w:bottom w:val="none" w:sz="0" w:space="0" w:color="auto"/>
                                <w:right w:val="none" w:sz="0" w:space="0" w:color="auto"/>
                              </w:divBdr>
                            </w:div>
                            <w:div w:id="14649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2312034">
      <w:bodyDiv w:val="1"/>
      <w:marLeft w:val="0"/>
      <w:marRight w:val="0"/>
      <w:marTop w:val="0"/>
      <w:marBottom w:val="0"/>
      <w:divBdr>
        <w:top w:val="none" w:sz="0" w:space="0" w:color="auto"/>
        <w:left w:val="none" w:sz="0" w:space="0" w:color="auto"/>
        <w:bottom w:val="none" w:sz="0" w:space="0" w:color="auto"/>
        <w:right w:val="none" w:sz="0" w:space="0" w:color="auto"/>
      </w:divBdr>
      <w:divsChild>
        <w:div w:id="111948829">
          <w:marLeft w:val="0"/>
          <w:marRight w:val="0"/>
          <w:marTop w:val="0"/>
          <w:marBottom w:val="0"/>
          <w:divBdr>
            <w:top w:val="none" w:sz="0" w:space="0" w:color="auto"/>
            <w:left w:val="none" w:sz="0" w:space="0" w:color="auto"/>
            <w:bottom w:val="none" w:sz="0" w:space="0" w:color="auto"/>
            <w:right w:val="none" w:sz="0" w:space="0" w:color="auto"/>
          </w:divBdr>
        </w:div>
        <w:div w:id="875577745">
          <w:marLeft w:val="0"/>
          <w:marRight w:val="0"/>
          <w:marTop w:val="0"/>
          <w:marBottom w:val="0"/>
          <w:divBdr>
            <w:top w:val="none" w:sz="0" w:space="0" w:color="auto"/>
            <w:left w:val="none" w:sz="0" w:space="0" w:color="auto"/>
            <w:bottom w:val="none" w:sz="0" w:space="0" w:color="auto"/>
            <w:right w:val="none" w:sz="0" w:space="0" w:color="auto"/>
          </w:divBdr>
        </w:div>
        <w:div w:id="1237547365">
          <w:marLeft w:val="0"/>
          <w:marRight w:val="0"/>
          <w:marTop w:val="0"/>
          <w:marBottom w:val="0"/>
          <w:divBdr>
            <w:top w:val="none" w:sz="0" w:space="0" w:color="auto"/>
            <w:left w:val="none" w:sz="0" w:space="0" w:color="auto"/>
            <w:bottom w:val="none" w:sz="0" w:space="0" w:color="auto"/>
            <w:right w:val="none" w:sz="0" w:space="0" w:color="auto"/>
          </w:divBdr>
        </w:div>
        <w:div w:id="1384406763">
          <w:marLeft w:val="0"/>
          <w:marRight w:val="0"/>
          <w:marTop w:val="0"/>
          <w:marBottom w:val="0"/>
          <w:divBdr>
            <w:top w:val="none" w:sz="0" w:space="0" w:color="auto"/>
            <w:left w:val="none" w:sz="0" w:space="0" w:color="auto"/>
            <w:bottom w:val="none" w:sz="0" w:space="0" w:color="auto"/>
            <w:right w:val="none" w:sz="0" w:space="0" w:color="auto"/>
          </w:divBdr>
        </w:div>
        <w:div w:id="1680161886">
          <w:marLeft w:val="0"/>
          <w:marRight w:val="0"/>
          <w:marTop w:val="0"/>
          <w:marBottom w:val="0"/>
          <w:divBdr>
            <w:top w:val="none" w:sz="0" w:space="0" w:color="auto"/>
            <w:left w:val="none" w:sz="0" w:space="0" w:color="auto"/>
            <w:bottom w:val="none" w:sz="0" w:space="0" w:color="auto"/>
            <w:right w:val="none" w:sz="0" w:space="0" w:color="auto"/>
          </w:divBdr>
        </w:div>
        <w:div w:id="2045447538">
          <w:marLeft w:val="0"/>
          <w:marRight w:val="0"/>
          <w:marTop w:val="0"/>
          <w:marBottom w:val="0"/>
          <w:divBdr>
            <w:top w:val="none" w:sz="0" w:space="0" w:color="auto"/>
            <w:left w:val="none" w:sz="0" w:space="0" w:color="auto"/>
            <w:bottom w:val="none" w:sz="0" w:space="0" w:color="auto"/>
            <w:right w:val="none" w:sz="0" w:space="0" w:color="auto"/>
          </w:divBdr>
        </w:div>
      </w:divsChild>
    </w:div>
    <w:div w:id="1413819993">
      <w:bodyDiv w:val="1"/>
      <w:marLeft w:val="0"/>
      <w:marRight w:val="0"/>
      <w:marTop w:val="0"/>
      <w:marBottom w:val="0"/>
      <w:divBdr>
        <w:top w:val="none" w:sz="0" w:space="0" w:color="auto"/>
        <w:left w:val="none" w:sz="0" w:space="0" w:color="auto"/>
        <w:bottom w:val="none" w:sz="0" w:space="0" w:color="auto"/>
        <w:right w:val="none" w:sz="0" w:space="0" w:color="auto"/>
      </w:divBdr>
    </w:div>
    <w:div w:id="1417362984">
      <w:bodyDiv w:val="1"/>
      <w:marLeft w:val="0"/>
      <w:marRight w:val="0"/>
      <w:marTop w:val="0"/>
      <w:marBottom w:val="0"/>
      <w:divBdr>
        <w:top w:val="none" w:sz="0" w:space="0" w:color="auto"/>
        <w:left w:val="none" w:sz="0" w:space="0" w:color="auto"/>
        <w:bottom w:val="none" w:sz="0" w:space="0" w:color="auto"/>
        <w:right w:val="none" w:sz="0" w:space="0" w:color="auto"/>
      </w:divBdr>
    </w:div>
    <w:div w:id="1418360511">
      <w:bodyDiv w:val="1"/>
      <w:marLeft w:val="0"/>
      <w:marRight w:val="0"/>
      <w:marTop w:val="0"/>
      <w:marBottom w:val="0"/>
      <w:divBdr>
        <w:top w:val="none" w:sz="0" w:space="0" w:color="auto"/>
        <w:left w:val="none" w:sz="0" w:space="0" w:color="auto"/>
        <w:bottom w:val="none" w:sz="0" w:space="0" w:color="auto"/>
        <w:right w:val="none" w:sz="0" w:space="0" w:color="auto"/>
      </w:divBdr>
    </w:div>
    <w:div w:id="1422146775">
      <w:bodyDiv w:val="1"/>
      <w:marLeft w:val="0"/>
      <w:marRight w:val="0"/>
      <w:marTop w:val="0"/>
      <w:marBottom w:val="0"/>
      <w:divBdr>
        <w:top w:val="none" w:sz="0" w:space="0" w:color="auto"/>
        <w:left w:val="none" w:sz="0" w:space="0" w:color="auto"/>
        <w:bottom w:val="none" w:sz="0" w:space="0" w:color="auto"/>
        <w:right w:val="none" w:sz="0" w:space="0" w:color="auto"/>
      </w:divBdr>
      <w:divsChild>
        <w:div w:id="348334408">
          <w:marLeft w:val="0"/>
          <w:marRight w:val="0"/>
          <w:marTop w:val="0"/>
          <w:marBottom w:val="0"/>
          <w:divBdr>
            <w:top w:val="none" w:sz="0" w:space="0" w:color="auto"/>
            <w:left w:val="none" w:sz="0" w:space="0" w:color="auto"/>
            <w:bottom w:val="none" w:sz="0" w:space="0" w:color="auto"/>
            <w:right w:val="none" w:sz="0" w:space="0" w:color="auto"/>
          </w:divBdr>
          <w:divsChild>
            <w:div w:id="2079010846">
              <w:marLeft w:val="0"/>
              <w:marRight w:val="0"/>
              <w:marTop w:val="0"/>
              <w:marBottom w:val="0"/>
              <w:divBdr>
                <w:top w:val="none" w:sz="0" w:space="0" w:color="auto"/>
                <w:left w:val="none" w:sz="0" w:space="0" w:color="auto"/>
                <w:bottom w:val="none" w:sz="0" w:space="0" w:color="auto"/>
                <w:right w:val="none" w:sz="0" w:space="0" w:color="auto"/>
              </w:divBdr>
              <w:divsChild>
                <w:div w:id="1974287">
                  <w:marLeft w:val="0"/>
                  <w:marRight w:val="0"/>
                  <w:marTop w:val="0"/>
                  <w:marBottom w:val="0"/>
                  <w:divBdr>
                    <w:top w:val="none" w:sz="0" w:space="0" w:color="auto"/>
                    <w:left w:val="none" w:sz="0" w:space="0" w:color="auto"/>
                    <w:bottom w:val="none" w:sz="0" w:space="0" w:color="auto"/>
                    <w:right w:val="none" w:sz="0" w:space="0" w:color="auto"/>
                  </w:divBdr>
                  <w:divsChild>
                    <w:div w:id="1308240969">
                      <w:marLeft w:val="0"/>
                      <w:marRight w:val="0"/>
                      <w:marTop w:val="0"/>
                      <w:marBottom w:val="0"/>
                      <w:divBdr>
                        <w:top w:val="none" w:sz="0" w:space="0" w:color="auto"/>
                        <w:left w:val="none" w:sz="0" w:space="0" w:color="auto"/>
                        <w:bottom w:val="none" w:sz="0" w:space="0" w:color="auto"/>
                        <w:right w:val="none" w:sz="0" w:space="0" w:color="auto"/>
                      </w:divBdr>
                      <w:divsChild>
                        <w:div w:id="354157707">
                          <w:marLeft w:val="0"/>
                          <w:marRight w:val="0"/>
                          <w:marTop w:val="0"/>
                          <w:marBottom w:val="0"/>
                          <w:divBdr>
                            <w:top w:val="none" w:sz="0" w:space="0" w:color="auto"/>
                            <w:left w:val="none" w:sz="0" w:space="0" w:color="auto"/>
                            <w:bottom w:val="none" w:sz="0" w:space="0" w:color="auto"/>
                            <w:right w:val="none" w:sz="0" w:space="0" w:color="auto"/>
                          </w:divBdr>
                          <w:divsChild>
                            <w:div w:id="158814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9083848">
      <w:bodyDiv w:val="1"/>
      <w:marLeft w:val="0"/>
      <w:marRight w:val="0"/>
      <w:marTop w:val="0"/>
      <w:marBottom w:val="0"/>
      <w:divBdr>
        <w:top w:val="none" w:sz="0" w:space="0" w:color="auto"/>
        <w:left w:val="none" w:sz="0" w:space="0" w:color="auto"/>
        <w:bottom w:val="none" w:sz="0" w:space="0" w:color="auto"/>
        <w:right w:val="none" w:sz="0" w:space="0" w:color="auto"/>
      </w:divBdr>
    </w:div>
    <w:div w:id="1431850256">
      <w:bodyDiv w:val="1"/>
      <w:marLeft w:val="0"/>
      <w:marRight w:val="0"/>
      <w:marTop w:val="0"/>
      <w:marBottom w:val="0"/>
      <w:divBdr>
        <w:top w:val="none" w:sz="0" w:space="0" w:color="auto"/>
        <w:left w:val="none" w:sz="0" w:space="0" w:color="auto"/>
        <w:bottom w:val="none" w:sz="0" w:space="0" w:color="auto"/>
        <w:right w:val="none" w:sz="0" w:space="0" w:color="auto"/>
      </w:divBdr>
    </w:div>
    <w:div w:id="1435710706">
      <w:bodyDiv w:val="1"/>
      <w:marLeft w:val="0"/>
      <w:marRight w:val="0"/>
      <w:marTop w:val="0"/>
      <w:marBottom w:val="0"/>
      <w:divBdr>
        <w:top w:val="none" w:sz="0" w:space="0" w:color="auto"/>
        <w:left w:val="none" w:sz="0" w:space="0" w:color="auto"/>
        <w:bottom w:val="none" w:sz="0" w:space="0" w:color="auto"/>
        <w:right w:val="none" w:sz="0" w:space="0" w:color="auto"/>
      </w:divBdr>
      <w:divsChild>
        <w:div w:id="265581972">
          <w:marLeft w:val="0"/>
          <w:marRight w:val="0"/>
          <w:marTop w:val="0"/>
          <w:marBottom w:val="0"/>
          <w:divBdr>
            <w:top w:val="none" w:sz="0" w:space="0" w:color="auto"/>
            <w:left w:val="none" w:sz="0" w:space="0" w:color="auto"/>
            <w:bottom w:val="none" w:sz="0" w:space="0" w:color="auto"/>
            <w:right w:val="none" w:sz="0" w:space="0" w:color="auto"/>
          </w:divBdr>
          <w:divsChild>
            <w:div w:id="704450161">
              <w:marLeft w:val="0"/>
              <w:marRight w:val="0"/>
              <w:marTop w:val="0"/>
              <w:marBottom w:val="0"/>
              <w:divBdr>
                <w:top w:val="none" w:sz="0" w:space="0" w:color="auto"/>
                <w:left w:val="none" w:sz="0" w:space="0" w:color="auto"/>
                <w:bottom w:val="none" w:sz="0" w:space="0" w:color="auto"/>
                <w:right w:val="none" w:sz="0" w:space="0" w:color="auto"/>
              </w:divBdr>
              <w:divsChild>
                <w:div w:id="439496685">
                  <w:marLeft w:val="0"/>
                  <w:marRight w:val="0"/>
                  <w:marTop w:val="0"/>
                  <w:marBottom w:val="0"/>
                  <w:divBdr>
                    <w:top w:val="none" w:sz="0" w:space="0" w:color="auto"/>
                    <w:left w:val="none" w:sz="0" w:space="0" w:color="auto"/>
                    <w:bottom w:val="none" w:sz="0" w:space="0" w:color="auto"/>
                    <w:right w:val="none" w:sz="0" w:space="0" w:color="auto"/>
                  </w:divBdr>
                  <w:divsChild>
                    <w:div w:id="501630288">
                      <w:marLeft w:val="0"/>
                      <w:marRight w:val="0"/>
                      <w:marTop w:val="0"/>
                      <w:marBottom w:val="0"/>
                      <w:divBdr>
                        <w:top w:val="none" w:sz="0" w:space="0" w:color="auto"/>
                        <w:left w:val="none" w:sz="0" w:space="0" w:color="auto"/>
                        <w:bottom w:val="none" w:sz="0" w:space="0" w:color="auto"/>
                        <w:right w:val="none" w:sz="0" w:space="0" w:color="auto"/>
                      </w:divBdr>
                      <w:divsChild>
                        <w:div w:id="1844776168">
                          <w:marLeft w:val="0"/>
                          <w:marRight w:val="0"/>
                          <w:marTop w:val="0"/>
                          <w:marBottom w:val="0"/>
                          <w:divBdr>
                            <w:top w:val="none" w:sz="0" w:space="0" w:color="auto"/>
                            <w:left w:val="none" w:sz="0" w:space="0" w:color="auto"/>
                            <w:bottom w:val="none" w:sz="0" w:space="0" w:color="auto"/>
                            <w:right w:val="none" w:sz="0" w:space="0" w:color="auto"/>
                          </w:divBdr>
                          <w:divsChild>
                            <w:div w:id="185853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636144">
      <w:bodyDiv w:val="1"/>
      <w:marLeft w:val="0"/>
      <w:marRight w:val="0"/>
      <w:marTop w:val="0"/>
      <w:marBottom w:val="0"/>
      <w:divBdr>
        <w:top w:val="none" w:sz="0" w:space="0" w:color="auto"/>
        <w:left w:val="none" w:sz="0" w:space="0" w:color="auto"/>
        <w:bottom w:val="none" w:sz="0" w:space="0" w:color="auto"/>
        <w:right w:val="none" w:sz="0" w:space="0" w:color="auto"/>
      </w:divBdr>
    </w:div>
    <w:div w:id="1438940829">
      <w:bodyDiv w:val="1"/>
      <w:marLeft w:val="0"/>
      <w:marRight w:val="0"/>
      <w:marTop w:val="0"/>
      <w:marBottom w:val="0"/>
      <w:divBdr>
        <w:top w:val="none" w:sz="0" w:space="0" w:color="auto"/>
        <w:left w:val="none" w:sz="0" w:space="0" w:color="auto"/>
        <w:bottom w:val="none" w:sz="0" w:space="0" w:color="auto"/>
        <w:right w:val="none" w:sz="0" w:space="0" w:color="auto"/>
      </w:divBdr>
    </w:div>
    <w:div w:id="1448307161">
      <w:bodyDiv w:val="1"/>
      <w:marLeft w:val="0"/>
      <w:marRight w:val="0"/>
      <w:marTop w:val="0"/>
      <w:marBottom w:val="0"/>
      <w:divBdr>
        <w:top w:val="none" w:sz="0" w:space="0" w:color="auto"/>
        <w:left w:val="none" w:sz="0" w:space="0" w:color="auto"/>
        <w:bottom w:val="none" w:sz="0" w:space="0" w:color="auto"/>
        <w:right w:val="none" w:sz="0" w:space="0" w:color="auto"/>
      </w:divBdr>
    </w:div>
    <w:div w:id="1449741817">
      <w:bodyDiv w:val="1"/>
      <w:marLeft w:val="0"/>
      <w:marRight w:val="0"/>
      <w:marTop w:val="0"/>
      <w:marBottom w:val="0"/>
      <w:divBdr>
        <w:top w:val="none" w:sz="0" w:space="0" w:color="auto"/>
        <w:left w:val="none" w:sz="0" w:space="0" w:color="auto"/>
        <w:bottom w:val="none" w:sz="0" w:space="0" w:color="auto"/>
        <w:right w:val="none" w:sz="0" w:space="0" w:color="auto"/>
      </w:divBdr>
      <w:divsChild>
        <w:div w:id="969867850">
          <w:marLeft w:val="0"/>
          <w:marRight w:val="0"/>
          <w:marTop w:val="0"/>
          <w:marBottom w:val="0"/>
          <w:divBdr>
            <w:top w:val="none" w:sz="0" w:space="0" w:color="auto"/>
            <w:left w:val="none" w:sz="0" w:space="0" w:color="auto"/>
            <w:bottom w:val="none" w:sz="0" w:space="0" w:color="auto"/>
            <w:right w:val="none" w:sz="0" w:space="0" w:color="auto"/>
          </w:divBdr>
        </w:div>
        <w:div w:id="1279528444">
          <w:marLeft w:val="0"/>
          <w:marRight w:val="0"/>
          <w:marTop w:val="0"/>
          <w:marBottom w:val="0"/>
          <w:divBdr>
            <w:top w:val="none" w:sz="0" w:space="0" w:color="auto"/>
            <w:left w:val="none" w:sz="0" w:space="0" w:color="auto"/>
            <w:bottom w:val="none" w:sz="0" w:space="0" w:color="auto"/>
            <w:right w:val="none" w:sz="0" w:space="0" w:color="auto"/>
          </w:divBdr>
        </w:div>
        <w:div w:id="2099865278">
          <w:marLeft w:val="0"/>
          <w:marRight w:val="0"/>
          <w:marTop w:val="0"/>
          <w:marBottom w:val="0"/>
          <w:divBdr>
            <w:top w:val="none" w:sz="0" w:space="0" w:color="auto"/>
            <w:left w:val="none" w:sz="0" w:space="0" w:color="auto"/>
            <w:bottom w:val="none" w:sz="0" w:space="0" w:color="auto"/>
            <w:right w:val="none" w:sz="0" w:space="0" w:color="auto"/>
          </w:divBdr>
        </w:div>
      </w:divsChild>
    </w:div>
    <w:div w:id="1450122821">
      <w:bodyDiv w:val="1"/>
      <w:marLeft w:val="0"/>
      <w:marRight w:val="0"/>
      <w:marTop w:val="0"/>
      <w:marBottom w:val="0"/>
      <w:divBdr>
        <w:top w:val="none" w:sz="0" w:space="0" w:color="auto"/>
        <w:left w:val="none" w:sz="0" w:space="0" w:color="auto"/>
        <w:bottom w:val="none" w:sz="0" w:space="0" w:color="auto"/>
        <w:right w:val="none" w:sz="0" w:space="0" w:color="auto"/>
      </w:divBdr>
      <w:divsChild>
        <w:div w:id="453253417">
          <w:marLeft w:val="0"/>
          <w:marRight w:val="0"/>
          <w:marTop w:val="0"/>
          <w:marBottom w:val="0"/>
          <w:divBdr>
            <w:top w:val="none" w:sz="0" w:space="0" w:color="auto"/>
            <w:left w:val="none" w:sz="0" w:space="0" w:color="auto"/>
            <w:bottom w:val="none" w:sz="0" w:space="0" w:color="auto"/>
            <w:right w:val="none" w:sz="0" w:space="0" w:color="auto"/>
          </w:divBdr>
        </w:div>
        <w:div w:id="1518420316">
          <w:marLeft w:val="0"/>
          <w:marRight w:val="0"/>
          <w:marTop w:val="0"/>
          <w:marBottom w:val="0"/>
          <w:divBdr>
            <w:top w:val="none" w:sz="0" w:space="0" w:color="auto"/>
            <w:left w:val="none" w:sz="0" w:space="0" w:color="auto"/>
            <w:bottom w:val="none" w:sz="0" w:space="0" w:color="auto"/>
            <w:right w:val="none" w:sz="0" w:space="0" w:color="auto"/>
          </w:divBdr>
        </w:div>
        <w:div w:id="1919092555">
          <w:marLeft w:val="0"/>
          <w:marRight w:val="0"/>
          <w:marTop w:val="0"/>
          <w:marBottom w:val="0"/>
          <w:divBdr>
            <w:top w:val="none" w:sz="0" w:space="0" w:color="auto"/>
            <w:left w:val="none" w:sz="0" w:space="0" w:color="auto"/>
            <w:bottom w:val="none" w:sz="0" w:space="0" w:color="auto"/>
            <w:right w:val="none" w:sz="0" w:space="0" w:color="auto"/>
          </w:divBdr>
        </w:div>
      </w:divsChild>
    </w:div>
    <w:div w:id="1452170085">
      <w:bodyDiv w:val="1"/>
      <w:marLeft w:val="0"/>
      <w:marRight w:val="0"/>
      <w:marTop w:val="0"/>
      <w:marBottom w:val="0"/>
      <w:divBdr>
        <w:top w:val="none" w:sz="0" w:space="0" w:color="auto"/>
        <w:left w:val="none" w:sz="0" w:space="0" w:color="auto"/>
        <w:bottom w:val="none" w:sz="0" w:space="0" w:color="auto"/>
        <w:right w:val="none" w:sz="0" w:space="0" w:color="auto"/>
      </w:divBdr>
    </w:div>
    <w:div w:id="1455908680">
      <w:bodyDiv w:val="1"/>
      <w:marLeft w:val="0"/>
      <w:marRight w:val="0"/>
      <w:marTop w:val="0"/>
      <w:marBottom w:val="0"/>
      <w:divBdr>
        <w:top w:val="none" w:sz="0" w:space="0" w:color="auto"/>
        <w:left w:val="none" w:sz="0" w:space="0" w:color="auto"/>
        <w:bottom w:val="none" w:sz="0" w:space="0" w:color="auto"/>
        <w:right w:val="none" w:sz="0" w:space="0" w:color="auto"/>
      </w:divBdr>
    </w:div>
    <w:div w:id="1457604275">
      <w:bodyDiv w:val="1"/>
      <w:marLeft w:val="0"/>
      <w:marRight w:val="0"/>
      <w:marTop w:val="0"/>
      <w:marBottom w:val="0"/>
      <w:divBdr>
        <w:top w:val="none" w:sz="0" w:space="0" w:color="auto"/>
        <w:left w:val="none" w:sz="0" w:space="0" w:color="auto"/>
        <w:bottom w:val="none" w:sz="0" w:space="0" w:color="auto"/>
        <w:right w:val="none" w:sz="0" w:space="0" w:color="auto"/>
      </w:divBdr>
    </w:div>
    <w:div w:id="1457867384">
      <w:bodyDiv w:val="1"/>
      <w:marLeft w:val="0"/>
      <w:marRight w:val="0"/>
      <w:marTop w:val="0"/>
      <w:marBottom w:val="0"/>
      <w:divBdr>
        <w:top w:val="none" w:sz="0" w:space="0" w:color="auto"/>
        <w:left w:val="none" w:sz="0" w:space="0" w:color="auto"/>
        <w:bottom w:val="none" w:sz="0" w:space="0" w:color="auto"/>
        <w:right w:val="none" w:sz="0" w:space="0" w:color="auto"/>
      </w:divBdr>
    </w:div>
    <w:div w:id="1461729195">
      <w:bodyDiv w:val="1"/>
      <w:marLeft w:val="0"/>
      <w:marRight w:val="0"/>
      <w:marTop w:val="0"/>
      <w:marBottom w:val="0"/>
      <w:divBdr>
        <w:top w:val="none" w:sz="0" w:space="0" w:color="auto"/>
        <w:left w:val="none" w:sz="0" w:space="0" w:color="auto"/>
        <w:bottom w:val="none" w:sz="0" w:space="0" w:color="auto"/>
        <w:right w:val="none" w:sz="0" w:space="0" w:color="auto"/>
      </w:divBdr>
      <w:divsChild>
        <w:div w:id="1067921587">
          <w:marLeft w:val="547"/>
          <w:marRight w:val="0"/>
          <w:marTop w:val="160"/>
          <w:marBottom w:val="0"/>
          <w:divBdr>
            <w:top w:val="none" w:sz="0" w:space="0" w:color="auto"/>
            <w:left w:val="none" w:sz="0" w:space="0" w:color="auto"/>
            <w:bottom w:val="none" w:sz="0" w:space="0" w:color="auto"/>
            <w:right w:val="none" w:sz="0" w:space="0" w:color="auto"/>
          </w:divBdr>
        </w:div>
        <w:div w:id="1324048283">
          <w:marLeft w:val="547"/>
          <w:marRight w:val="0"/>
          <w:marTop w:val="160"/>
          <w:marBottom w:val="0"/>
          <w:divBdr>
            <w:top w:val="none" w:sz="0" w:space="0" w:color="auto"/>
            <w:left w:val="none" w:sz="0" w:space="0" w:color="auto"/>
            <w:bottom w:val="none" w:sz="0" w:space="0" w:color="auto"/>
            <w:right w:val="none" w:sz="0" w:space="0" w:color="auto"/>
          </w:divBdr>
        </w:div>
        <w:div w:id="1604848362">
          <w:marLeft w:val="547"/>
          <w:marRight w:val="0"/>
          <w:marTop w:val="160"/>
          <w:marBottom w:val="0"/>
          <w:divBdr>
            <w:top w:val="none" w:sz="0" w:space="0" w:color="auto"/>
            <w:left w:val="none" w:sz="0" w:space="0" w:color="auto"/>
            <w:bottom w:val="none" w:sz="0" w:space="0" w:color="auto"/>
            <w:right w:val="none" w:sz="0" w:space="0" w:color="auto"/>
          </w:divBdr>
        </w:div>
        <w:div w:id="1642535436">
          <w:marLeft w:val="547"/>
          <w:marRight w:val="0"/>
          <w:marTop w:val="160"/>
          <w:marBottom w:val="0"/>
          <w:divBdr>
            <w:top w:val="none" w:sz="0" w:space="0" w:color="auto"/>
            <w:left w:val="none" w:sz="0" w:space="0" w:color="auto"/>
            <w:bottom w:val="none" w:sz="0" w:space="0" w:color="auto"/>
            <w:right w:val="none" w:sz="0" w:space="0" w:color="auto"/>
          </w:divBdr>
        </w:div>
        <w:div w:id="1941985072">
          <w:marLeft w:val="547"/>
          <w:marRight w:val="0"/>
          <w:marTop w:val="160"/>
          <w:marBottom w:val="0"/>
          <w:divBdr>
            <w:top w:val="none" w:sz="0" w:space="0" w:color="auto"/>
            <w:left w:val="none" w:sz="0" w:space="0" w:color="auto"/>
            <w:bottom w:val="none" w:sz="0" w:space="0" w:color="auto"/>
            <w:right w:val="none" w:sz="0" w:space="0" w:color="auto"/>
          </w:divBdr>
        </w:div>
      </w:divsChild>
    </w:div>
    <w:div w:id="1463962065">
      <w:bodyDiv w:val="1"/>
      <w:marLeft w:val="0"/>
      <w:marRight w:val="0"/>
      <w:marTop w:val="0"/>
      <w:marBottom w:val="0"/>
      <w:divBdr>
        <w:top w:val="none" w:sz="0" w:space="0" w:color="auto"/>
        <w:left w:val="none" w:sz="0" w:space="0" w:color="auto"/>
        <w:bottom w:val="none" w:sz="0" w:space="0" w:color="auto"/>
        <w:right w:val="none" w:sz="0" w:space="0" w:color="auto"/>
      </w:divBdr>
    </w:div>
    <w:div w:id="1479885453">
      <w:bodyDiv w:val="1"/>
      <w:marLeft w:val="0"/>
      <w:marRight w:val="0"/>
      <w:marTop w:val="0"/>
      <w:marBottom w:val="0"/>
      <w:divBdr>
        <w:top w:val="none" w:sz="0" w:space="0" w:color="auto"/>
        <w:left w:val="none" w:sz="0" w:space="0" w:color="auto"/>
        <w:bottom w:val="none" w:sz="0" w:space="0" w:color="auto"/>
        <w:right w:val="none" w:sz="0" w:space="0" w:color="auto"/>
      </w:divBdr>
      <w:divsChild>
        <w:div w:id="573274240">
          <w:marLeft w:val="0"/>
          <w:marRight w:val="0"/>
          <w:marTop w:val="0"/>
          <w:marBottom w:val="0"/>
          <w:divBdr>
            <w:top w:val="none" w:sz="0" w:space="0" w:color="auto"/>
            <w:left w:val="none" w:sz="0" w:space="0" w:color="auto"/>
            <w:bottom w:val="none" w:sz="0" w:space="0" w:color="auto"/>
            <w:right w:val="none" w:sz="0" w:space="0" w:color="auto"/>
          </w:divBdr>
        </w:div>
        <w:div w:id="583992892">
          <w:marLeft w:val="0"/>
          <w:marRight w:val="0"/>
          <w:marTop w:val="0"/>
          <w:marBottom w:val="0"/>
          <w:divBdr>
            <w:top w:val="none" w:sz="0" w:space="0" w:color="auto"/>
            <w:left w:val="none" w:sz="0" w:space="0" w:color="auto"/>
            <w:bottom w:val="none" w:sz="0" w:space="0" w:color="auto"/>
            <w:right w:val="none" w:sz="0" w:space="0" w:color="auto"/>
          </w:divBdr>
        </w:div>
        <w:div w:id="627785937">
          <w:marLeft w:val="0"/>
          <w:marRight w:val="0"/>
          <w:marTop w:val="0"/>
          <w:marBottom w:val="0"/>
          <w:divBdr>
            <w:top w:val="none" w:sz="0" w:space="0" w:color="auto"/>
            <w:left w:val="none" w:sz="0" w:space="0" w:color="auto"/>
            <w:bottom w:val="none" w:sz="0" w:space="0" w:color="auto"/>
            <w:right w:val="none" w:sz="0" w:space="0" w:color="auto"/>
          </w:divBdr>
        </w:div>
        <w:div w:id="685401497">
          <w:marLeft w:val="0"/>
          <w:marRight w:val="0"/>
          <w:marTop w:val="0"/>
          <w:marBottom w:val="0"/>
          <w:divBdr>
            <w:top w:val="none" w:sz="0" w:space="0" w:color="auto"/>
            <w:left w:val="none" w:sz="0" w:space="0" w:color="auto"/>
            <w:bottom w:val="none" w:sz="0" w:space="0" w:color="auto"/>
            <w:right w:val="none" w:sz="0" w:space="0" w:color="auto"/>
          </w:divBdr>
        </w:div>
        <w:div w:id="932009494">
          <w:marLeft w:val="0"/>
          <w:marRight w:val="0"/>
          <w:marTop w:val="0"/>
          <w:marBottom w:val="0"/>
          <w:divBdr>
            <w:top w:val="none" w:sz="0" w:space="0" w:color="auto"/>
            <w:left w:val="none" w:sz="0" w:space="0" w:color="auto"/>
            <w:bottom w:val="none" w:sz="0" w:space="0" w:color="auto"/>
            <w:right w:val="none" w:sz="0" w:space="0" w:color="auto"/>
          </w:divBdr>
        </w:div>
        <w:div w:id="1034621308">
          <w:marLeft w:val="0"/>
          <w:marRight w:val="0"/>
          <w:marTop w:val="0"/>
          <w:marBottom w:val="0"/>
          <w:divBdr>
            <w:top w:val="none" w:sz="0" w:space="0" w:color="auto"/>
            <w:left w:val="none" w:sz="0" w:space="0" w:color="auto"/>
            <w:bottom w:val="none" w:sz="0" w:space="0" w:color="auto"/>
            <w:right w:val="none" w:sz="0" w:space="0" w:color="auto"/>
          </w:divBdr>
        </w:div>
        <w:div w:id="1089429143">
          <w:marLeft w:val="0"/>
          <w:marRight w:val="0"/>
          <w:marTop w:val="0"/>
          <w:marBottom w:val="0"/>
          <w:divBdr>
            <w:top w:val="none" w:sz="0" w:space="0" w:color="auto"/>
            <w:left w:val="none" w:sz="0" w:space="0" w:color="auto"/>
            <w:bottom w:val="none" w:sz="0" w:space="0" w:color="auto"/>
            <w:right w:val="none" w:sz="0" w:space="0" w:color="auto"/>
          </w:divBdr>
        </w:div>
        <w:div w:id="1233856491">
          <w:marLeft w:val="0"/>
          <w:marRight w:val="0"/>
          <w:marTop w:val="0"/>
          <w:marBottom w:val="0"/>
          <w:divBdr>
            <w:top w:val="none" w:sz="0" w:space="0" w:color="auto"/>
            <w:left w:val="none" w:sz="0" w:space="0" w:color="auto"/>
            <w:bottom w:val="none" w:sz="0" w:space="0" w:color="auto"/>
            <w:right w:val="none" w:sz="0" w:space="0" w:color="auto"/>
          </w:divBdr>
        </w:div>
        <w:div w:id="1559322876">
          <w:marLeft w:val="0"/>
          <w:marRight w:val="0"/>
          <w:marTop w:val="0"/>
          <w:marBottom w:val="0"/>
          <w:divBdr>
            <w:top w:val="none" w:sz="0" w:space="0" w:color="auto"/>
            <w:left w:val="none" w:sz="0" w:space="0" w:color="auto"/>
            <w:bottom w:val="none" w:sz="0" w:space="0" w:color="auto"/>
            <w:right w:val="none" w:sz="0" w:space="0" w:color="auto"/>
          </w:divBdr>
        </w:div>
        <w:div w:id="1681808512">
          <w:marLeft w:val="0"/>
          <w:marRight w:val="0"/>
          <w:marTop w:val="0"/>
          <w:marBottom w:val="0"/>
          <w:divBdr>
            <w:top w:val="none" w:sz="0" w:space="0" w:color="auto"/>
            <w:left w:val="none" w:sz="0" w:space="0" w:color="auto"/>
            <w:bottom w:val="none" w:sz="0" w:space="0" w:color="auto"/>
            <w:right w:val="none" w:sz="0" w:space="0" w:color="auto"/>
          </w:divBdr>
        </w:div>
        <w:div w:id="1726561313">
          <w:marLeft w:val="0"/>
          <w:marRight w:val="0"/>
          <w:marTop w:val="0"/>
          <w:marBottom w:val="0"/>
          <w:divBdr>
            <w:top w:val="none" w:sz="0" w:space="0" w:color="auto"/>
            <w:left w:val="none" w:sz="0" w:space="0" w:color="auto"/>
            <w:bottom w:val="none" w:sz="0" w:space="0" w:color="auto"/>
            <w:right w:val="none" w:sz="0" w:space="0" w:color="auto"/>
          </w:divBdr>
        </w:div>
        <w:div w:id="2125150827">
          <w:marLeft w:val="0"/>
          <w:marRight w:val="0"/>
          <w:marTop w:val="0"/>
          <w:marBottom w:val="0"/>
          <w:divBdr>
            <w:top w:val="none" w:sz="0" w:space="0" w:color="auto"/>
            <w:left w:val="none" w:sz="0" w:space="0" w:color="auto"/>
            <w:bottom w:val="none" w:sz="0" w:space="0" w:color="auto"/>
            <w:right w:val="none" w:sz="0" w:space="0" w:color="auto"/>
          </w:divBdr>
        </w:div>
      </w:divsChild>
    </w:div>
    <w:div w:id="1488932948">
      <w:bodyDiv w:val="1"/>
      <w:marLeft w:val="0"/>
      <w:marRight w:val="0"/>
      <w:marTop w:val="0"/>
      <w:marBottom w:val="0"/>
      <w:divBdr>
        <w:top w:val="none" w:sz="0" w:space="0" w:color="auto"/>
        <w:left w:val="none" w:sz="0" w:space="0" w:color="auto"/>
        <w:bottom w:val="none" w:sz="0" w:space="0" w:color="auto"/>
        <w:right w:val="none" w:sz="0" w:space="0" w:color="auto"/>
      </w:divBdr>
      <w:divsChild>
        <w:div w:id="1307658896">
          <w:marLeft w:val="0"/>
          <w:marRight w:val="0"/>
          <w:marTop w:val="0"/>
          <w:marBottom w:val="0"/>
          <w:divBdr>
            <w:top w:val="none" w:sz="0" w:space="0" w:color="auto"/>
            <w:left w:val="none" w:sz="0" w:space="0" w:color="auto"/>
            <w:bottom w:val="none" w:sz="0" w:space="0" w:color="auto"/>
            <w:right w:val="none" w:sz="0" w:space="0" w:color="auto"/>
          </w:divBdr>
        </w:div>
        <w:div w:id="604076154">
          <w:marLeft w:val="0"/>
          <w:marRight w:val="0"/>
          <w:marTop w:val="0"/>
          <w:marBottom w:val="0"/>
          <w:divBdr>
            <w:top w:val="none" w:sz="0" w:space="0" w:color="auto"/>
            <w:left w:val="none" w:sz="0" w:space="0" w:color="auto"/>
            <w:bottom w:val="none" w:sz="0" w:space="0" w:color="auto"/>
            <w:right w:val="none" w:sz="0" w:space="0" w:color="auto"/>
          </w:divBdr>
        </w:div>
        <w:div w:id="218825968">
          <w:marLeft w:val="0"/>
          <w:marRight w:val="0"/>
          <w:marTop w:val="0"/>
          <w:marBottom w:val="0"/>
          <w:divBdr>
            <w:top w:val="none" w:sz="0" w:space="0" w:color="auto"/>
            <w:left w:val="none" w:sz="0" w:space="0" w:color="auto"/>
            <w:bottom w:val="none" w:sz="0" w:space="0" w:color="auto"/>
            <w:right w:val="none" w:sz="0" w:space="0" w:color="auto"/>
          </w:divBdr>
        </w:div>
        <w:div w:id="1831018378">
          <w:marLeft w:val="0"/>
          <w:marRight w:val="0"/>
          <w:marTop w:val="0"/>
          <w:marBottom w:val="0"/>
          <w:divBdr>
            <w:top w:val="none" w:sz="0" w:space="0" w:color="auto"/>
            <w:left w:val="none" w:sz="0" w:space="0" w:color="auto"/>
            <w:bottom w:val="none" w:sz="0" w:space="0" w:color="auto"/>
            <w:right w:val="none" w:sz="0" w:space="0" w:color="auto"/>
          </w:divBdr>
        </w:div>
        <w:div w:id="184712235">
          <w:marLeft w:val="0"/>
          <w:marRight w:val="0"/>
          <w:marTop w:val="0"/>
          <w:marBottom w:val="0"/>
          <w:divBdr>
            <w:top w:val="none" w:sz="0" w:space="0" w:color="auto"/>
            <w:left w:val="none" w:sz="0" w:space="0" w:color="auto"/>
            <w:bottom w:val="none" w:sz="0" w:space="0" w:color="auto"/>
            <w:right w:val="none" w:sz="0" w:space="0" w:color="auto"/>
          </w:divBdr>
        </w:div>
        <w:div w:id="1009213308">
          <w:marLeft w:val="0"/>
          <w:marRight w:val="0"/>
          <w:marTop w:val="0"/>
          <w:marBottom w:val="0"/>
          <w:divBdr>
            <w:top w:val="none" w:sz="0" w:space="0" w:color="auto"/>
            <w:left w:val="none" w:sz="0" w:space="0" w:color="auto"/>
            <w:bottom w:val="none" w:sz="0" w:space="0" w:color="auto"/>
            <w:right w:val="none" w:sz="0" w:space="0" w:color="auto"/>
          </w:divBdr>
        </w:div>
        <w:div w:id="1144276218">
          <w:marLeft w:val="0"/>
          <w:marRight w:val="0"/>
          <w:marTop w:val="0"/>
          <w:marBottom w:val="0"/>
          <w:divBdr>
            <w:top w:val="none" w:sz="0" w:space="0" w:color="auto"/>
            <w:left w:val="none" w:sz="0" w:space="0" w:color="auto"/>
            <w:bottom w:val="none" w:sz="0" w:space="0" w:color="auto"/>
            <w:right w:val="none" w:sz="0" w:space="0" w:color="auto"/>
          </w:divBdr>
        </w:div>
        <w:div w:id="1280450265">
          <w:marLeft w:val="0"/>
          <w:marRight w:val="0"/>
          <w:marTop w:val="0"/>
          <w:marBottom w:val="0"/>
          <w:divBdr>
            <w:top w:val="none" w:sz="0" w:space="0" w:color="auto"/>
            <w:left w:val="none" w:sz="0" w:space="0" w:color="auto"/>
            <w:bottom w:val="none" w:sz="0" w:space="0" w:color="auto"/>
            <w:right w:val="none" w:sz="0" w:space="0" w:color="auto"/>
          </w:divBdr>
        </w:div>
        <w:div w:id="111218498">
          <w:marLeft w:val="0"/>
          <w:marRight w:val="0"/>
          <w:marTop w:val="0"/>
          <w:marBottom w:val="0"/>
          <w:divBdr>
            <w:top w:val="none" w:sz="0" w:space="0" w:color="auto"/>
            <w:left w:val="none" w:sz="0" w:space="0" w:color="auto"/>
            <w:bottom w:val="none" w:sz="0" w:space="0" w:color="auto"/>
            <w:right w:val="none" w:sz="0" w:space="0" w:color="auto"/>
          </w:divBdr>
        </w:div>
        <w:div w:id="1511329449">
          <w:marLeft w:val="0"/>
          <w:marRight w:val="0"/>
          <w:marTop w:val="0"/>
          <w:marBottom w:val="0"/>
          <w:divBdr>
            <w:top w:val="none" w:sz="0" w:space="0" w:color="auto"/>
            <w:left w:val="none" w:sz="0" w:space="0" w:color="auto"/>
            <w:bottom w:val="none" w:sz="0" w:space="0" w:color="auto"/>
            <w:right w:val="none" w:sz="0" w:space="0" w:color="auto"/>
          </w:divBdr>
        </w:div>
        <w:div w:id="1951930019">
          <w:marLeft w:val="0"/>
          <w:marRight w:val="0"/>
          <w:marTop w:val="0"/>
          <w:marBottom w:val="0"/>
          <w:divBdr>
            <w:top w:val="none" w:sz="0" w:space="0" w:color="auto"/>
            <w:left w:val="none" w:sz="0" w:space="0" w:color="auto"/>
            <w:bottom w:val="none" w:sz="0" w:space="0" w:color="auto"/>
            <w:right w:val="none" w:sz="0" w:space="0" w:color="auto"/>
          </w:divBdr>
        </w:div>
        <w:div w:id="110363265">
          <w:marLeft w:val="0"/>
          <w:marRight w:val="0"/>
          <w:marTop w:val="0"/>
          <w:marBottom w:val="0"/>
          <w:divBdr>
            <w:top w:val="none" w:sz="0" w:space="0" w:color="auto"/>
            <w:left w:val="none" w:sz="0" w:space="0" w:color="auto"/>
            <w:bottom w:val="none" w:sz="0" w:space="0" w:color="auto"/>
            <w:right w:val="none" w:sz="0" w:space="0" w:color="auto"/>
          </w:divBdr>
        </w:div>
        <w:div w:id="225339058">
          <w:marLeft w:val="0"/>
          <w:marRight w:val="0"/>
          <w:marTop w:val="0"/>
          <w:marBottom w:val="0"/>
          <w:divBdr>
            <w:top w:val="none" w:sz="0" w:space="0" w:color="auto"/>
            <w:left w:val="none" w:sz="0" w:space="0" w:color="auto"/>
            <w:bottom w:val="none" w:sz="0" w:space="0" w:color="auto"/>
            <w:right w:val="none" w:sz="0" w:space="0" w:color="auto"/>
          </w:divBdr>
        </w:div>
        <w:div w:id="1792017168">
          <w:marLeft w:val="0"/>
          <w:marRight w:val="0"/>
          <w:marTop w:val="0"/>
          <w:marBottom w:val="0"/>
          <w:divBdr>
            <w:top w:val="none" w:sz="0" w:space="0" w:color="auto"/>
            <w:left w:val="none" w:sz="0" w:space="0" w:color="auto"/>
            <w:bottom w:val="none" w:sz="0" w:space="0" w:color="auto"/>
            <w:right w:val="none" w:sz="0" w:space="0" w:color="auto"/>
          </w:divBdr>
        </w:div>
        <w:div w:id="2069956143">
          <w:marLeft w:val="0"/>
          <w:marRight w:val="0"/>
          <w:marTop w:val="0"/>
          <w:marBottom w:val="0"/>
          <w:divBdr>
            <w:top w:val="none" w:sz="0" w:space="0" w:color="auto"/>
            <w:left w:val="none" w:sz="0" w:space="0" w:color="auto"/>
            <w:bottom w:val="none" w:sz="0" w:space="0" w:color="auto"/>
            <w:right w:val="none" w:sz="0" w:space="0" w:color="auto"/>
          </w:divBdr>
        </w:div>
        <w:div w:id="948657572">
          <w:marLeft w:val="0"/>
          <w:marRight w:val="0"/>
          <w:marTop w:val="0"/>
          <w:marBottom w:val="0"/>
          <w:divBdr>
            <w:top w:val="none" w:sz="0" w:space="0" w:color="auto"/>
            <w:left w:val="none" w:sz="0" w:space="0" w:color="auto"/>
            <w:bottom w:val="none" w:sz="0" w:space="0" w:color="auto"/>
            <w:right w:val="none" w:sz="0" w:space="0" w:color="auto"/>
          </w:divBdr>
        </w:div>
        <w:div w:id="2085368543">
          <w:marLeft w:val="0"/>
          <w:marRight w:val="0"/>
          <w:marTop w:val="0"/>
          <w:marBottom w:val="0"/>
          <w:divBdr>
            <w:top w:val="none" w:sz="0" w:space="0" w:color="auto"/>
            <w:left w:val="none" w:sz="0" w:space="0" w:color="auto"/>
            <w:bottom w:val="none" w:sz="0" w:space="0" w:color="auto"/>
            <w:right w:val="none" w:sz="0" w:space="0" w:color="auto"/>
          </w:divBdr>
        </w:div>
        <w:div w:id="960310030">
          <w:marLeft w:val="0"/>
          <w:marRight w:val="0"/>
          <w:marTop w:val="0"/>
          <w:marBottom w:val="0"/>
          <w:divBdr>
            <w:top w:val="none" w:sz="0" w:space="0" w:color="auto"/>
            <w:left w:val="none" w:sz="0" w:space="0" w:color="auto"/>
            <w:bottom w:val="none" w:sz="0" w:space="0" w:color="auto"/>
            <w:right w:val="none" w:sz="0" w:space="0" w:color="auto"/>
          </w:divBdr>
        </w:div>
        <w:div w:id="1576474815">
          <w:marLeft w:val="0"/>
          <w:marRight w:val="0"/>
          <w:marTop w:val="0"/>
          <w:marBottom w:val="0"/>
          <w:divBdr>
            <w:top w:val="none" w:sz="0" w:space="0" w:color="auto"/>
            <w:left w:val="none" w:sz="0" w:space="0" w:color="auto"/>
            <w:bottom w:val="none" w:sz="0" w:space="0" w:color="auto"/>
            <w:right w:val="none" w:sz="0" w:space="0" w:color="auto"/>
          </w:divBdr>
        </w:div>
        <w:div w:id="1405646041">
          <w:marLeft w:val="0"/>
          <w:marRight w:val="0"/>
          <w:marTop w:val="0"/>
          <w:marBottom w:val="0"/>
          <w:divBdr>
            <w:top w:val="none" w:sz="0" w:space="0" w:color="auto"/>
            <w:left w:val="none" w:sz="0" w:space="0" w:color="auto"/>
            <w:bottom w:val="none" w:sz="0" w:space="0" w:color="auto"/>
            <w:right w:val="none" w:sz="0" w:space="0" w:color="auto"/>
          </w:divBdr>
        </w:div>
        <w:div w:id="1530296885">
          <w:marLeft w:val="0"/>
          <w:marRight w:val="0"/>
          <w:marTop w:val="0"/>
          <w:marBottom w:val="0"/>
          <w:divBdr>
            <w:top w:val="none" w:sz="0" w:space="0" w:color="auto"/>
            <w:left w:val="none" w:sz="0" w:space="0" w:color="auto"/>
            <w:bottom w:val="none" w:sz="0" w:space="0" w:color="auto"/>
            <w:right w:val="none" w:sz="0" w:space="0" w:color="auto"/>
          </w:divBdr>
        </w:div>
        <w:div w:id="1694962251">
          <w:marLeft w:val="0"/>
          <w:marRight w:val="0"/>
          <w:marTop w:val="0"/>
          <w:marBottom w:val="0"/>
          <w:divBdr>
            <w:top w:val="none" w:sz="0" w:space="0" w:color="auto"/>
            <w:left w:val="none" w:sz="0" w:space="0" w:color="auto"/>
            <w:bottom w:val="none" w:sz="0" w:space="0" w:color="auto"/>
            <w:right w:val="none" w:sz="0" w:space="0" w:color="auto"/>
          </w:divBdr>
        </w:div>
        <w:div w:id="1297756785">
          <w:marLeft w:val="0"/>
          <w:marRight w:val="0"/>
          <w:marTop w:val="0"/>
          <w:marBottom w:val="0"/>
          <w:divBdr>
            <w:top w:val="none" w:sz="0" w:space="0" w:color="auto"/>
            <w:left w:val="none" w:sz="0" w:space="0" w:color="auto"/>
            <w:bottom w:val="none" w:sz="0" w:space="0" w:color="auto"/>
            <w:right w:val="none" w:sz="0" w:space="0" w:color="auto"/>
          </w:divBdr>
        </w:div>
        <w:div w:id="557980098">
          <w:marLeft w:val="0"/>
          <w:marRight w:val="0"/>
          <w:marTop w:val="0"/>
          <w:marBottom w:val="0"/>
          <w:divBdr>
            <w:top w:val="none" w:sz="0" w:space="0" w:color="auto"/>
            <w:left w:val="none" w:sz="0" w:space="0" w:color="auto"/>
            <w:bottom w:val="none" w:sz="0" w:space="0" w:color="auto"/>
            <w:right w:val="none" w:sz="0" w:space="0" w:color="auto"/>
          </w:divBdr>
        </w:div>
        <w:div w:id="1020663857">
          <w:marLeft w:val="0"/>
          <w:marRight w:val="0"/>
          <w:marTop w:val="0"/>
          <w:marBottom w:val="0"/>
          <w:divBdr>
            <w:top w:val="none" w:sz="0" w:space="0" w:color="auto"/>
            <w:left w:val="none" w:sz="0" w:space="0" w:color="auto"/>
            <w:bottom w:val="none" w:sz="0" w:space="0" w:color="auto"/>
            <w:right w:val="none" w:sz="0" w:space="0" w:color="auto"/>
          </w:divBdr>
        </w:div>
        <w:div w:id="783503304">
          <w:marLeft w:val="0"/>
          <w:marRight w:val="0"/>
          <w:marTop w:val="0"/>
          <w:marBottom w:val="0"/>
          <w:divBdr>
            <w:top w:val="none" w:sz="0" w:space="0" w:color="auto"/>
            <w:left w:val="none" w:sz="0" w:space="0" w:color="auto"/>
            <w:bottom w:val="none" w:sz="0" w:space="0" w:color="auto"/>
            <w:right w:val="none" w:sz="0" w:space="0" w:color="auto"/>
          </w:divBdr>
        </w:div>
        <w:div w:id="1454059812">
          <w:marLeft w:val="0"/>
          <w:marRight w:val="0"/>
          <w:marTop w:val="0"/>
          <w:marBottom w:val="0"/>
          <w:divBdr>
            <w:top w:val="none" w:sz="0" w:space="0" w:color="auto"/>
            <w:left w:val="none" w:sz="0" w:space="0" w:color="auto"/>
            <w:bottom w:val="none" w:sz="0" w:space="0" w:color="auto"/>
            <w:right w:val="none" w:sz="0" w:space="0" w:color="auto"/>
          </w:divBdr>
        </w:div>
      </w:divsChild>
    </w:div>
    <w:div w:id="1493377459">
      <w:bodyDiv w:val="1"/>
      <w:marLeft w:val="0"/>
      <w:marRight w:val="0"/>
      <w:marTop w:val="0"/>
      <w:marBottom w:val="0"/>
      <w:divBdr>
        <w:top w:val="none" w:sz="0" w:space="0" w:color="auto"/>
        <w:left w:val="none" w:sz="0" w:space="0" w:color="auto"/>
        <w:bottom w:val="none" w:sz="0" w:space="0" w:color="auto"/>
        <w:right w:val="none" w:sz="0" w:space="0" w:color="auto"/>
      </w:divBdr>
    </w:div>
    <w:div w:id="1497916870">
      <w:bodyDiv w:val="1"/>
      <w:marLeft w:val="0"/>
      <w:marRight w:val="0"/>
      <w:marTop w:val="0"/>
      <w:marBottom w:val="0"/>
      <w:divBdr>
        <w:top w:val="none" w:sz="0" w:space="0" w:color="auto"/>
        <w:left w:val="none" w:sz="0" w:space="0" w:color="auto"/>
        <w:bottom w:val="none" w:sz="0" w:space="0" w:color="auto"/>
        <w:right w:val="none" w:sz="0" w:space="0" w:color="auto"/>
      </w:divBdr>
    </w:div>
    <w:div w:id="1500196751">
      <w:bodyDiv w:val="1"/>
      <w:marLeft w:val="0"/>
      <w:marRight w:val="0"/>
      <w:marTop w:val="0"/>
      <w:marBottom w:val="0"/>
      <w:divBdr>
        <w:top w:val="none" w:sz="0" w:space="0" w:color="auto"/>
        <w:left w:val="none" w:sz="0" w:space="0" w:color="auto"/>
        <w:bottom w:val="none" w:sz="0" w:space="0" w:color="auto"/>
        <w:right w:val="none" w:sz="0" w:space="0" w:color="auto"/>
      </w:divBdr>
    </w:div>
    <w:div w:id="1503355311">
      <w:bodyDiv w:val="1"/>
      <w:marLeft w:val="0"/>
      <w:marRight w:val="0"/>
      <w:marTop w:val="0"/>
      <w:marBottom w:val="0"/>
      <w:divBdr>
        <w:top w:val="none" w:sz="0" w:space="0" w:color="auto"/>
        <w:left w:val="none" w:sz="0" w:space="0" w:color="auto"/>
        <w:bottom w:val="none" w:sz="0" w:space="0" w:color="auto"/>
        <w:right w:val="none" w:sz="0" w:space="0" w:color="auto"/>
      </w:divBdr>
    </w:div>
    <w:div w:id="1513455007">
      <w:bodyDiv w:val="1"/>
      <w:marLeft w:val="0"/>
      <w:marRight w:val="0"/>
      <w:marTop w:val="0"/>
      <w:marBottom w:val="0"/>
      <w:divBdr>
        <w:top w:val="none" w:sz="0" w:space="0" w:color="auto"/>
        <w:left w:val="none" w:sz="0" w:space="0" w:color="auto"/>
        <w:bottom w:val="none" w:sz="0" w:space="0" w:color="auto"/>
        <w:right w:val="none" w:sz="0" w:space="0" w:color="auto"/>
      </w:divBdr>
      <w:divsChild>
        <w:div w:id="332953267">
          <w:marLeft w:val="0"/>
          <w:marRight w:val="0"/>
          <w:marTop w:val="0"/>
          <w:marBottom w:val="0"/>
          <w:divBdr>
            <w:top w:val="none" w:sz="0" w:space="0" w:color="auto"/>
            <w:left w:val="none" w:sz="0" w:space="0" w:color="auto"/>
            <w:bottom w:val="none" w:sz="0" w:space="0" w:color="auto"/>
            <w:right w:val="none" w:sz="0" w:space="0" w:color="auto"/>
          </w:divBdr>
        </w:div>
        <w:div w:id="347023081">
          <w:marLeft w:val="0"/>
          <w:marRight w:val="0"/>
          <w:marTop w:val="0"/>
          <w:marBottom w:val="0"/>
          <w:divBdr>
            <w:top w:val="none" w:sz="0" w:space="0" w:color="auto"/>
            <w:left w:val="none" w:sz="0" w:space="0" w:color="auto"/>
            <w:bottom w:val="none" w:sz="0" w:space="0" w:color="auto"/>
            <w:right w:val="none" w:sz="0" w:space="0" w:color="auto"/>
          </w:divBdr>
        </w:div>
        <w:div w:id="1136068961">
          <w:marLeft w:val="0"/>
          <w:marRight w:val="0"/>
          <w:marTop w:val="0"/>
          <w:marBottom w:val="0"/>
          <w:divBdr>
            <w:top w:val="none" w:sz="0" w:space="0" w:color="auto"/>
            <w:left w:val="none" w:sz="0" w:space="0" w:color="auto"/>
            <w:bottom w:val="none" w:sz="0" w:space="0" w:color="auto"/>
            <w:right w:val="none" w:sz="0" w:space="0" w:color="auto"/>
          </w:divBdr>
        </w:div>
        <w:div w:id="1191724910">
          <w:marLeft w:val="0"/>
          <w:marRight w:val="0"/>
          <w:marTop w:val="0"/>
          <w:marBottom w:val="0"/>
          <w:divBdr>
            <w:top w:val="none" w:sz="0" w:space="0" w:color="auto"/>
            <w:left w:val="none" w:sz="0" w:space="0" w:color="auto"/>
            <w:bottom w:val="none" w:sz="0" w:space="0" w:color="auto"/>
            <w:right w:val="none" w:sz="0" w:space="0" w:color="auto"/>
          </w:divBdr>
        </w:div>
        <w:div w:id="1403603182">
          <w:marLeft w:val="0"/>
          <w:marRight w:val="0"/>
          <w:marTop w:val="0"/>
          <w:marBottom w:val="0"/>
          <w:divBdr>
            <w:top w:val="none" w:sz="0" w:space="0" w:color="auto"/>
            <w:left w:val="none" w:sz="0" w:space="0" w:color="auto"/>
            <w:bottom w:val="none" w:sz="0" w:space="0" w:color="auto"/>
            <w:right w:val="none" w:sz="0" w:space="0" w:color="auto"/>
          </w:divBdr>
        </w:div>
        <w:div w:id="2145074294">
          <w:marLeft w:val="0"/>
          <w:marRight w:val="0"/>
          <w:marTop w:val="0"/>
          <w:marBottom w:val="0"/>
          <w:divBdr>
            <w:top w:val="none" w:sz="0" w:space="0" w:color="auto"/>
            <w:left w:val="none" w:sz="0" w:space="0" w:color="auto"/>
            <w:bottom w:val="none" w:sz="0" w:space="0" w:color="auto"/>
            <w:right w:val="none" w:sz="0" w:space="0" w:color="auto"/>
          </w:divBdr>
        </w:div>
      </w:divsChild>
    </w:div>
    <w:div w:id="1522277699">
      <w:bodyDiv w:val="1"/>
      <w:marLeft w:val="0"/>
      <w:marRight w:val="0"/>
      <w:marTop w:val="0"/>
      <w:marBottom w:val="0"/>
      <w:divBdr>
        <w:top w:val="none" w:sz="0" w:space="0" w:color="auto"/>
        <w:left w:val="none" w:sz="0" w:space="0" w:color="auto"/>
        <w:bottom w:val="none" w:sz="0" w:space="0" w:color="auto"/>
        <w:right w:val="none" w:sz="0" w:space="0" w:color="auto"/>
      </w:divBdr>
    </w:div>
    <w:div w:id="1525513119">
      <w:bodyDiv w:val="1"/>
      <w:marLeft w:val="0"/>
      <w:marRight w:val="0"/>
      <w:marTop w:val="0"/>
      <w:marBottom w:val="0"/>
      <w:divBdr>
        <w:top w:val="none" w:sz="0" w:space="0" w:color="auto"/>
        <w:left w:val="none" w:sz="0" w:space="0" w:color="auto"/>
        <w:bottom w:val="none" w:sz="0" w:space="0" w:color="auto"/>
        <w:right w:val="none" w:sz="0" w:space="0" w:color="auto"/>
      </w:divBdr>
    </w:div>
    <w:div w:id="1535193627">
      <w:bodyDiv w:val="1"/>
      <w:marLeft w:val="0"/>
      <w:marRight w:val="0"/>
      <w:marTop w:val="0"/>
      <w:marBottom w:val="0"/>
      <w:divBdr>
        <w:top w:val="none" w:sz="0" w:space="0" w:color="auto"/>
        <w:left w:val="none" w:sz="0" w:space="0" w:color="auto"/>
        <w:bottom w:val="none" w:sz="0" w:space="0" w:color="auto"/>
        <w:right w:val="none" w:sz="0" w:space="0" w:color="auto"/>
      </w:divBdr>
    </w:div>
    <w:div w:id="1538810734">
      <w:bodyDiv w:val="1"/>
      <w:marLeft w:val="0"/>
      <w:marRight w:val="0"/>
      <w:marTop w:val="0"/>
      <w:marBottom w:val="0"/>
      <w:divBdr>
        <w:top w:val="none" w:sz="0" w:space="0" w:color="auto"/>
        <w:left w:val="none" w:sz="0" w:space="0" w:color="auto"/>
        <w:bottom w:val="none" w:sz="0" w:space="0" w:color="auto"/>
        <w:right w:val="none" w:sz="0" w:space="0" w:color="auto"/>
      </w:divBdr>
    </w:div>
    <w:div w:id="1544367684">
      <w:bodyDiv w:val="1"/>
      <w:marLeft w:val="0"/>
      <w:marRight w:val="0"/>
      <w:marTop w:val="0"/>
      <w:marBottom w:val="0"/>
      <w:divBdr>
        <w:top w:val="none" w:sz="0" w:space="0" w:color="auto"/>
        <w:left w:val="none" w:sz="0" w:space="0" w:color="auto"/>
        <w:bottom w:val="none" w:sz="0" w:space="0" w:color="auto"/>
        <w:right w:val="none" w:sz="0" w:space="0" w:color="auto"/>
      </w:divBdr>
    </w:div>
    <w:div w:id="1551842904">
      <w:bodyDiv w:val="1"/>
      <w:marLeft w:val="0"/>
      <w:marRight w:val="0"/>
      <w:marTop w:val="0"/>
      <w:marBottom w:val="0"/>
      <w:divBdr>
        <w:top w:val="none" w:sz="0" w:space="0" w:color="auto"/>
        <w:left w:val="none" w:sz="0" w:space="0" w:color="auto"/>
        <w:bottom w:val="none" w:sz="0" w:space="0" w:color="auto"/>
        <w:right w:val="none" w:sz="0" w:space="0" w:color="auto"/>
      </w:divBdr>
    </w:div>
    <w:div w:id="1552574500">
      <w:bodyDiv w:val="1"/>
      <w:marLeft w:val="0"/>
      <w:marRight w:val="0"/>
      <w:marTop w:val="0"/>
      <w:marBottom w:val="0"/>
      <w:divBdr>
        <w:top w:val="none" w:sz="0" w:space="0" w:color="auto"/>
        <w:left w:val="none" w:sz="0" w:space="0" w:color="auto"/>
        <w:bottom w:val="none" w:sz="0" w:space="0" w:color="auto"/>
        <w:right w:val="none" w:sz="0" w:space="0" w:color="auto"/>
      </w:divBdr>
    </w:div>
    <w:div w:id="1556964844">
      <w:bodyDiv w:val="1"/>
      <w:marLeft w:val="0"/>
      <w:marRight w:val="0"/>
      <w:marTop w:val="0"/>
      <w:marBottom w:val="0"/>
      <w:divBdr>
        <w:top w:val="none" w:sz="0" w:space="0" w:color="auto"/>
        <w:left w:val="none" w:sz="0" w:space="0" w:color="auto"/>
        <w:bottom w:val="none" w:sz="0" w:space="0" w:color="auto"/>
        <w:right w:val="none" w:sz="0" w:space="0" w:color="auto"/>
      </w:divBdr>
    </w:div>
    <w:div w:id="1565524937">
      <w:bodyDiv w:val="1"/>
      <w:marLeft w:val="0"/>
      <w:marRight w:val="0"/>
      <w:marTop w:val="0"/>
      <w:marBottom w:val="0"/>
      <w:divBdr>
        <w:top w:val="none" w:sz="0" w:space="0" w:color="auto"/>
        <w:left w:val="none" w:sz="0" w:space="0" w:color="auto"/>
        <w:bottom w:val="none" w:sz="0" w:space="0" w:color="auto"/>
        <w:right w:val="none" w:sz="0" w:space="0" w:color="auto"/>
      </w:divBdr>
      <w:divsChild>
        <w:div w:id="889270281">
          <w:marLeft w:val="0"/>
          <w:marRight w:val="0"/>
          <w:marTop w:val="0"/>
          <w:marBottom w:val="0"/>
          <w:divBdr>
            <w:top w:val="none" w:sz="0" w:space="0" w:color="auto"/>
            <w:left w:val="none" w:sz="0" w:space="0" w:color="auto"/>
            <w:bottom w:val="none" w:sz="0" w:space="0" w:color="auto"/>
            <w:right w:val="none" w:sz="0" w:space="0" w:color="auto"/>
          </w:divBdr>
        </w:div>
        <w:div w:id="1703555120">
          <w:marLeft w:val="0"/>
          <w:marRight w:val="0"/>
          <w:marTop w:val="0"/>
          <w:marBottom w:val="0"/>
          <w:divBdr>
            <w:top w:val="none" w:sz="0" w:space="0" w:color="auto"/>
            <w:left w:val="none" w:sz="0" w:space="0" w:color="auto"/>
            <w:bottom w:val="none" w:sz="0" w:space="0" w:color="auto"/>
            <w:right w:val="none" w:sz="0" w:space="0" w:color="auto"/>
          </w:divBdr>
        </w:div>
      </w:divsChild>
    </w:div>
    <w:div w:id="1575814623">
      <w:bodyDiv w:val="1"/>
      <w:marLeft w:val="0"/>
      <w:marRight w:val="0"/>
      <w:marTop w:val="0"/>
      <w:marBottom w:val="0"/>
      <w:divBdr>
        <w:top w:val="none" w:sz="0" w:space="0" w:color="auto"/>
        <w:left w:val="none" w:sz="0" w:space="0" w:color="auto"/>
        <w:bottom w:val="none" w:sz="0" w:space="0" w:color="auto"/>
        <w:right w:val="none" w:sz="0" w:space="0" w:color="auto"/>
      </w:divBdr>
    </w:div>
    <w:div w:id="1579828091">
      <w:bodyDiv w:val="1"/>
      <w:marLeft w:val="0"/>
      <w:marRight w:val="0"/>
      <w:marTop w:val="0"/>
      <w:marBottom w:val="0"/>
      <w:divBdr>
        <w:top w:val="none" w:sz="0" w:space="0" w:color="auto"/>
        <w:left w:val="none" w:sz="0" w:space="0" w:color="auto"/>
        <w:bottom w:val="none" w:sz="0" w:space="0" w:color="auto"/>
        <w:right w:val="none" w:sz="0" w:space="0" w:color="auto"/>
      </w:divBdr>
    </w:div>
    <w:div w:id="1590772152">
      <w:bodyDiv w:val="1"/>
      <w:marLeft w:val="0"/>
      <w:marRight w:val="0"/>
      <w:marTop w:val="0"/>
      <w:marBottom w:val="0"/>
      <w:divBdr>
        <w:top w:val="none" w:sz="0" w:space="0" w:color="auto"/>
        <w:left w:val="none" w:sz="0" w:space="0" w:color="auto"/>
        <w:bottom w:val="none" w:sz="0" w:space="0" w:color="auto"/>
        <w:right w:val="none" w:sz="0" w:space="0" w:color="auto"/>
      </w:divBdr>
      <w:divsChild>
        <w:div w:id="319381993">
          <w:marLeft w:val="547"/>
          <w:marRight w:val="0"/>
          <w:marTop w:val="0"/>
          <w:marBottom w:val="0"/>
          <w:divBdr>
            <w:top w:val="none" w:sz="0" w:space="0" w:color="auto"/>
            <w:left w:val="none" w:sz="0" w:space="0" w:color="auto"/>
            <w:bottom w:val="none" w:sz="0" w:space="0" w:color="auto"/>
            <w:right w:val="none" w:sz="0" w:space="0" w:color="auto"/>
          </w:divBdr>
        </w:div>
      </w:divsChild>
    </w:div>
    <w:div w:id="1592424580">
      <w:bodyDiv w:val="1"/>
      <w:marLeft w:val="0"/>
      <w:marRight w:val="0"/>
      <w:marTop w:val="0"/>
      <w:marBottom w:val="0"/>
      <w:divBdr>
        <w:top w:val="none" w:sz="0" w:space="0" w:color="auto"/>
        <w:left w:val="none" w:sz="0" w:space="0" w:color="auto"/>
        <w:bottom w:val="none" w:sz="0" w:space="0" w:color="auto"/>
        <w:right w:val="none" w:sz="0" w:space="0" w:color="auto"/>
      </w:divBdr>
    </w:div>
    <w:div w:id="1595898658">
      <w:bodyDiv w:val="1"/>
      <w:marLeft w:val="0"/>
      <w:marRight w:val="0"/>
      <w:marTop w:val="0"/>
      <w:marBottom w:val="0"/>
      <w:divBdr>
        <w:top w:val="none" w:sz="0" w:space="0" w:color="auto"/>
        <w:left w:val="none" w:sz="0" w:space="0" w:color="auto"/>
        <w:bottom w:val="none" w:sz="0" w:space="0" w:color="auto"/>
        <w:right w:val="none" w:sz="0" w:space="0" w:color="auto"/>
      </w:divBdr>
    </w:div>
    <w:div w:id="1597593921">
      <w:bodyDiv w:val="1"/>
      <w:marLeft w:val="0"/>
      <w:marRight w:val="0"/>
      <w:marTop w:val="0"/>
      <w:marBottom w:val="0"/>
      <w:divBdr>
        <w:top w:val="none" w:sz="0" w:space="0" w:color="auto"/>
        <w:left w:val="none" w:sz="0" w:space="0" w:color="auto"/>
        <w:bottom w:val="none" w:sz="0" w:space="0" w:color="auto"/>
        <w:right w:val="none" w:sz="0" w:space="0" w:color="auto"/>
      </w:divBdr>
    </w:div>
    <w:div w:id="1597667795">
      <w:bodyDiv w:val="1"/>
      <w:marLeft w:val="0"/>
      <w:marRight w:val="0"/>
      <w:marTop w:val="0"/>
      <w:marBottom w:val="0"/>
      <w:divBdr>
        <w:top w:val="none" w:sz="0" w:space="0" w:color="auto"/>
        <w:left w:val="none" w:sz="0" w:space="0" w:color="auto"/>
        <w:bottom w:val="none" w:sz="0" w:space="0" w:color="auto"/>
        <w:right w:val="none" w:sz="0" w:space="0" w:color="auto"/>
      </w:divBdr>
    </w:div>
    <w:div w:id="1601259897">
      <w:bodyDiv w:val="1"/>
      <w:marLeft w:val="0"/>
      <w:marRight w:val="0"/>
      <w:marTop w:val="0"/>
      <w:marBottom w:val="0"/>
      <w:divBdr>
        <w:top w:val="none" w:sz="0" w:space="0" w:color="auto"/>
        <w:left w:val="none" w:sz="0" w:space="0" w:color="auto"/>
        <w:bottom w:val="none" w:sz="0" w:space="0" w:color="auto"/>
        <w:right w:val="none" w:sz="0" w:space="0" w:color="auto"/>
      </w:divBdr>
      <w:divsChild>
        <w:div w:id="847213562">
          <w:marLeft w:val="0"/>
          <w:marRight w:val="0"/>
          <w:marTop w:val="0"/>
          <w:marBottom w:val="0"/>
          <w:divBdr>
            <w:top w:val="none" w:sz="0" w:space="0" w:color="auto"/>
            <w:left w:val="none" w:sz="0" w:space="0" w:color="auto"/>
            <w:bottom w:val="none" w:sz="0" w:space="0" w:color="auto"/>
            <w:right w:val="none" w:sz="0" w:space="0" w:color="auto"/>
          </w:divBdr>
          <w:divsChild>
            <w:div w:id="1162428802">
              <w:marLeft w:val="0"/>
              <w:marRight w:val="0"/>
              <w:marTop w:val="0"/>
              <w:marBottom w:val="0"/>
              <w:divBdr>
                <w:top w:val="none" w:sz="0" w:space="0" w:color="auto"/>
                <w:left w:val="none" w:sz="0" w:space="0" w:color="auto"/>
                <w:bottom w:val="none" w:sz="0" w:space="0" w:color="auto"/>
                <w:right w:val="none" w:sz="0" w:space="0" w:color="auto"/>
              </w:divBdr>
              <w:divsChild>
                <w:div w:id="189897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87671">
          <w:marLeft w:val="0"/>
          <w:marRight w:val="0"/>
          <w:marTop w:val="0"/>
          <w:marBottom w:val="0"/>
          <w:divBdr>
            <w:top w:val="none" w:sz="0" w:space="0" w:color="auto"/>
            <w:left w:val="none" w:sz="0" w:space="0" w:color="auto"/>
            <w:bottom w:val="none" w:sz="0" w:space="0" w:color="auto"/>
            <w:right w:val="none" w:sz="0" w:space="0" w:color="auto"/>
          </w:divBdr>
          <w:divsChild>
            <w:div w:id="413598849">
              <w:marLeft w:val="0"/>
              <w:marRight w:val="0"/>
              <w:marTop w:val="0"/>
              <w:marBottom w:val="0"/>
              <w:divBdr>
                <w:top w:val="none" w:sz="0" w:space="0" w:color="auto"/>
                <w:left w:val="none" w:sz="0" w:space="0" w:color="auto"/>
                <w:bottom w:val="none" w:sz="0" w:space="0" w:color="auto"/>
                <w:right w:val="none" w:sz="0" w:space="0" w:color="auto"/>
              </w:divBdr>
              <w:divsChild>
                <w:div w:id="313535218">
                  <w:marLeft w:val="0"/>
                  <w:marRight w:val="0"/>
                  <w:marTop w:val="0"/>
                  <w:marBottom w:val="0"/>
                  <w:divBdr>
                    <w:top w:val="none" w:sz="0" w:space="0" w:color="auto"/>
                    <w:left w:val="none" w:sz="0" w:space="0" w:color="auto"/>
                    <w:bottom w:val="none" w:sz="0" w:space="0" w:color="auto"/>
                    <w:right w:val="none" w:sz="0" w:space="0" w:color="auto"/>
                  </w:divBdr>
                </w:div>
                <w:div w:id="1070540826">
                  <w:marLeft w:val="0"/>
                  <w:marRight w:val="0"/>
                  <w:marTop w:val="0"/>
                  <w:marBottom w:val="0"/>
                  <w:divBdr>
                    <w:top w:val="none" w:sz="0" w:space="0" w:color="auto"/>
                    <w:left w:val="none" w:sz="0" w:space="0" w:color="auto"/>
                    <w:bottom w:val="none" w:sz="0" w:space="0" w:color="auto"/>
                    <w:right w:val="none" w:sz="0" w:space="0" w:color="auto"/>
                  </w:divBdr>
                </w:div>
              </w:divsChild>
            </w:div>
            <w:div w:id="669332440">
              <w:marLeft w:val="0"/>
              <w:marRight w:val="0"/>
              <w:marTop w:val="0"/>
              <w:marBottom w:val="0"/>
              <w:divBdr>
                <w:top w:val="none" w:sz="0" w:space="0" w:color="auto"/>
                <w:left w:val="none" w:sz="0" w:space="0" w:color="auto"/>
                <w:bottom w:val="none" w:sz="0" w:space="0" w:color="auto"/>
                <w:right w:val="none" w:sz="0" w:space="0" w:color="auto"/>
              </w:divBdr>
              <w:divsChild>
                <w:div w:id="153838723">
                  <w:marLeft w:val="0"/>
                  <w:marRight w:val="0"/>
                  <w:marTop w:val="0"/>
                  <w:marBottom w:val="0"/>
                  <w:divBdr>
                    <w:top w:val="none" w:sz="0" w:space="0" w:color="auto"/>
                    <w:left w:val="none" w:sz="0" w:space="0" w:color="auto"/>
                    <w:bottom w:val="none" w:sz="0" w:space="0" w:color="auto"/>
                    <w:right w:val="none" w:sz="0" w:space="0" w:color="auto"/>
                  </w:divBdr>
                </w:div>
                <w:div w:id="261685941">
                  <w:marLeft w:val="0"/>
                  <w:marRight w:val="0"/>
                  <w:marTop w:val="0"/>
                  <w:marBottom w:val="0"/>
                  <w:divBdr>
                    <w:top w:val="none" w:sz="0" w:space="0" w:color="auto"/>
                    <w:left w:val="none" w:sz="0" w:space="0" w:color="auto"/>
                    <w:bottom w:val="none" w:sz="0" w:space="0" w:color="auto"/>
                    <w:right w:val="none" w:sz="0" w:space="0" w:color="auto"/>
                  </w:divBdr>
                </w:div>
                <w:div w:id="1803451794">
                  <w:marLeft w:val="0"/>
                  <w:marRight w:val="0"/>
                  <w:marTop w:val="0"/>
                  <w:marBottom w:val="0"/>
                  <w:divBdr>
                    <w:top w:val="none" w:sz="0" w:space="0" w:color="auto"/>
                    <w:left w:val="none" w:sz="0" w:space="0" w:color="auto"/>
                    <w:bottom w:val="none" w:sz="0" w:space="0" w:color="auto"/>
                    <w:right w:val="none" w:sz="0" w:space="0" w:color="auto"/>
                  </w:divBdr>
                </w:div>
                <w:div w:id="1805385996">
                  <w:marLeft w:val="0"/>
                  <w:marRight w:val="0"/>
                  <w:marTop w:val="0"/>
                  <w:marBottom w:val="0"/>
                  <w:divBdr>
                    <w:top w:val="none" w:sz="0" w:space="0" w:color="auto"/>
                    <w:left w:val="none" w:sz="0" w:space="0" w:color="auto"/>
                    <w:bottom w:val="none" w:sz="0" w:space="0" w:color="auto"/>
                    <w:right w:val="none" w:sz="0" w:space="0" w:color="auto"/>
                  </w:divBdr>
                </w:div>
              </w:divsChild>
            </w:div>
            <w:div w:id="866719834">
              <w:marLeft w:val="0"/>
              <w:marRight w:val="0"/>
              <w:marTop w:val="0"/>
              <w:marBottom w:val="0"/>
              <w:divBdr>
                <w:top w:val="none" w:sz="0" w:space="0" w:color="auto"/>
                <w:left w:val="none" w:sz="0" w:space="0" w:color="auto"/>
                <w:bottom w:val="none" w:sz="0" w:space="0" w:color="auto"/>
                <w:right w:val="none" w:sz="0" w:space="0" w:color="auto"/>
              </w:divBdr>
              <w:divsChild>
                <w:div w:id="384447226">
                  <w:marLeft w:val="0"/>
                  <w:marRight w:val="0"/>
                  <w:marTop w:val="0"/>
                  <w:marBottom w:val="0"/>
                  <w:divBdr>
                    <w:top w:val="none" w:sz="0" w:space="0" w:color="auto"/>
                    <w:left w:val="none" w:sz="0" w:space="0" w:color="auto"/>
                    <w:bottom w:val="none" w:sz="0" w:space="0" w:color="auto"/>
                    <w:right w:val="none" w:sz="0" w:space="0" w:color="auto"/>
                  </w:divBdr>
                </w:div>
                <w:div w:id="1103913891">
                  <w:marLeft w:val="0"/>
                  <w:marRight w:val="0"/>
                  <w:marTop w:val="0"/>
                  <w:marBottom w:val="0"/>
                  <w:divBdr>
                    <w:top w:val="none" w:sz="0" w:space="0" w:color="auto"/>
                    <w:left w:val="none" w:sz="0" w:space="0" w:color="auto"/>
                    <w:bottom w:val="none" w:sz="0" w:space="0" w:color="auto"/>
                    <w:right w:val="none" w:sz="0" w:space="0" w:color="auto"/>
                  </w:divBdr>
                </w:div>
              </w:divsChild>
            </w:div>
            <w:div w:id="1114324439">
              <w:marLeft w:val="0"/>
              <w:marRight w:val="0"/>
              <w:marTop w:val="0"/>
              <w:marBottom w:val="0"/>
              <w:divBdr>
                <w:top w:val="none" w:sz="0" w:space="0" w:color="auto"/>
                <w:left w:val="none" w:sz="0" w:space="0" w:color="auto"/>
                <w:bottom w:val="none" w:sz="0" w:space="0" w:color="auto"/>
                <w:right w:val="none" w:sz="0" w:space="0" w:color="auto"/>
              </w:divBdr>
              <w:divsChild>
                <w:div w:id="388498657">
                  <w:marLeft w:val="0"/>
                  <w:marRight w:val="0"/>
                  <w:marTop w:val="0"/>
                  <w:marBottom w:val="0"/>
                  <w:divBdr>
                    <w:top w:val="none" w:sz="0" w:space="0" w:color="auto"/>
                    <w:left w:val="none" w:sz="0" w:space="0" w:color="auto"/>
                    <w:bottom w:val="none" w:sz="0" w:space="0" w:color="auto"/>
                    <w:right w:val="none" w:sz="0" w:space="0" w:color="auto"/>
                  </w:divBdr>
                </w:div>
                <w:div w:id="1855654336">
                  <w:marLeft w:val="0"/>
                  <w:marRight w:val="0"/>
                  <w:marTop w:val="0"/>
                  <w:marBottom w:val="0"/>
                  <w:divBdr>
                    <w:top w:val="none" w:sz="0" w:space="0" w:color="auto"/>
                    <w:left w:val="none" w:sz="0" w:space="0" w:color="auto"/>
                    <w:bottom w:val="none" w:sz="0" w:space="0" w:color="auto"/>
                    <w:right w:val="none" w:sz="0" w:space="0" w:color="auto"/>
                  </w:divBdr>
                </w:div>
              </w:divsChild>
            </w:div>
            <w:div w:id="1517501274">
              <w:marLeft w:val="0"/>
              <w:marRight w:val="0"/>
              <w:marTop w:val="0"/>
              <w:marBottom w:val="0"/>
              <w:divBdr>
                <w:top w:val="none" w:sz="0" w:space="0" w:color="auto"/>
                <w:left w:val="none" w:sz="0" w:space="0" w:color="auto"/>
                <w:bottom w:val="none" w:sz="0" w:space="0" w:color="auto"/>
                <w:right w:val="none" w:sz="0" w:space="0" w:color="auto"/>
              </w:divBdr>
              <w:divsChild>
                <w:div w:id="1261796383">
                  <w:marLeft w:val="0"/>
                  <w:marRight w:val="0"/>
                  <w:marTop w:val="0"/>
                  <w:marBottom w:val="0"/>
                  <w:divBdr>
                    <w:top w:val="none" w:sz="0" w:space="0" w:color="auto"/>
                    <w:left w:val="none" w:sz="0" w:space="0" w:color="auto"/>
                    <w:bottom w:val="none" w:sz="0" w:space="0" w:color="auto"/>
                    <w:right w:val="none" w:sz="0" w:space="0" w:color="auto"/>
                  </w:divBdr>
                </w:div>
                <w:div w:id="1818840549">
                  <w:marLeft w:val="0"/>
                  <w:marRight w:val="0"/>
                  <w:marTop w:val="0"/>
                  <w:marBottom w:val="0"/>
                  <w:divBdr>
                    <w:top w:val="none" w:sz="0" w:space="0" w:color="auto"/>
                    <w:left w:val="none" w:sz="0" w:space="0" w:color="auto"/>
                    <w:bottom w:val="none" w:sz="0" w:space="0" w:color="auto"/>
                    <w:right w:val="none" w:sz="0" w:space="0" w:color="auto"/>
                  </w:divBdr>
                </w:div>
              </w:divsChild>
            </w:div>
            <w:div w:id="1603031357">
              <w:marLeft w:val="0"/>
              <w:marRight w:val="0"/>
              <w:marTop w:val="0"/>
              <w:marBottom w:val="0"/>
              <w:divBdr>
                <w:top w:val="none" w:sz="0" w:space="0" w:color="auto"/>
                <w:left w:val="none" w:sz="0" w:space="0" w:color="auto"/>
                <w:bottom w:val="none" w:sz="0" w:space="0" w:color="auto"/>
                <w:right w:val="none" w:sz="0" w:space="0" w:color="auto"/>
              </w:divBdr>
              <w:divsChild>
                <w:div w:id="151065500">
                  <w:marLeft w:val="0"/>
                  <w:marRight w:val="0"/>
                  <w:marTop w:val="0"/>
                  <w:marBottom w:val="0"/>
                  <w:divBdr>
                    <w:top w:val="none" w:sz="0" w:space="0" w:color="auto"/>
                    <w:left w:val="none" w:sz="0" w:space="0" w:color="auto"/>
                    <w:bottom w:val="none" w:sz="0" w:space="0" w:color="auto"/>
                    <w:right w:val="none" w:sz="0" w:space="0" w:color="auto"/>
                  </w:divBdr>
                </w:div>
                <w:div w:id="205438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076150">
      <w:bodyDiv w:val="1"/>
      <w:marLeft w:val="0"/>
      <w:marRight w:val="0"/>
      <w:marTop w:val="0"/>
      <w:marBottom w:val="0"/>
      <w:divBdr>
        <w:top w:val="none" w:sz="0" w:space="0" w:color="auto"/>
        <w:left w:val="none" w:sz="0" w:space="0" w:color="auto"/>
        <w:bottom w:val="none" w:sz="0" w:space="0" w:color="auto"/>
        <w:right w:val="none" w:sz="0" w:space="0" w:color="auto"/>
      </w:divBdr>
    </w:div>
    <w:div w:id="1607076894">
      <w:bodyDiv w:val="1"/>
      <w:marLeft w:val="0"/>
      <w:marRight w:val="0"/>
      <w:marTop w:val="0"/>
      <w:marBottom w:val="0"/>
      <w:divBdr>
        <w:top w:val="none" w:sz="0" w:space="0" w:color="auto"/>
        <w:left w:val="none" w:sz="0" w:space="0" w:color="auto"/>
        <w:bottom w:val="none" w:sz="0" w:space="0" w:color="auto"/>
        <w:right w:val="none" w:sz="0" w:space="0" w:color="auto"/>
      </w:divBdr>
    </w:div>
    <w:div w:id="1611206847">
      <w:bodyDiv w:val="1"/>
      <w:marLeft w:val="0"/>
      <w:marRight w:val="0"/>
      <w:marTop w:val="0"/>
      <w:marBottom w:val="0"/>
      <w:divBdr>
        <w:top w:val="none" w:sz="0" w:space="0" w:color="auto"/>
        <w:left w:val="none" w:sz="0" w:space="0" w:color="auto"/>
        <w:bottom w:val="none" w:sz="0" w:space="0" w:color="auto"/>
        <w:right w:val="none" w:sz="0" w:space="0" w:color="auto"/>
      </w:divBdr>
      <w:divsChild>
        <w:div w:id="1879661834">
          <w:marLeft w:val="0"/>
          <w:marRight w:val="0"/>
          <w:marTop w:val="0"/>
          <w:marBottom w:val="0"/>
          <w:divBdr>
            <w:top w:val="none" w:sz="0" w:space="0" w:color="auto"/>
            <w:left w:val="none" w:sz="0" w:space="0" w:color="auto"/>
            <w:bottom w:val="none" w:sz="0" w:space="0" w:color="auto"/>
            <w:right w:val="none" w:sz="0" w:space="0" w:color="auto"/>
          </w:divBdr>
        </w:div>
      </w:divsChild>
    </w:div>
    <w:div w:id="1624967819">
      <w:bodyDiv w:val="1"/>
      <w:marLeft w:val="0"/>
      <w:marRight w:val="0"/>
      <w:marTop w:val="0"/>
      <w:marBottom w:val="0"/>
      <w:divBdr>
        <w:top w:val="none" w:sz="0" w:space="0" w:color="auto"/>
        <w:left w:val="none" w:sz="0" w:space="0" w:color="auto"/>
        <w:bottom w:val="none" w:sz="0" w:space="0" w:color="auto"/>
        <w:right w:val="none" w:sz="0" w:space="0" w:color="auto"/>
      </w:divBdr>
      <w:divsChild>
        <w:div w:id="720639527">
          <w:marLeft w:val="547"/>
          <w:marRight w:val="0"/>
          <w:marTop w:val="0"/>
          <w:marBottom w:val="0"/>
          <w:divBdr>
            <w:top w:val="none" w:sz="0" w:space="0" w:color="auto"/>
            <w:left w:val="none" w:sz="0" w:space="0" w:color="auto"/>
            <w:bottom w:val="none" w:sz="0" w:space="0" w:color="auto"/>
            <w:right w:val="none" w:sz="0" w:space="0" w:color="auto"/>
          </w:divBdr>
        </w:div>
      </w:divsChild>
    </w:div>
    <w:div w:id="1638683169">
      <w:bodyDiv w:val="1"/>
      <w:marLeft w:val="0"/>
      <w:marRight w:val="0"/>
      <w:marTop w:val="0"/>
      <w:marBottom w:val="0"/>
      <w:divBdr>
        <w:top w:val="none" w:sz="0" w:space="0" w:color="auto"/>
        <w:left w:val="none" w:sz="0" w:space="0" w:color="auto"/>
        <w:bottom w:val="none" w:sz="0" w:space="0" w:color="auto"/>
        <w:right w:val="none" w:sz="0" w:space="0" w:color="auto"/>
      </w:divBdr>
    </w:div>
    <w:div w:id="1643805036">
      <w:bodyDiv w:val="1"/>
      <w:marLeft w:val="0"/>
      <w:marRight w:val="0"/>
      <w:marTop w:val="0"/>
      <w:marBottom w:val="0"/>
      <w:divBdr>
        <w:top w:val="none" w:sz="0" w:space="0" w:color="auto"/>
        <w:left w:val="none" w:sz="0" w:space="0" w:color="auto"/>
        <w:bottom w:val="none" w:sz="0" w:space="0" w:color="auto"/>
        <w:right w:val="none" w:sz="0" w:space="0" w:color="auto"/>
      </w:divBdr>
    </w:div>
    <w:div w:id="1647317914">
      <w:bodyDiv w:val="1"/>
      <w:marLeft w:val="0"/>
      <w:marRight w:val="0"/>
      <w:marTop w:val="0"/>
      <w:marBottom w:val="0"/>
      <w:divBdr>
        <w:top w:val="none" w:sz="0" w:space="0" w:color="auto"/>
        <w:left w:val="none" w:sz="0" w:space="0" w:color="auto"/>
        <w:bottom w:val="none" w:sz="0" w:space="0" w:color="auto"/>
        <w:right w:val="none" w:sz="0" w:space="0" w:color="auto"/>
      </w:divBdr>
    </w:div>
    <w:div w:id="1648705572">
      <w:bodyDiv w:val="1"/>
      <w:marLeft w:val="0"/>
      <w:marRight w:val="0"/>
      <w:marTop w:val="0"/>
      <w:marBottom w:val="0"/>
      <w:divBdr>
        <w:top w:val="none" w:sz="0" w:space="0" w:color="auto"/>
        <w:left w:val="none" w:sz="0" w:space="0" w:color="auto"/>
        <w:bottom w:val="none" w:sz="0" w:space="0" w:color="auto"/>
        <w:right w:val="none" w:sz="0" w:space="0" w:color="auto"/>
      </w:divBdr>
      <w:divsChild>
        <w:div w:id="1539582938">
          <w:marLeft w:val="547"/>
          <w:marRight w:val="0"/>
          <w:marTop w:val="0"/>
          <w:marBottom w:val="0"/>
          <w:divBdr>
            <w:top w:val="none" w:sz="0" w:space="0" w:color="auto"/>
            <w:left w:val="none" w:sz="0" w:space="0" w:color="auto"/>
            <w:bottom w:val="none" w:sz="0" w:space="0" w:color="auto"/>
            <w:right w:val="none" w:sz="0" w:space="0" w:color="auto"/>
          </w:divBdr>
        </w:div>
      </w:divsChild>
    </w:div>
    <w:div w:id="1654218848">
      <w:bodyDiv w:val="1"/>
      <w:marLeft w:val="0"/>
      <w:marRight w:val="0"/>
      <w:marTop w:val="0"/>
      <w:marBottom w:val="0"/>
      <w:divBdr>
        <w:top w:val="none" w:sz="0" w:space="0" w:color="auto"/>
        <w:left w:val="none" w:sz="0" w:space="0" w:color="auto"/>
        <w:bottom w:val="none" w:sz="0" w:space="0" w:color="auto"/>
        <w:right w:val="none" w:sz="0" w:space="0" w:color="auto"/>
      </w:divBdr>
    </w:div>
    <w:div w:id="1664503173">
      <w:bodyDiv w:val="1"/>
      <w:marLeft w:val="0"/>
      <w:marRight w:val="0"/>
      <w:marTop w:val="0"/>
      <w:marBottom w:val="0"/>
      <w:divBdr>
        <w:top w:val="none" w:sz="0" w:space="0" w:color="auto"/>
        <w:left w:val="none" w:sz="0" w:space="0" w:color="auto"/>
        <w:bottom w:val="none" w:sz="0" w:space="0" w:color="auto"/>
        <w:right w:val="none" w:sz="0" w:space="0" w:color="auto"/>
      </w:divBdr>
    </w:div>
    <w:div w:id="1679312201">
      <w:bodyDiv w:val="1"/>
      <w:marLeft w:val="0"/>
      <w:marRight w:val="0"/>
      <w:marTop w:val="0"/>
      <w:marBottom w:val="0"/>
      <w:divBdr>
        <w:top w:val="none" w:sz="0" w:space="0" w:color="auto"/>
        <w:left w:val="none" w:sz="0" w:space="0" w:color="auto"/>
        <w:bottom w:val="none" w:sz="0" w:space="0" w:color="auto"/>
        <w:right w:val="none" w:sz="0" w:space="0" w:color="auto"/>
      </w:divBdr>
      <w:divsChild>
        <w:div w:id="71172097">
          <w:marLeft w:val="0"/>
          <w:marRight w:val="0"/>
          <w:marTop w:val="0"/>
          <w:marBottom w:val="0"/>
          <w:divBdr>
            <w:top w:val="none" w:sz="0" w:space="0" w:color="auto"/>
            <w:left w:val="none" w:sz="0" w:space="0" w:color="auto"/>
            <w:bottom w:val="none" w:sz="0" w:space="0" w:color="auto"/>
            <w:right w:val="none" w:sz="0" w:space="0" w:color="auto"/>
          </w:divBdr>
        </w:div>
        <w:div w:id="275676772">
          <w:marLeft w:val="0"/>
          <w:marRight w:val="0"/>
          <w:marTop w:val="0"/>
          <w:marBottom w:val="0"/>
          <w:divBdr>
            <w:top w:val="none" w:sz="0" w:space="0" w:color="auto"/>
            <w:left w:val="none" w:sz="0" w:space="0" w:color="auto"/>
            <w:bottom w:val="none" w:sz="0" w:space="0" w:color="auto"/>
            <w:right w:val="none" w:sz="0" w:space="0" w:color="auto"/>
          </w:divBdr>
        </w:div>
        <w:div w:id="517423904">
          <w:marLeft w:val="0"/>
          <w:marRight w:val="0"/>
          <w:marTop w:val="0"/>
          <w:marBottom w:val="0"/>
          <w:divBdr>
            <w:top w:val="none" w:sz="0" w:space="0" w:color="auto"/>
            <w:left w:val="none" w:sz="0" w:space="0" w:color="auto"/>
            <w:bottom w:val="none" w:sz="0" w:space="0" w:color="auto"/>
            <w:right w:val="none" w:sz="0" w:space="0" w:color="auto"/>
          </w:divBdr>
        </w:div>
        <w:div w:id="539708243">
          <w:marLeft w:val="0"/>
          <w:marRight w:val="0"/>
          <w:marTop w:val="0"/>
          <w:marBottom w:val="0"/>
          <w:divBdr>
            <w:top w:val="none" w:sz="0" w:space="0" w:color="auto"/>
            <w:left w:val="none" w:sz="0" w:space="0" w:color="auto"/>
            <w:bottom w:val="none" w:sz="0" w:space="0" w:color="auto"/>
            <w:right w:val="none" w:sz="0" w:space="0" w:color="auto"/>
          </w:divBdr>
        </w:div>
        <w:div w:id="647513930">
          <w:marLeft w:val="0"/>
          <w:marRight w:val="0"/>
          <w:marTop w:val="0"/>
          <w:marBottom w:val="0"/>
          <w:divBdr>
            <w:top w:val="none" w:sz="0" w:space="0" w:color="auto"/>
            <w:left w:val="none" w:sz="0" w:space="0" w:color="auto"/>
            <w:bottom w:val="none" w:sz="0" w:space="0" w:color="auto"/>
            <w:right w:val="none" w:sz="0" w:space="0" w:color="auto"/>
          </w:divBdr>
        </w:div>
        <w:div w:id="765540003">
          <w:marLeft w:val="0"/>
          <w:marRight w:val="0"/>
          <w:marTop w:val="0"/>
          <w:marBottom w:val="0"/>
          <w:divBdr>
            <w:top w:val="none" w:sz="0" w:space="0" w:color="auto"/>
            <w:left w:val="none" w:sz="0" w:space="0" w:color="auto"/>
            <w:bottom w:val="none" w:sz="0" w:space="0" w:color="auto"/>
            <w:right w:val="none" w:sz="0" w:space="0" w:color="auto"/>
          </w:divBdr>
        </w:div>
        <w:div w:id="955912526">
          <w:marLeft w:val="0"/>
          <w:marRight w:val="0"/>
          <w:marTop w:val="0"/>
          <w:marBottom w:val="0"/>
          <w:divBdr>
            <w:top w:val="none" w:sz="0" w:space="0" w:color="auto"/>
            <w:left w:val="none" w:sz="0" w:space="0" w:color="auto"/>
            <w:bottom w:val="none" w:sz="0" w:space="0" w:color="auto"/>
            <w:right w:val="none" w:sz="0" w:space="0" w:color="auto"/>
          </w:divBdr>
        </w:div>
        <w:div w:id="961376223">
          <w:marLeft w:val="0"/>
          <w:marRight w:val="0"/>
          <w:marTop w:val="0"/>
          <w:marBottom w:val="0"/>
          <w:divBdr>
            <w:top w:val="none" w:sz="0" w:space="0" w:color="auto"/>
            <w:left w:val="none" w:sz="0" w:space="0" w:color="auto"/>
            <w:bottom w:val="none" w:sz="0" w:space="0" w:color="auto"/>
            <w:right w:val="none" w:sz="0" w:space="0" w:color="auto"/>
          </w:divBdr>
        </w:div>
        <w:div w:id="1059791949">
          <w:marLeft w:val="0"/>
          <w:marRight w:val="0"/>
          <w:marTop w:val="0"/>
          <w:marBottom w:val="0"/>
          <w:divBdr>
            <w:top w:val="none" w:sz="0" w:space="0" w:color="auto"/>
            <w:left w:val="none" w:sz="0" w:space="0" w:color="auto"/>
            <w:bottom w:val="none" w:sz="0" w:space="0" w:color="auto"/>
            <w:right w:val="none" w:sz="0" w:space="0" w:color="auto"/>
          </w:divBdr>
        </w:div>
        <w:div w:id="1060402256">
          <w:marLeft w:val="0"/>
          <w:marRight w:val="0"/>
          <w:marTop w:val="0"/>
          <w:marBottom w:val="0"/>
          <w:divBdr>
            <w:top w:val="none" w:sz="0" w:space="0" w:color="auto"/>
            <w:left w:val="none" w:sz="0" w:space="0" w:color="auto"/>
            <w:bottom w:val="none" w:sz="0" w:space="0" w:color="auto"/>
            <w:right w:val="none" w:sz="0" w:space="0" w:color="auto"/>
          </w:divBdr>
        </w:div>
        <w:div w:id="1092047167">
          <w:marLeft w:val="0"/>
          <w:marRight w:val="0"/>
          <w:marTop w:val="0"/>
          <w:marBottom w:val="0"/>
          <w:divBdr>
            <w:top w:val="none" w:sz="0" w:space="0" w:color="auto"/>
            <w:left w:val="none" w:sz="0" w:space="0" w:color="auto"/>
            <w:bottom w:val="none" w:sz="0" w:space="0" w:color="auto"/>
            <w:right w:val="none" w:sz="0" w:space="0" w:color="auto"/>
          </w:divBdr>
        </w:div>
        <w:div w:id="1102144975">
          <w:marLeft w:val="0"/>
          <w:marRight w:val="0"/>
          <w:marTop w:val="0"/>
          <w:marBottom w:val="0"/>
          <w:divBdr>
            <w:top w:val="none" w:sz="0" w:space="0" w:color="auto"/>
            <w:left w:val="none" w:sz="0" w:space="0" w:color="auto"/>
            <w:bottom w:val="none" w:sz="0" w:space="0" w:color="auto"/>
            <w:right w:val="none" w:sz="0" w:space="0" w:color="auto"/>
          </w:divBdr>
        </w:div>
        <w:div w:id="1184396687">
          <w:marLeft w:val="0"/>
          <w:marRight w:val="0"/>
          <w:marTop w:val="0"/>
          <w:marBottom w:val="0"/>
          <w:divBdr>
            <w:top w:val="none" w:sz="0" w:space="0" w:color="auto"/>
            <w:left w:val="none" w:sz="0" w:space="0" w:color="auto"/>
            <w:bottom w:val="none" w:sz="0" w:space="0" w:color="auto"/>
            <w:right w:val="none" w:sz="0" w:space="0" w:color="auto"/>
          </w:divBdr>
        </w:div>
        <w:div w:id="1658414681">
          <w:marLeft w:val="0"/>
          <w:marRight w:val="0"/>
          <w:marTop w:val="0"/>
          <w:marBottom w:val="0"/>
          <w:divBdr>
            <w:top w:val="none" w:sz="0" w:space="0" w:color="auto"/>
            <w:left w:val="none" w:sz="0" w:space="0" w:color="auto"/>
            <w:bottom w:val="none" w:sz="0" w:space="0" w:color="auto"/>
            <w:right w:val="none" w:sz="0" w:space="0" w:color="auto"/>
          </w:divBdr>
        </w:div>
        <w:div w:id="1768770113">
          <w:marLeft w:val="0"/>
          <w:marRight w:val="0"/>
          <w:marTop w:val="0"/>
          <w:marBottom w:val="0"/>
          <w:divBdr>
            <w:top w:val="none" w:sz="0" w:space="0" w:color="auto"/>
            <w:left w:val="none" w:sz="0" w:space="0" w:color="auto"/>
            <w:bottom w:val="none" w:sz="0" w:space="0" w:color="auto"/>
            <w:right w:val="none" w:sz="0" w:space="0" w:color="auto"/>
          </w:divBdr>
        </w:div>
        <w:div w:id="2053773135">
          <w:marLeft w:val="0"/>
          <w:marRight w:val="0"/>
          <w:marTop w:val="0"/>
          <w:marBottom w:val="0"/>
          <w:divBdr>
            <w:top w:val="none" w:sz="0" w:space="0" w:color="auto"/>
            <w:left w:val="none" w:sz="0" w:space="0" w:color="auto"/>
            <w:bottom w:val="none" w:sz="0" w:space="0" w:color="auto"/>
            <w:right w:val="none" w:sz="0" w:space="0" w:color="auto"/>
          </w:divBdr>
        </w:div>
        <w:div w:id="2056999045">
          <w:marLeft w:val="0"/>
          <w:marRight w:val="0"/>
          <w:marTop w:val="0"/>
          <w:marBottom w:val="0"/>
          <w:divBdr>
            <w:top w:val="none" w:sz="0" w:space="0" w:color="auto"/>
            <w:left w:val="none" w:sz="0" w:space="0" w:color="auto"/>
            <w:bottom w:val="none" w:sz="0" w:space="0" w:color="auto"/>
            <w:right w:val="none" w:sz="0" w:space="0" w:color="auto"/>
          </w:divBdr>
        </w:div>
        <w:div w:id="2122873859">
          <w:marLeft w:val="0"/>
          <w:marRight w:val="0"/>
          <w:marTop w:val="0"/>
          <w:marBottom w:val="0"/>
          <w:divBdr>
            <w:top w:val="none" w:sz="0" w:space="0" w:color="auto"/>
            <w:left w:val="none" w:sz="0" w:space="0" w:color="auto"/>
            <w:bottom w:val="none" w:sz="0" w:space="0" w:color="auto"/>
            <w:right w:val="none" w:sz="0" w:space="0" w:color="auto"/>
          </w:divBdr>
        </w:div>
      </w:divsChild>
    </w:div>
    <w:div w:id="1681083665">
      <w:bodyDiv w:val="1"/>
      <w:marLeft w:val="0"/>
      <w:marRight w:val="0"/>
      <w:marTop w:val="0"/>
      <w:marBottom w:val="0"/>
      <w:divBdr>
        <w:top w:val="none" w:sz="0" w:space="0" w:color="auto"/>
        <w:left w:val="none" w:sz="0" w:space="0" w:color="auto"/>
        <w:bottom w:val="none" w:sz="0" w:space="0" w:color="auto"/>
        <w:right w:val="none" w:sz="0" w:space="0" w:color="auto"/>
      </w:divBdr>
    </w:div>
    <w:div w:id="1681200083">
      <w:bodyDiv w:val="1"/>
      <w:marLeft w:val="0"/>
      <w:marRight w:val="0"/>
      <w:marTop w:val="0"/>
      <w:marBottom w:val="0"/>
      <w:divBdr>
        <w:top w:val="none" w:sz="0" w:space="0" w:color="auto"/>
        <w:left w:val="none" w:sz="0" w:space="0" w:color="auto"/>
        <w:bottom w:val="none" w:sz="0" w:space="0" w:color="auto"/>
        <w:right w:val="none" w:sz="0" w:space="0" w:color="auto"/>
      </w:divBdr>
      <w:divsChild>
        <w:div w:id="1895726485">
          <w:marLeft w:val="0"/>
          <w:marRight w:val="0"/>
          <w:marTop w:val="0"/>
          <w:marBottom w:val="0"/>
          <w:divBdr>
            <w:top w:val="none" w:sz="0" w:space="0" w:color="auto"/>
            <w:left w:val="none" w:sz="0" w:space="0" w:color="auto"/>
            <w:bottom w:val="none" w:sz="0" w:space="0" w:color="auto"/>
            <w:right w:val="none" w:sz="0" w:space="0" w:color="auto"/>
          </w:divBdr>
          <w:divsChild>
            <w:div w:id="187984332">
              <w:marLeft w:val="0"/>
              <w:marRight w:val="0"/>
              <w:marTop w:val="0"/>
              <w:marBottom w:val="0"/>
              <w:divBdr>
                <w:top w:val="none" w:sz="0" w:space="0" w:color="auto"/>
                <w:left w:val="none" w:sz="0" w:space="0" w:color="auto"/>
                <w:bottom w:val="none" w:sz="0" w:space="0" w:color="auto"/>
                <w:right w:val="none" w:sz="0" w:space="0" w:color="auto"/>
              </w:divBdr>
            </w:div>
            <w:div w:id="230625146">
              <w:marLeft w:val="0"/>
              <w:marRight w:val="0"/>
              <w:marTop w:val="0"/>
              <w:marBottom w:val="0"/>
              <w:divBdr>
                <w:top w:val="none" w:sz="0" w:space="0" w:color="auto"/>
                <w:left w:val="none" w:sz="0" w:space="0" w:color="auto"/>
                <w:bottom w:val="none" w:sz="0" w:space="0" w:color="auto"/>
                <w:right w:val="none" w:sz="0" w:space="0" w:color="auto"/>
              </w:divBdr>
            </w:div>
            <w:div w:id="259487282">
              <w:marLeft w:val="0"/>
              <w:marRight w:val="0"/>
              <w:marTop w:val="0"/>
              <w:marBottom w:val="0"/>
              <w:divBdr>
                <w:top w:val="none" w:sz="0" w:space="0" w:color="auto"/>
                <w:left w:val="none" w:sz="0" w:space="0" w:color="auto"/>
                <w:bottom w:val="none" w:sz="0" w:space="0" w:color="auto"/>
                <w:right w:val="none" w:sz="0" w:space="0" w:color="auto"/>
              </w:divBdr>
            </w:div>
            <w:div w:id="294719181">
              <w:marLeft w:val="0"/>
              <w:marRight w:val="0"/>
              <w:marTop w:val="0"/>
              <w:marBottom w:val="0"/>
              <w:divBdr>
                <w:top w:val="none" w:sz="0" w:space="0" w:color="auto"/>
                <w:left w:val="none" w:sz="0" w:space="0" w:color="auto"/>
                <w:bottom w:val="none" w:sz="0" w:space="0" w:color="auto"/>
                <w:right w:val="none" w:sz="0" w:space="0" w:color="auto"/>
              </w:divBdr>
            </w:div>
            <w:div w:id="396368137">
              <w:marLeft w:val="0"/>
              <w:marRight w:val="0"/>
              <w:marTop w:val="0"/>
              <w:marBottom w:val="0"/>
              <w:divBdr>
                <w:top w:val="none" w:sz="0" w:space="0" w:color="auto"/>
                <w:left w:val="none" w:sz="0" w:space="0" w:color="auto"/>
                <w:bottom w:val="none" w:sz="0" w:space="0" w:color="auto"/>
                <w:right w:val="none" w:sz="0" w:space="0" w:color="auto"/>
              </w:divBdr>
            </w:div>
            <w:div w:id="426195194">
              <w:marLeft w:val="0"/>
              <w:marRight w:val="0"/>
              <w:marTop w:val="0"/>
              <w:marBottom w:val="0"/>
              <w:divBdr>
                <w:top w:val="none" w:sz="0" w:space="0" w:color="auto"/>
                <w:left w:val="none" w:sz="0" w:space="0" w:color="auto"/>
                <w:bottom w:val="none" w:sz="0" w:space="0" w:color="auto"/>
                <w:right w:val="none" w:sz="0" w:space="0" w:color="auto"/>
              </w:divBdr>
            </w:div>
            <w:div w:id="432284335">
              <w:marLeft w:val="0"/>
              <w:marRight w:val="0"/>
              <w:marTop w:val="0"/>
              <w:marBottom w:val="0"/>
              <w:divBdr>
                <w:top w:val="none" w:sz="0" w:space="0" w:color="auto"/>
                <w:left w:val="none" w:sz="0" w:space="0" w:color="auto"/>
                <w:bottom w:val="none" w:sz="0" w:space="0" w:color="auto"/>
                <w:right w:val="none" w:sz="0" w:space="0" w:color="auto"/>
              </w:divBdr>
            </w:div>
            <w:div w:id="556018903">
              <w:marLeft w:val="0"/>
              <w:marRight w:val="0"/>
              <w:marTop w:val="0"/>
              <w:marBottom w:val="0"/>
              <w:divBdr>
                <w:top w:val="none" w:sz="0" w:space="0" w:color="auto"/>
                <w:left w:val="none" w:sz="0" w:space="0" w:color="auto"/>
                <w:bottom w:val="none" w:sz="0" w:space="0" w:color="auto"/>
                <w:right w:val="none" w:sz="0" w:space="0" w:color="auto"/>
              </w:divBdr>
            </w:div>
            <w:div w:id="677081041">
              <w:marLeft w:val="0"/>
              <w:marRight w:val="0"/>
              <w:marTop w:val="0"/>
              <w:marBottom w:val="0"/>
              <w:divBdr>
                <w:top w:val="none" w:sz="0" w:space="0" w:color="auto"/>
                <w:left w:val="none" w:sz="0" w:space="0" w:color="auto"/>
                <w:bottom w:val="none" w:sz="0" w:space="0" w:color="auto"/>
                <w:right w:val="none" w:sz="0" w:space="0" w:color="auto"/>
              </w:divBdr>
            </w:div>
            <w:div w:id="872963175">
              <w:marLeft w:val="0"/>
              <w:marRight w:val="0"/>
              <w:marTop w:val="0"/>
              <w:marBottom w:val="0"/>
              <w:divBdr>
                <w:top w:val="none" w:sz="0" w:space="0" w:color="auto"/>
                <w:left w:val="none" w:sz="0" w:space="0" w:color="auto"/>
                <w:bottom w:val="none" w:sz="0" w:space="0" w:color="auto"/>
                <w:right w:val="none" w:sz="0" w:space="0" w:color="auto"/>
              </w:divBdr>
            </w:div>
            <w:div w:id="938951053">
              <w:marLeft w:val="0"/>
              <w:marRight w:val="0"/>
              <w:marTop w:val="0"/>
              <w:marBottom w:val="0"/>
              <w:divBdr>
                <w:top w:val="none" w:sz="0" w:space="0" w:color="auto"/>
                <w:left w:val="none" w:sz="0" w:space="0" w:color="auto"/>
                <w:bottom w:val="none" w:sz="0" w:space="0" w:color="auto"/>
                <w:right w:val="none" w:sz="0" w:space="0" w:color="auto"/>
              </w:divBdr>
            </w:div>
            <w:div w:id="974795002">
              <w:marLeft w:val="0"/>
              <w:marRight w:val="0"/>
              <w:marTop w:val="0"/>
              <w:marBottom w:val="0"/>
              <w:divBdr>
                <w:top w:val="none" w:sz="0" w:space="0" w:color="auto"/>
                <w:left w:val="none" w:sz="0" w:space="0" w:color="auto"/>
                <w:bottom w:val="none" w:sz="0" w:space="0" w:color="auto"/>
                <w:right w:val="none" w:sz="0" w:space="0" w:color="auto"/>
              </w:divBdr>
            </w:div>
            <w:div w:id="1045330335">
              <w:marLeft w:val="0"/>
              <w:marRight w:val="0"/>
              <w:marTop w:val="0"/>
              <w:marBottom w:val="0"/>
              <w:divBdr>
                <w:top w:val="none" w:sz="0" w:space="0" w:color="auto"/>
                <w:left w:val="none" w:sz="0" w:space="0" w:color="auto"/>
                <w:bottom w:val="none" w:sz="0" w:space="0" w:color="auto"/>
                <w:right w:val="none" w:sz="0" w:space="0" w:color="auto"/>
              </w:divBdr>
            </w:div>
            <w:div w:id="1121142968">
              <w:marLeft w:val="0"/>
              <w:marRight w:val="0"/>
              <w:marTop w:val="0"/>
              <w:marBottom w:val="0"/>
              <w:divBdr>
                <w:top w:val="none" w:sz="0" w:space="0" w:color="auto"/>
                <w:left w:val="none" w:sz="0" w:space="0" w:color="auto"/>
                <w:bottom w:val="none" w:sz="0" w:space="0" w:color="auto"/>
                <w:right w:val="none" w:sz="0" w:space="0" w:color="auto"/>
              </w:divBdr>
            </w:div>
            <w:div w:id="1232815573">
              <w:marLeft w:val="0"/>
              <w:marRight w:val="0"/>
              <w:marTop w:val="0"/>
              <w:marBottom w:val="0"/>
              <w:divBdr>
                <w:top w:val="none" w:sz="0" w:space="0" w:color="auto"/>
                <w:left w:val="none" w:sz="0" w:space="0" w:color="auto"/>
                <w:bottom w:val="none" w:sz="0" w:space="0" w:color="auto"/>
                <w:right w:val="none" w:sz="0" w:space="0" w:color="auto"/>
              </w:divBdr>
            </w:div>
            <w:div w:id="1372994054">
              <w:marLeft w:val="0"/>
              <w:marRight w:val="0"/>
              <w:marTop w:val="0"/>
              <w:marBottom w:val="0"/>
              <w:divBdr>
                <w:top w:val="none" w:sz="0" w:space="0" w:color="auto"/>
                <w:left w:val="none" w:sz="0" w:space="0" w:color="auto"/>
                <w:bottom w:val="none" w:sz="0" w:space="0" w:color="auto"/>
                <w:right w:val="none" w:sz="0" w:space="0" w:color="auto"/>
              </w:divBdr>
            </w:div>
            <w:div w:id="1423867738">
              <w:marLeft w:val="0"/>
              <w:marRight w:val="0"/>
              <w:marTop w:val="0"/>
              <w:marBottom w:val="0"/>
              <w:divBdr>
                <w:top w:val="none" w:sz="0" w:space="0" w:color="auto"/>
                <w:left w:val="none" w:sz="0" w:space="0" w:color="auto"/>
                <w:bottom w:val="none" w:sz="0" w:space="0" w:color="auto"/>
                <w:right w:val="none" w:sz="0" w:space="0" w:color="auto"/>
              </w:divBdr>
            </w:div>
            <w:div w:id="1546327786">
              <w:marLeft w:val="0"/>
              <w:marRight w:val="0"/>
              <w:marTop w:val="0"/>
              <w:marBottom w:val="0"/>
              <w:divBdr>
                <w:top w:val="none" w:sz="0" w:space="0" w:color="auto"/>
                <w:left w:val="none" w:sz="0" w:space="0" w:color="auto"/>
                <w:bottom w:val="none" w:sz="0" w:space="0" w:color="auto"/>
                <w:right w:val="none" w:sz="0" w:space="0" w:color="auto"/>
              </w:divBdr>
            </w:div>
            <w:div w:id="1571769442">
              <w:marLeft w:val="0"/>
              <w:marRight w:val="0"/>
              <w:marTop w:val="0"/>
              <w:marBottom w:val="0"/>
              <w:divBdr>
                <w:top w:val="none" w:sz="0" w:space="0" w:color="auto"/>
                <w:left w:val="none" w:sz="0" w:space="0" w:color="auto"/>
                <w:bottom w:val="none" w:sz="0" w:space="0" w:color="auto"/>
                <w:right w:val="none" w:sz="0" w:space="0" w:color="auto"/>
              </w:divBdr>
            </w:div>
            <w:div w:id="1691375606">
              <w:marLeft w:val="0"/>
              <w:marRight w:val="0"/>
              <w:marTop w:val="0"/>
              <w:marBottom w:val="0"/>
              <w:divBdr>
                <w:top w:val="none" w:sz="0" w:space="0" w:color="auto"/>
                <w:left w:val="none" w:sz="0" w:space="0" w:color="auto"/>
                <w:bottom w:val="none" w:sz="0" w:space="0" w:color="auto"/>
                <w:right w:val="none" w:sz="0" w:space="0" w:color="auto"/>
              </w:divBdr>
            </w:div>
            <w:div w:id="1700281581">
              <w:marLeft w:val="0"/>
              <w:marRight w:val="0"/>
              <w:marTop w:val="0"/>
              <w:marBottom w:val="0"/>
              <w:divBdr>
                <w:top w:val="none" w:sz="0" w:space="0" w:color="auto"/>
                <w:left w:val="none" w:sz="0" w:space="0" w:color="auto"/>
                <w:bottom w:val="none" w:sz="0" w:space="0" w:color="auto"/>
                <w:right w:val="none" w:sz="0" w:space="0" w:color="auto"/>
              </w:divBdr>
            </w:div>
            <w:div w:id="1713187080">
              <w:marLeft w:val="0"/>
              <w:marRight w:val="0"/>
              <w:marTop w:val="0"/>
              <w:marBottom w:val="0"/>
              <w:divBdr>
                <w:top w:val="none" w:sz="0" w:space="0" w:color="auto"/>
                <w:left w:val="none" w:sz="0" w:space="0" w:color="auto"/>
                <w:bottom w:val="none" w:sz="0" w:space="0" w:color="auto"/>
                <w:right w:val="none" w:sz="0" w:space="0" w:color="auto"/>
              </w:divBdr>
            </w:div>
            <w:div w:id="1714766701">
              <w:marLeft w:val="0"/>
              <w:marRight w:val="0"/>
              <w:marTop w:val="0"/>
              <w:marBottom w:val="0"/>
              <w:divBdr>
                <w:top w:val="none" w:sz="0" w:space="0" w:color="auto"/>
                <w:left w:val="none" w:sz="0" w:space="0" w:color="auto"/>
                <w:bottom w:val="none" w:sz="0" w:space="0" w:color="auto"/>
                <w:right w:val="none" w:sz="0" w:space="0" w:color="auto"/>
              </w:divBdr>
            </w:div>
            <w:div w:id="1779324573">
              <w:marLeft w:val="0"/>
              <w:marRight w:val="0"/>
              <w:marTop w:val="0"/>
              <w:marBottom w:val="0"/>
              <w:divBdr>
                <w:top w:val="none" w:sz="0" w:space="0" w:color="auto"/>
                <w:left w:val="none" w:sz="0" w:space="0" w:color="auto"/>
                <w:bottom w:val="none" w:sz="0" w:space="0" w:color="auto"/>
                <w:right w:val="none" w:sz="0" w:space="0" w:color="auto"/>
              </w:divBdr>
            </w:div>
            <w:div w:id="1801873184">
              <w:marLeft w:val="0"/>
              <w:marRight w:val="0"/>
              <w:marTop w:val="0"/>
              <w:marBottom w:val="0"/>
              <w:divBdr>
                <w:top w:val="none" w:sz="0" w:space="0" w:color="auto"/>
                <w:left w:val="none" w:sz="0" w:space="0" w:color="auto"/>
                <w:bottom w:val="none" w:sz="0" w:space="0" w:color="auto"/>
                <w:right w:val="none" w:sz="0" w:space="0" w:color="auto"/>
              </w:divBdr>
            </w:div>
            <w:div w:id="1804928115">
              <w:marLeft w:val="0"/>
              <w:marRight w:val="0"/>
              <w:marTop w:val="0"/>
              <w:marBottom w:val="0"/>
              <w:divBdr>
                <w:top w:val="none" w:sz="0" w:space="0" w:color="auto"/>
                <w:left w:val="none" w:sz="0" w:space="0" w:color="auto"/>
                <w:bottom w:val="none" w:sz="0" w:space="0" w:color="auto"/>
                <w:right w:val="none" w:sz="0" w:space="0" w:color="auto"/>
              </w:divBdr>
            </w:div>
            <w:div w:id="1883705605">
              <w:marLeft w:val="0"/>
              <w:marRight w:val="0"/>
              <w:marTop w:val="0"/>
              <w:marBottom w:val="0"/>
              <w:divBdr>
                <w:top w:val="none" w:sz="0" w:space="0" w:color="auto"/>
                <w:left w:val="none" w:sz="0" w:space="0" w:color="auto"/>
                <w:bottom w:val="none" w:sz="0" w:space="0" w:color="auto"/>
                <w:right w:val="none" w:sz="0" w:space="0" w:color="auto"/>
              </w:divBdr>
            </w:div>
            <w:div w:id="1900282021">
              <w:marLeft w:val="0"/>
              <w:marRight w:val="0"/>
              <w:marTop w:val="0"/>
              <w:marBottom w:val="0"/>
              <w:divBdr>
                <w:top w:val="none" w:sz="0" w:space="0" w:color="auto"/>
                <w:left w:val="none" w:sz="0" w:space="0" w:color="auto"/>
                <w:bottom w:val="none" w:sz="0" w:space="0" w:color="auto"/>
                <w:right w:val="none" w:sz="0" w:space="0" w:color="auto"/>
              </w:divBdr>
            </w:div>
            <w:div w:id="1929344556">
              <w:marLeft w:val="0"/>
              <w:marRight w:val="0"/>
              <w:marTop w:val="0"/>
              <w:marBottom w:val="0"/>
              <w:divBdr>
                <w:top w:val="none" w:sz="0" w:space="0" w:color="auto"/>
                <w:left w:val="none" w:sz="0" w:space="0" w:color="auto"/>
                <w:bottom w:val="none" w:sz="0" w:space="0" w:color="auto"/>
                <w:right w:val="none" w:sz="0" w:space="0" w:color="auto"/>
              </w:divBdr>
            </w:div>
            <w:div w:id="211617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194535">
      <w:bodyDiv w:val="1"/>
      <w:marLeft w:val="0"/>
      <w:marRight w:val="0"/>
      <w:marTop w:val="0"/>
      <w:marBottom w:val="0"/>
      <w:divBdr>
        <w:top w:val="none" w:sz="0" w:space="0" w:color="auto"/>
        <w:left w:val="none" w:sz="0" w:space="0" w:color="auto"/>
        <w:bottom w:val="none" w:sz="0" w:space="0" w:color="auto"/>
        <w:right w:val="none" w:sz="0" w:space="0" w:color="auto"/>
      </w:divBdr>
      <w:divsChild>
        <w:div w:id="1432581708">
          <w:marLeft w:val="0"/>
          <w:marRight w:val="0"/>
          <w:marTop w:val="0"/>
          <w:marBottom w:val="0"/>
          <w:divBdr>
            <w:top w:val="none" w:sz="0" w:space="0" w:color="auto"/>
            <w:left w:val="none" w:sz="0" w:space="0" w:color="auto"/>
            <w:bottom w:val="none" w:sz="0" w:space="0" w:color="auto"/>
            <w:right w:val="none" w:sz="0" w:space="0" w:color="auto"/>
          </w:divBdr>
        </w:div>
      </w:divsChild>
    </w:div>
    <w:div w:id="1684434073">
      <w:bodyDiv w:val="1"/>
      <w:marLeft w:val="0"/>
      <w:marRight w:val="0"/>
      <w:marTop w:val="0"/>
      <w:marBottom w:val="0"/>
      <w:divBdr>
        <w:top w:val="none" w:sz="0" w:space="0" w:color="auto"/>
        <w:left w:val="none" w:sz="0" w:space="0" w:color="auto"/>
        <w:bottom w:val="none" w:sz="0" w:space="0" w:color="auto"/>
        <w:right w:val="none" w:sz="0" w:space="0" w:color="auto"/>
      </w:divBdr>
    </w:div>
    <w:div w:id="1691376939">
      <w:bodyDiv w:val="1"/>
      <w:marLeft w:val="0"/>
      <w:marRight w:val="0"/>
      <w:marTop w:val="0"/>
      <w:marBottom w:val="0"/>
      <w:divBdr>
        <w:top w:val="none" w:sz="0" w:space="0" w:color="auto"/>
        <w:left w:val="none" w:sz="0" w:space="0" w:color="auto"/>
        <w:bottom w:val="none" w:sz="0" w:space="0" w:color="auto"/>
        <w:right w:val="none" w:sz="0" w:space="0" w:color="auto"/>
      </w:divBdr>
    </w:div>
    <w:div w:id="1699352553">
      <w:bodyDiv w:val="1"/>
      <w:marLeft w:val="0"/>
      <w:marRight w:val="0"/>
      <w:marTop w:val="0"/>
      <w:marBottom w:val="0"/>
      <w:divBdr>
        <w:top w:val="none" w:sz="0" w:space="0" w:color="auto"/>
        <w:left w:val="none" w:sz="0" w:space="0" w:color="auto"/>
        <w:bottom w:val="none" w:sz="0" w:space="0" w:color="auto"/>
        <w:right w:val="none" w:sz="0" w:space="0" w:color="auto"/>
      </w:divBdr>
      <w:divsChild>
        <w:div w:id="10448848">
          <w:marLeft w:val="0"/>
          <w:marRight w:val="0"/>
          <w:marTop w:val="0"/>
          <w:marBottom w:val="0"/>
          <w:divBdr>
            <w:top w:val="none" w:sz="0" w:space="0" w:color="auto"/>
            <w:left w:val="none" w:sz="0" w:space="0" w:color="auto"/>
            <w:bottom w:val="none" w:sz="0" w:space="0" w:color="auto"/>
            <w:right w:val="none" w:sz="0" w:space="0" w:color="auto"/>
          </w:divBdr>
        </w:div>
        <w:div w:id="31655962">
          <w:marLeft w:val="0"/>
          <w:marRight w:val="0"/>
          <w:marTop w:val="0"/>
          <w:marBottom w:val="0"/>
          <w:divBdr>
            <w:top w:val="none" w:sz="0" w:space="0" w:color="auto"/>
            <w:left w:val="none" w:sz="0" w:space="0" w:color="auto"/>
            <w:bottom w:val="none" w:sz="0" w:space="0" w:color="auto"/>
            <w:right w:val="none" w:sz="0" w:space="0" w:color="auto"/>
          </w:divBdr>
        </w:div>
        <w:div w:id="120224822">
          <w:marLeft w:val="0"/>
          <w:marRight w:val="0"/>
          <w:marTop w:val="0"/>
          <w:marBottom w:val="0"/>
          <w:divBdr>
            <w:top w:val="none" w:sz="0" w:space="0" w:color="auto"/>
            <w:left w:val="none" w:sz="0" w:space="0" w:color="auto"/>
            <w:bottom w:val="none" w:sz="0" w:space="0" w:color="auto"/>
            <w:right w:val="none" w:sz="0" w:space="0" w:color="auto"/>
          </w:divBdr>
        </w:div>
        <w:div w:id="174347926">
          <w:marLeft w:val="0"/>
          <w:marRight w:val="0"/>
          <w:marTop w:val="0"/>
          <w:marBottom w:val="0"/>
          <w:divBdr>
            <w:top w:val="none" w:sz="0" w:space="0" w:color="auto"/>
            <w:left w:val="none" w:sz="0" w:space="0" w:color="auto"/>
            <w:bottom w:val="none" w:sz="0" w:space="0" w:color="auto"/>
            <w:right w:val="none" w:sz="0" w:space="0" w:color="auto"/>
          </w:divBdr>
        </w:div>
        <w:div w:id="218370661">
          <w:marLeft w:val="0"/>
          <w:marRight w:val="0"/>
          <w:marTop w:val="0"/>
          <w:marBottom w:val="0"/>
          <w:divBdr>
            <w:top w:val="none" w:sz="0" w:space="0" w:color="auto"/>
            <w:left w:val="none" w:sz="0" w:space="0" w:color="auto"/>
            <w:bottom w:val="none" w:sz="0" w:space="0" w:color="auto"/>
            <w:right w:val="none" w:sz="0" w:space="0" w:color="auto"/>
          </w:divBdr>
        </w:div>
        <w:div w:id="218707554">
          <w:marLeft w:val="0"/>
          <w:marRight w:val="0"/>
          <w:marTop w:val="0"/>
          <w:marBottom w:val="0"/>
          <w:divBdr>
            <w:top w:val="none" w:sz="0" w:space="0" w:color="auto"/>
            <w:left w:val="none" w:sz="0" w:space="0" w:color="auto"/>
            <w:bottom w:val="none" w:sz="0" w:space="0" w:color="auto"/>
            <w:right w:val="none" w:sz="0" w:space="0" w:color="auto"/>
          </w:divBdr>
        </w:div>
        <w:div w:id="235826154">
          <w:marLeft w:val="0"/>
          <w:marRight w:val="0"/>
          <w:marTop w:val="0"/>
          <w:marBottom w:val="0"/>
          <w:divBdr>
            <w:top w:val="none" w:sz="0" w:space="0" w:color="auto"/>
            <w:left w:val="none" w:sz="0" w:space="0" w:color="auto"/>
            <w:bottom w:val="none" w:sz="0" w:space="0" w:color="auto"/>
            <w:right w:val="none" w:sz="0" w:space="0" w:color="auto"/>
          </w:divBdr>
        </w:div>
        <w:div w:id="274334684">
          <w:marLeft w:val="0"/>
          <w:marRight w:val="0"/>
          <w:marTop w:val="0"/>
          <w:marBottom w:val="0"/>
          <w:divBdr>
            <w:top w:val="none" w:sz="0" w:space="0" w:color="auto"/>
            <w:left w:val="none" w:sz="0" w:space="0" w:color="auto"/>
            <w:bottom w:val="none" w:sz="0" w:space="0" w:color="auto"/>
            <w:right w:val="none" w:sz="0" w:space="0" w:color="auto"/>
          </w:divBdr>
        </w:div>
        <w:div w:id="359817803">
          <w:marLeft w:val="0"/>
          <w:marRight w:val="0"/>
          <w:marTop w:val="0"/>
          <w:marBottom w:val="0"/>
          <w:divBdr>
            <w:top w:val="none" w:sz="0" w:space="0" w:color="auto"/>
            <w:left w:val="none" w:sz="0" w:space="0" w:color="auto"/>
            <w:bottom w:val="none" w:sz="0" w:space="0" w:color="auto"/>
            <w:right w:val="none" w:sz="0" w:space="0" w:color="auto"/>
          </w:divBdr>
        </w:div>
        <w:div w:id="365451051">
          <w:marLeft w:val="0"/>
          <w:marRight w:val="0"/>
          <w:marTop w:val="0"/>
          <w:marBottom w:val="0"/>
          <w:divBdr>
            <w:top w:val="none" w:sz="0" w:space="0" w:color="auto"/>
            <w:left w:val="none" w:sz="0" w:space="0" w:color="auto"/>
            <w:bottom w:val="none" w:sz="0" w:space="0" w:color="auto"/>
            <w:right w:val="none" w:sz="0" w:space="0" w:color="auto"/>
          </w:divBdr>
        </w:div>
        <w:div w:id="406342668">
          <w:marLeft w:val="0"/>
          <w:marRight w:val="0"/>
          <w:marTop w:val="0"/>
          <w:marBottom w:val="0"/>
          <w:divBdr>
            <w:top w:val="none" w:sz="0" w:space="0" w:color="auto"/>
            <w:left w:val="none" w:sz="0" w:space="0" w:color="auto"/>
            <w:bottom w:val="none" w:sz="0" w:space="0" w:color="auto"/>
            <w:right w:val="none" w:sz="0" w:space="0" w:color="auto"/>
          </w:divBdr>
        </w:div>
        <w:div w:id="409273305">
          <w:marLeft w:val="0"/>
          <w:marRight w:val="0"/>
          <w:marTop w:val="0"/>
          <w:marBottom w:val="0"/>
          <w:divBdr>
            <w:top w:val="none" w:sz="0" w:space="0" w:color="auto"/>
            <w:left w:val="none" w:sz="0" w:space="0" w:color="auto"/>
            <w:bottom w:val="none" w:sz="0" w:space="0" w:color="auto"/>
            <w:right w:val="none" w:sz="0" w:space="0" w:color="auto"/>
          </w:divBdr>
        </w:div>
        <w:div w:id="447242152">
          <w:marLeft w:val="0"/>
          <w:marRight w:val="0"/>
          <w:marTop w:val="0"/>
          <w:marBottom w:val="0"/>
          <w:divBdr>
            <w:top w:val="none" w:sz="0" w:space="0" w:color="auto"/>
            <w:left w:val="none" w:sz="0" w:space="0" w:color="auto"/>
            <w:bottom w:val="none" w:sz="0" w:space="0" w:color="auto"/>
            <w:right w:val="none" w:sz="0" w:space="0" w:color="auto"/>
          </w:divBdr>
        </w:div>
        <w:div w:id="475876206">
          <w:marLeft w:val="0"/>
          <w:marRight w:val="0"/>
          <w:marTop w:val="0"/>
          <w:marBottom w:val="0"/>
          <w:divBdr>
            <w:top w:val="none" w:sz="0" w:space="0" w:color="auto"/>
            <w:left w:val="none" w:sz="0" w:space="0" w:color="auto"/>
            <w:bottom w:val="none" w:sz="0" w:space="0" w:color="auto"/>
            <w:right w:val="none" w:sz="0" w:space="0" w:color="auto"/>
          </w:divBdr>
        </w:div>
        <w:div w:id="507521600">
          <w:marLeft w:val="0"/>
          <w:marRight w:val="0"/>
          <w:marTop w:val="0"/>
          <w:marBottom w:val="0"/>
          <w:divBdr>
            <w:top w:val="none" w:sz="0" w:space="0" w:color="auto"/>
            <w:left w:val="none" w:sz="0" w:space="0" w:color="auto"/>
            <w:bottom w:val="none" w:sz="0" w:space="0" w:color="auto"/>
            <w:right w:val="none" w:sz="0" w:space="0" w:color="auto"/>
          </w:divBdr>
        </w:div>
        <w:div w:id="561138748">
          <w:marLeft w:val="0"/>
          <w:marRight w:val="0"/>
          <w:marTop w:val="0"/>
          <w:marBottom w:val="0"/>
          <w:divBdr>
            <w:top w:val="none" w:sz="0" w:space="0" w:color="auto"/>
            <w:left w:val="none" w:sz="0" w:space="0" w:color="auto"/>
            <w:bottom w:val="none" w:sz="0" w:space="0" w:color="auto"/>
            <w:right w:val="none" w:sz="0" w:space="0" w:color="auto"/>
          </w:divBdr>
        </w:div>
        <w:div w:id="604774728">
          <w:marLeft w:val="0"/>
          <w:marRight w:val="0"/>
          <w:marTop w:val="0"/>
          <w:marBottom w:val="0"/>
          <w:divBdr>
            <w:top w:val="none" w:sz="0" w:space="0" w:color="auto"/>
            <w:left w:val="none" w:sz="0" w:space="0" w:color="auto"/>
            <w:bottom w:val="none" w:sz="0" w:space="0" w:color="auto"/>
            <w:right w:val="none" w:sz="0" w:space="0" w:color="auto"/>
          </w:divBdr>
        </w:div>
        <w:div w:id="666591062">
          <w:marLeft w:val="0"/>
          <w:marRight w:val="0"/>
          <w:marTop w:val="0"/>
          <w:marBottom w:val="0"/>
          <w:divBdr>
            <w:top w:val="none" w:sz="0" w:space="0" w:color="auto"/>
            <w:left w:val="none" w:sz="0" w:space="0" w:color="auto"/>
            <w:bottom w:val="none" w:sz="0" w:space="0" w:color="auto"/>
            <w:right w:val="none" w:sz="0" w:space="0" w:color="auto"/>
          </w:divBdr>
        </w:div>
        <w:div w:id="750540660">
          <w:marLeft w:val="0"/>
          <w:marRight w:val="0"/>
          <w:marTop w:val="0"/>
          <w:marBottom w:val="0"/>
          <w:divBdr>
            <w:top w:val="none" w:sz="0" w:space="0" w:color="auto"/>
            <w:left w:val="none" w:sz="0" w:space="0" w:color="auto"/>
            <w:bottom w:val="none" w:sz="0" w:space="0" w:color="auto"/>
            <w:right w:val="none" w:sz="0" w:space="0" w:color="auto"/>
          </w:divBdr>
        </w:div>
        <w:div w:id="771902733">
          <w:marLeft w:val="0"/>
          <w:marRight w:val="0"/>
          <w:marTop w:val="0"/>
          <w:marBottom w:val="0"/>
          <w:divBdr>
            <w:top w:val="none" w:sz="0" w:space="0" w:color="auto"/>
            <w:left w:val="none" w:sz="0" w:space="0" w:color="auto"/>
            <w:bottom w:val="none" w:sz="0" w:space="0" w:color="auto"/>
            <w:right w:val="none" w:sz="0" w:space="0" w:color="auto"/>
          </w:divBdr>
        </w:div>
        <w:div w:id="866333741">
          <w:marLeft w:val="0"/>
          <w:marRight w:val="0"/>
          <w:marTop w:val="0"/>
          <w:marBottom w:val="0"/>
          <w:divBdr>
            <w:top w:val="none" w:sz="0" w:space="0" w:color="auto"/>
            <w:left w:val="none" w:sz="0" w:space="0" w:color="auto"/>
            <w:bottom w:val="none" w:sz="0" w:space="0" w:color="auto"/>
            <w:right w:val="none" w:sz="0" w:space="0" w:color="auto"/>
          </w:divBdr>
        </w:div>
        <w:div w:id="883373670">
          <w:marLeft w:val="0"/>
          <w:marRight w:val="0"/>
          <w:marTop w:val="0"/>
          <w:marBottom w:val="0"/>
          <w:divBdr>
            <w:top w:val="none" w:sz="0" w:space="0" w:color="auto"/>
            <w:left w:val="none" w:sz="0" w:space="0" w:color="auto"/>
            <w:bottom w:val="none" w:sz="0" w:space="0" w:color="auto"/>
            <w:right w:val="none" w:sz="0" w:space="0" w:color="auto"/>
          </w:divBdr>
        </w:div>
        <w:div w:id="887647503">
          <w:marLeft w:val="0"/>
          <w:marRight w:val="0"/>
          <w:marTop w:val="0"/>
          <w:marBottom w:val="0"/>
          <w:divBdr>
            <w:top w:val="none" w:sz="0" w:space="0" w:color="auto"/>
            <w:left w:val="none" w:sz="0" w:space="0" w:color="auto"/>
            <w:bottom w:val="none" w:sz="0" w:space="0" w:color="auto"/>
            <w:right w:val="none" w:sz="0" w:space="0" w:color="auto"/>
          </w:divBdr>
        </w:div>
        <w:div w:id="922176965">
          <w:marLeft w:val="0"/>
          <w:marRight w:val="0"/>
          <w:marTop w:val="0"/>
          <w:marBottom w:val="0"/>
          <w:divBdr>
            <w:top w:val="none" w:sz="0" w:space="0" w:color="auto"/>
            <w:left w:val="none" w:sz="0" w:space="0" w:color="auto"/>
            <w:bottom w:val="none" w:sz="0" w:space="0" w:color="auto"/>
            <w:right w:val="none" w:sz="0" w:space="0" w:color="auto"/>
          </w:divBdr>
        </w:div>
        <w:div w:id="968509123">
          <w:marLeft w:val="0"/>
          <w:marRight w:val="0"/>
          <w:marTop w:val="0"/>
          <w:marBottom w:val="0"/>
          <w:divBdr>
            <w:top w:val="none" w:sz="0" w:space="0" w:color="auto"/>
            <w:left w:val="none" w:sz="0" w:space="0" w:color="auto"/>
            <w:bottom w:val="none" w:sz="0" w:space="0" w:color="auto"/>
            <w:right w:val="none" w:sz="0" w:space="0" w:color="auto"/>
          </w:divBdr>
        </w:div>
        <w:div w:id="976565357">
          <w:marLeft w:val="0"/>
          <w:marRight w:val="0"/>
          <w:marTop w:val="0"/>
          <w:marBottom w:val="0"/>
          <w:divBdr>
            <w:top w:val="none" w:sz="0" w:space="0" w:color="auto"/>
            <w:left w:val="none" w:sz="0" w:space="0" w:color="auto"/>
            <w:bottom w:val="none" w:sz="0" w:space="0" w:color="auto"/>
            <w:right w:val="none" w:sz="0" w:space="0" w:color="auto"/>
          </w:divBdr>
        </w:div>
        <w:div w:id="979070477">
          <w:marLeft w:val="0"/>
          <w:marRight w:val="0"/>
          <w:marTop w:val="0"/>
          <w:marBottom w:val="0"/>
          <w:divBdr>
            <w:top w:val="none" w:sz="0" w:space="0" w:color="auto"/>
            <w:left w:val="none" w:sz="0" w:space="0" w:color="auto"/>
            <w:bottom w:val="none" w:sz="0" w:space="0" w:color="auto"/>
            <w:right w:val="none" w:sz="0" w:space="0" w:color="auto"/>
          </w:divBdr>
        </w:div>
        <w:div w:id="979111638">
          <w:marLeft w:val="0"/>
          <w:marRight w:val="0"/>
          <w:marTop w:val="0"/>
          <w:marBottom w:val="0"/>
          <w:divBdr>
            <w:top w:val="none" w:sz="0" w:space="0" w:color="auto"/>
            <w:left w:val="none" w:sz="0" w:space="0" w:color="auto"/>
            <w:bottom w:val="none" w:sz="0" w:space="0" w:color="auto"/>
            <w:right w:val="none" w:sz="0" w:space="0" w:color="auto"/>
          </w:divBdr>
        </w:div>
        <w:div w:id="1087965486">
          <w:marLeft w:val="0"/>
          <w:marRight w:val="0"/>
          <w:marTop w:val="0"/>
          <w:marBottom w:val="0"/>
          <w:divBdr>
            <w:top w:val="none" w:sz="0" w:space="0" w:color="auto"/>
            <w:left w:val="none" w:sz="0" w:space="0" w:color="auto"/>
            <w:bottom w:val="none" w:sz="0" w:space="0" w:color="auto"/>
            <w:right w:val="none" w:sz="0" w:space="0" w:color="auto"/>
          </w:divBdr>
        </w:div>
        <w:div w:id="1125779839">
          <w:marLeft w:val="0"/>
          <w:marRight w:val="0"/>
          <w:marTop w:val="0"/>
          <w:marBottom w:val="0"/>
          <w:divBdr>
            <w:top w:val="none" w:sz="0" w:space="0" w:color="auto"/>
            <w:left w:val="none" w:sz="0" w:space="0" w:color="auto"/>
            <w:bottom w:val="none" w:sz="0" w:space="0" w:color="auto"/>
            <w:right w:val="none" w:sz="0" w:space="0" w:color="auto"/>
          </w:divBdr>
        </w:div>
        <w:div w:id="1128544304">
          <w:marLeft w:val="0"/>
          <w:marRight w:val="0"/>
          <w:marTop w:val="0"/>
          <w:marBottom w:val="0"/>
          <w:divBdr>
            <w:top w:val="none" w:sz="0" w:space="0" w:color="auto"/>
            <w:left w:val="none" w:sz="0" w:space="0" w:color="auto"/>
            <w:bottom w:val="none" w:sz="0" w:space="0" w:color="auto"/>
            <w:right w:val="none" w:sz="0" w:space="0" w:color="auto"/>
          </w:divBdr>
        </w:div>
        <w:div w:id="1161577552">
          <w:marLeft w:val="0"/>
          <w:marRight w:val="0"/>
          <w:marTop w:val="0"/>
          <w:marBottom w:val="0"/>
          <w:divBdr>
            <w:top w:val="none" w:sz="0" w:space="0" w:color="auto"/>
            <w:left w:val="none" w:sz="0" w:space="0" w:color="auto"/>
            <w:bottom w:val="none" w:sz="0" w:space="0" w:color="auto"/>
            <w:right w:val="none" w:sz="0" w:space="0" w:color="auto"/>
          </w:divBdr>
        </w:div>
        <w:div w:id="1232959586">
          <w:marLeft w:val="0"/>
          <w:marRight w:val="0"/>
          <w:marTop w:val="0"/>
          <w:marBottom w:val="0"/>
          <w:divBdr>
            <w:top w:val="none" w:sz="0" w:space="0" w:color="auto"/>
            <w:left w:val="none" w:sz="0" w:space="0" w:color="auto"/>
            <w:bottom w:val="none" w:sz="0" w:space="0" w:color="auto"/>
            <w:right w:val="none" w:sz="0" w:space="0" w:color="auto"/>
          </w:divBdr>
        </w:div>
        <w:div w:id="1242060869">
          <w:marLeft w:val="0"/>
          <w:marRight w:val="0"/>
          <w:marTop w:val="0"/>
          <w:marBottom w:val="0"/>
          <w:divBdr>
            <w:top w:val="none" w:sz="0" w:space="0" w:color="auto"/>
            <w:left w:val="none" w:sz="0" w:space="0" w:color="auto"/>
            <w:bottom w:val="none" w:sz="0" w:space="0" w:color="auto"/>
            <w:right w:val="none" w:sz="0" w:space="0" w:color="auto"/>
          </w:divBdr>
        </w:div>
        <w:div w:id="1269922111">
          <w:marLeft w:val="0"/>
          <w:marRight w:val="0"/>
          <w:marTop w:val="0"/>
          <w:marBottom w:val="0"/>
          <w:divBdr>
            <w:top w:val="none" w:sz="0" w:space="0" w:color="auto"/>
            <w:left w:val="none" w:sz="0" w:space="0" w:color="auto"/>
            <w:bottom w:val="none" w:sz="0" w:space="0" w:color="auto"/>
            <w:right w:val="none" w:sz="0" w:space="0" w:color="auto"/>
          </w:divBdr>
        </w:div>
        <w:div w:id="1353386305">
          <w:marLeft w:val="0"/>
          <w:marRight w:val="0"/>
          <w:marTop w:val="0"/>
          <w:marBottom w:val="0"/>
          <w:divBdr>
            <w:top w:val="none" w:sz="0" w:space="0" w:color="auto"/>
            <w:left w:val="none" w:sz="0" w:space="0" w:color="auto"/>
            <w:bottom w:val="none" w:sz="0" w:space="0" w:color="auto"/>
            <w:right w:val="none" w:sz="0" w:space="0" w:color="auto"/>
          </w:divBdr>
        </w:div>
        <w:div w:id="1360358023">
          <w:marLeft w:val="0"/>
          <w:marRight w:val="0"/>
          <w:marTop w:val="0"/>
          <w:marBottom w:val="0"/>
          <w:divBdr>
            <w:top w:val="none" w:sz="0" w:space="0" w:color="auto"/>
            <w:left w:val="none" w:sz="0" w:space="0" w:color="auto"/>
            <w:bottom w:val="none" w:sz="0" w:space="0" w:color="auto"/>
            <w:right w:val="none" w:sz="0" w:space="0" w:color="auto"/>
          </w:divBdr>
        </w:div>
        <w:div w:id="1374842779">
          <w:marLeft w:val="0"/>
          <w:marRight w:val="0"/>
          <w:marTop w:val="0"/>
          <w:marBottom w:val="0"/>
          <w:divBdr>
            <w:top w:val="none" w:sz="0" w:space="0" w:color="auto"/>
            <w:left w:val="none" w:sz="0" w:space="0" w:color="auto"/>
            <w:bottom w:val="none" w:sz="0" w:space="0" w:color="auto"/>
            <w:right w:val="none" w:sz="0" w:space="0" w:color="auto"/>
          </w:divBdr>
        </w:div>
        <w:div w:id="1407147836">
          <w:marLeft w:val="0"/>
          <w:marRight w:val="0"/>
          <w:marTop w:val="0"/>
          <w:marBottom w:val="0"/>
          <w:divBdr>
            <w:top w:val="none" w:sz="0" w:space="0" w:color="auto"/>
            <w:left w:val="none" w:sz="0" w:space="0" w:color="auto"/>
            <w:bottom w:val="none" w:sz="0" w:space="0" w:color="auto"/>
            <w:right w:val="none" w:sz="0" w:space="0" w:color="auto"/>
          </w:divBdr>
        </w:div>
        <w:div w:id="1429543868">
          <w:marLeft w:val="0"/>
          <w:marRight w:val="0"/>
          <w:marTop w:val="0"/>
          <w:marBottom w:val="0"/>
          <w:divBdr>
            <w:top w:val="none" w:sz="0" w:space="0" w:color="auto"/>
            <w:left w:val="none" w:sz="0" w:space="0" w:color="auto"/>
            <w:bottom w:val="none" w:sz="0" w:space="0" w:color="auto"/>
            <w:right w:val="none" w:sz="0" w:space="0" w:color="auto"/>
          </w:divBdr>
        </w:div>
        <w:div w:id="1476681714">
          <w:marLeft w:val="0"/>
          <w:marRight w:val="0"/>
          <w:marTop w:val="0"/>
          <w:marBottom w:val="0"/>
          <w:divBdr>
            <w:top w:val="none" w:sz="0" w:space="0" w:color="auto"/>
            <w:left w:val="none" w:sz="0" w:space="0" w:color="auto"/>
            <w:bottom w:val="none" w:sz="0" w:space="0" w:color="auto"/>
            <w:right w:val="none" w:sz="0" w:space="0" w:color="auto"/>
          </w:divBdr>
        </w:div>
        <w:div w:id="1493641217">
          <w:marLeft w:val="0"/>
          <w:marRight w:val="0"/>
          <w:marTop w:val="0"/>
          <w:marBottom w:val="0"/>
          <w:divBdr>
            <w:top w:val="none" w:sz="0" w:space="0" w:color="auto"/>
            <w:left w:val="none" w:sz="0" w:space="0" w:color="auto"/>
            <w:bottom w:val="none" w:sz="0" w:space="0" w:color="auto"/>
            <w:right w:val="none" w:sz="0" w:space="0" w:color="auto"/>
          </w:divBdr>
        </w:div>
        <w:div w:id="1504280548">
          <w:marLeft w:val="0"/>
          <w:marRight w:val="0"/>
          <w:marTop w:val="0"/>
          <w:marBottom w:val="0"/>
          <w:divBdr>
            <w:top w:val="none" w:sz="0" w:space="0" w:color="auto"/>
            <w:left w:val="none" w:sz="0" w:space="0" w:color="auto"/>
            <w:bottom w:val="none" w:sz="0" w:space="0" w:color="auto"/>
            <w:right w:val="none" w:sz="0" w:space="0" w:color="auto"/>
          </w:divBdr>
        </w:div>
        <w:div w:id="1515801779">
          <w:marLeft w:val="0"/>
          <w:marRight w:val="0"/>
          <w:marTop w:val="0"/>
          <w:marBottom w:val="0"/>
          <w:divBdr>
            <w:top w:val="none" w:sz="0" w:space="0" w:color="auto"/>
            <w:left w:val="none" w:sz="0" w:space="0" w:color="auto"/>
            <w:bottom w:val="none" w:sz="0" w:space="0" w:color="auto"/>
            <w:right w:val="none" w:sz="0" w:space="0" w:color="auto"/>
          </w:divBdr>
        </w:div>
        <w:div w:id="1541818611">
          <w:marLeft w:val="0"/>
          <w:marRight w:val="0"/>
          <w:marTop w:val="0"/>
          <w:marBottom w:val="0"/>
          <w:divBdr>
            <w:top w:val="none" w:sz="0" w:space="0" w:color="auto"/>
            <w:left w:val="none" w:sz="0" w:space="0" w:color="auto"/>
            <w:bottom w:val="none" w:sz="0" w:space="0" w:color="auto"/>
            <w:right w:val="none" w:sz="0" w:space="0" w:color="auto"/>
          </w:divBdr>
        </w:div>
        <w:div w:id="1624581615">
          <w:marLeft w:val="0"/>
          <w:marRight w:val="0"/>
          <w:marTop w:val="0"/>
          <w:marBottom w:val="0"/>
          <w:divBdr>
            <w:top w:val="none" w:sz="0" w:space="0" w:color="auto"/>
            <w:left w:val="none" w:sz="0" w:space="0" w:color="auto"/>
            <w:bottom w:val="none" w:sz="0" w:space="0" w:color="auto"/>
            <w:right w:val="none" w:sz="0" w:space="0" w:color="auto"/>
          </w:divBdr>
        </w:div>
        <w:div w:id="1676808412">
          <w:marLeft w:val="0"/>
          <w:marRight w:val="0"/>
          <w:marTop w:val="0"/>
          <w:marBottom w:val="0"/>
          <w:divBdr>
            <w:top w:val="none" w:sz="0" w:space="0" w:color="auto"/>
            <w:left w:val="none" w:sz="0" w:space="0" w:color="auto"/>
            <w:bottom w:val="none" w:sz="0" w:space="0" w:color="auto"/>
            <w:right w:val="none" w:sz="0" w:space="0" w:color="auto"/>
          </w:divBdr>
        </w:div>
        <w:div w:id="1770152292">
          <w:marLeft w:val="0"/>
          <w:marRight w:val="0"/>
          <w:marTop w:val="0"/>
          <w:marBottom w:val="0"/>
          <w:divBdr>
            <w:top w:val="none" w:sz="0" w:space="0" w:color="auto"/>
            <w:left w:val="none" w:sz="0" w:space="0" w:color="auto"/>
            <w:bottom w:val="none" w:sz="0" w:space="0" w:color="auto"/>
            <w:right w:val="none" w:sz="0" w:space="0" w:color="auto"/>
          </w:divBdr>
        </w:div>
        <w:div w:id="1837499633">
          <w:marLeft w:val="0"/>
          <w:marRight w:val="0"/>
          <w:marTop w:val="0"/>
          <w:marBottom w:val="0"/>
          <w:divBdr>
            <w:top w:val="none" w:sz="0" w:space="0" w:color="auto"/>
            <w:left w:val="none" w:sz="0" w:space="0" w:color="auto"/>
            <w:bottom w:val="none" w:sz="0" w:space="0" w:color="auto"/>
            <w:right w:val="none" w:sz="0" w:space="0" w:color="auto"/>
          </w:divBdr>
        </w:div>
        <w:div w:id="1887446009">
          <w:marLeft w:val="0"/>
          <w:marRight w:val="0"/>
          <w:marTop w:val="0"/>
          <w:marBottom w:val="0"/>
          <w:divBdr>
            <w:top w:val="none" w:sz="0" w:space="0" w:color="auto"/>
            <w:left w:val="none" w:sz="0" w:space="0" w:color="auto"/>
            <w:bottom w:val="none" w:sz="0" w:space="0" w:color="auto"/>
            <w:right w:val="none" w:sz="0" w:space="0" w:color="auto"/>
          </w:divBdr>
        </w:div>
        <w:div w:id="1924492250">
          <w:marLeft w:val="0"/>
          <w:marRight w:val="0"/>
          <w:marTop w:val="0"/>
          <w:marBottom w:val="0"/>
          <w:divBdr>
            <w:top w:val="none" w:sz="0" w:space="0" w:color="auto"/>
            <w:left w:val="none" w:sz="0" w:space="0" w:color="auto"/>
            <w:bottom w:val="none" w:sz="0" w:space="0" w:color="auto"/>
            <w:right w:val="none" w:sz="0" w:space="0" w:color="auto"/>
          </w:divBdr>
        </w:div>
        <w:div w:id="2051565551">
          <w:marLeft w:val="0"/>
          <w:marRight w:val="0"/>
          <w:marTop w:val="0"/>
          <w:marBottom w:val="0"/>
          <w:divBdr>
            <w:top w:val="none" w:sz="0" w:space="0" w:color="auto"/>
            <w:left w:val="none" w:sz="0" w:space="0" w:color="auto"/>
            <w:bottom w:val="none" w:sz="0" w:space="0" w:color="auto"/>
            <w:right w:val="none" w:sz="0" w:space="0" w:color="auto"/>
          </w:divBdr>
        </w:div>
        <w:div w:id="2116557546">
          <w:marLeft w:val="0"/>
          <w:marRight w:val="0"/>
          <w:marTop w:val="0"/>
          <w:marBottom w:val="0"/>
          <w:divBdr>
            <w:top w:val="none" w:sz="0" w:space="0" w:color="auto"/>
            <w:left w:val="none" w:sz="0" w:space="0" w:color="auto"/>
            <w:bottom w:val="none" w:sz="0" w:space="0" w:color="auto"/>
            <w:right w:val="none" w:sz="0" w:space="0" w:color="auto"/>
          </w:divBdr>
        </w:div>
        <w:div w:id="2120954288">
          <w:marLeft w:val="0"/>
          <w:marRight w:val="0"/>
          <w:marTop w:val="0"/>
          <w:marBottom w:val="0"/>
          <w:divBdr>
            <w:top w:val="none" w:sz="0" w:space="0" w:color="auto"/>
            <w:left w:val="none" w:sz="0" w:space="0" w:color="auto"/>
            <w:bottom w:val="none" w:sz="0" w:space="0" w:color="auto"/>
            <w:right w:val="none" w:sz="0" w:space="0" w:color="auto"/>
          </w:divBdr>
        </w:div>
        <w:div w:id="2123961597">
          <w:marLeft w:val="0"/>
          <w:marRight w:val="0"/>
          <w:marTop w:val="0"/>
          <w:marBottom w:val="0"/>
          <w:divBdr>
            <w:top w:val="none" w:sz="0" w:space="0" w:color="auto"/>
            <w:left w:val="none" w:sz="0" w:space="0" w:color="auto"/>
            <w:bottom w:val="none" w:sz="0" w:space="0" w:color="auto"/>
            <w:right w:val="none" w:sz="0" w:space="0" w:color="auto"/>
          </w:divBdr>
        </w:div>
      </w:divsChild>
    </w:div>
    <w:div w:id="1700086720">
      <w:bodyDiv w:val="1"/>
      <w:marLeft w:val="0"/>
      <w:marRight w:val="0"/>
      <w:marTop w:val="0"/>
      <w:marBottom w:val="0"/>
      <w:divBdr>
        <w:top w:val="none" w:sz="0" w:space="0" w:color="auto"/>
        <w:left w:val="none" w:sz="0" w:space="0" w:color="auto"/>
        <w:bottom w:val="none" w:sz="0" w:space="0" w:color="auto"/>
        <w:right w:val="none" w:sz="0" w:space="0" w:color="auto"/>
      </w:divBdr>
      <w:divsChild>
        <w:div w:id="487864103">
          <w:marLeft w:val="0"/>
          <w:marRight w:val="0"/>
          <w:marTop w:val="0"/>
          <w:marBottom w:val="0"/>
          <w:divBdr>
            <w:top w:val="none" w:sz="0" w:space="0" w:color="auto"/>
            <w:left w:val="none" w:sz="0" w:space="0" w:color="auto"/>
            <w:bottom w:val="none" w:sz="0" w:space="0" w:color="auto"/>
            <w:right w:val="none" w:sz="0" w:space="0" w:color="auto"/>
          </w:divBdr>
          <w:divsChild>
            <w:div w:id="1145857726">
              <w:marLeft w:val="0"/>
              <w:marRight w:val="0"/>
              <w:marTop w:val="0"/>
              <w:marBottom w:val="0"/>
              <w:divBdr>
                <w:top w:val="none" w:sz="0" w:space="0" w:color="auto"/>
                <w:left w:val="none" w:sz="0" w:space="0" w:color="auto"/>
                <w:bottom w:val="none" w:sz="0" w:space="0" w:color="auto"/>
                <w:right w:val="none" w:sz="0" w:space="0" w:color="auto"/>
              </w:divBdr>
              <w:divsChild>
                <w:div w:id="693116588">
                  <w:marLeft w:val="0"/>
                  <w:marRight w:val="0"/>
                  <w:marTop w:val="0"/>
                  <w:marBottom w:val="0"/>
                  <w:divBdr>
                    <w:top w:val="none" w:sz="0" w:space="0" w:color="auto"/>
                    <w:left w:val="none" w:sz="0" w:space="0" w:color="auto"/>
                    <w:bottom w:val="none" w:sz="0" w:space="0" w:color="auto"/>
                    <w:right w:val="none" w:sz="0" w:space="0" w:color="auto"/>
                  </w:divBdr>
                  <w:divsChild>
                    <w:div w:id="1814979118">
                      <w:marLeft w:val="0"/>
                      <w:marRight w:val="0"/>
                      <w:marTop w:val="0"/>
                      <w:marBottom w:val="0"/>
                      <w:divBdr>
                        <w:top w:val="none" w:sz="0" w:space="0" w:color="auto"/>
                        <w:left w:val="none" w:sz="0" w:space="0" w:color="auto"/>
                        <w:bottom w:val="none" w:sz="0" w:space="0" w:color="auto"/>
                        <w:right w:val="none" w:sz="0" w:space="0" w:color="auto"/>
                      </w:divBdr>
                      <w:divsChild>
                        <w:div w:id="1942445676">
                          <w:marLeft w:val="0"/>
                          <w:marRight w:val="0"/>
                          <w:marTop w:val="0"/>
                          <w:marBottom w:val="0"/>
                          <w:divBdr>
                            <w:top w:val="none" w:sz="0" w:space="0" w:color="auto"/>
                            <w:left w:val="none" w:sz="0" w:space="0" w:color="auto"/>
                            <w:bottom w:val="none" w:sz="0" w:space="0" w:color="auto"/>
                            <w:right w:val="none" w:sz="0" w:space="0" w:color="auto"/>
                          </w:divBdr>
                          <w:divsChild>
                            <w:div w:id="44874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2320645">
      <w:bodyDiv w:val="1"/>
      <w:marLeft w:val="0"/>
      <w:marRight w:val="0"/>
      <w:marTop w:val="0"/>
      <w:marBottom w:val="0"/>
      <w:divBdr>
        <w:top w:val="none" w:sz="0" w:space="0" w:color="auto"/>
        <w:left w:val="none" w:sz="0" w:space="0" w:color="auto"/>
        <w:bottom w:val="none" w:sz="0" w:space="0" w:color="auto"/>
        <w:right w:val="none" w:sz="0" w:space="0" w:color="auto"/>
      </w:divBdr>
    </w:div>
    <w:div w:id="1705012895">
      <w:bodyDiv w:val="1"/>
      <w:marLeft w:val="0"/>
      <w:marRight w:val="0"/>
      <w:marTop w:val="0"/>
      <w:marBottom w:val="0"/>
      <w:divBdr>
        <w:top w:val="none" w:sz="0" w:space="0" w:color="auto"/>
        <w:left w:val="none" w:sz="0" w:space="0" w:color="auto"/>
        <w:bottom w:val="none" w:sz="0" w:space="0" w:color="auto"/>
        <w:right w:val="none" w:sz="0" w:space="0" w:color="auto"/>
      </w:divBdr>
      <w:divsChild>
        <w:div w:id="174000319">
          <w:marLeft w:val="0"/>
          <w:marRight w:val="0"/>
          <w:marTop w:val="0"/>
          <w:marBottom w:val="0"/>
          <w:divBdr>
            <w:top w:val="none" w:sz="0" w:space="0" w:color="auto"/>
            <w:left w:val="none" w:sz="0" w:space="0" w:color="auto"/>
            <w:bottom w:val="none" w:sz="0" w:space="0" w:color="auto"/>
            <w:right w:val="none" w:sz="0" w:space="0" w:color="auto"/>
          </w:divBdr>
        </w:div>
        <w:div w:id="404229554">
          <w:marLeft w:val="0"/>
          <w:marRight w:val="0"/>
          <w:marTop w:val="0"/>
          <w:marBottom w:val="0"/>
          <w:divBdr>
            <w:top w:val="none" w:sz="0" w:space="0" w:color="auto"/>
            <w:left w:val="none" w:sz="0" w:space="0" w:color="auto"/>
            <w:bottom w:val="none" w:sz="0" w:space="0" w:color="auto"/>
            <w:right w:val="none" w:sz="0" w:space="0" w:color="auto"/>
          </w:divBdr>
        </w:div>
        <w:div w:id="503595863">
          <w:marLeft w:val="0"/>
          <w:marRight w:val="0"/>
          <w:marTop w:val="0"/>
          <w:marBottom w:val="0"/>
          <w:divBdr>
            <w:top w:val="none" w:sz="0" w:space="0" w:color="auto"/>
            <w:left w:val="none" w:sz="0" w:space="0" w:color="auto"/>
            <w:bottom w:val="none" w:sz="0" w:space="0" w:color="auto"/>
            <w:right w:val="none" w:sz="0" w:space="0" w:color="auto"/>
          </w:divBdr>
        </w:div>
        <w:div w:id="906646432">
          <w:marLeft w:val="0"/>
          <w:marRight w:val="0"/>
          <w:marTop w:val="0"/>
          <w:marBottom w:val="0"/>
          <w:divBdr>
            <w:top w:val="none" w:sz="0" w:space="0" w:color="auto"/>
            <w:left w:val="none" w:sz="0" w:space="0" w:color="auto"/>
            <w:bottom w:val="none" w:sz="0" w:space="0" w:color="auto"/>
            <w:right w:val="none" w:sz="0" w:space="0" w:color="auto"/>
          </w:divBdr>
        </w:div>
        <w:div w:id="1207789863">
          <w:marLeft w:val="0"/>
          <w:marRight w:val="0"/>
          <w:marTop w:val="0"/>
          <w:marBottom w:val="0"/>
          <w:divBdr>
            <w:top w:val="none" w:sz="0" w:space="0" w:color="auto"/>
            <w:left w:val="none" w:sz="0" w:space="0" w:color="auto"/>
            <w:bottom w:val="none" w:sz="0" w:space="0" w:color="auto"/>
            <w:right w:val="none" w:sz="0" w:space="0" w:color="auto"/>
          </w:divBdr>
        </w:div>
        <w:div w:id="1429428003">
          <w:marLeft w:val="0"/>
          <w:marRight w:val="0"/>
          <w:marTop w:val="0"/>
          <w:marBottom w:val="0"/>
          <w:divBdr>
            <w:top w:val="none" w:sz="0" w:space="0" w:color="auto"/>
            <w:left w:val="none" w:sz="0" w:space="0" w:color="auto"/>
            <w:bottom w:val="none" w:sz="0" w:space="0" w:color="auto"/>
            <w:right w:val="none" w:sz="0" w:space="0" w:color="auto"/>
          </w:divBdr>
        </w:div>
        <w:div w:id="1754469147">
          <w:marLeft w:val="0"/>
          <w:marRight w:val="0"/>
          <w:marTop w:val="0"/>
          <w:marBottom w:val="0"/>
          <w:divBdr>
            <w:top w:val="none" w:sz="0" w:space="0" w:color="auto"/>
            <w:left w:val="none" w:sz="0" w:space="0" w:color="auto"/>
            <w:bottom w:val="none" w:sz="0" w:space="0" w:color="auto"/>
            <w:right w:val="none" w:sz="0" w:space="0" w:color="auto"/>
          </w:divBdr>
        </w:div>
        <w:div w:id="2093231469">
          <w:marLeft w:val="0"/>
          <w:marRight w:val="0"/>
          <w:marTop w:val="0"/>
          <w:marBottom w:val="0"/>
          <w:divBdr>
            <w:top w:val="none" w:sz="0" w:space="0" w:color="auto"/>
            <w:left w:val="none" w:sz="0" w:space="0" w:color="auto"/>
            <w:bottom w:val="none" w:sz="0" w:space="0" w:color="auto"/>
            <w:right w:val="none" w:sz="0" w:space="0" w:color="auto"/>
          </w:divBdr>
        </w:div>
        <w:div w:id="2132358520">
          <w:marLeft w:val="0"/>
          <w:marRight w:val="0"/>
          <w:marTop w:val="0"/>
          <w:marBottom w:val="0"/>
          <w:divBdr>
            <w:top w:val="none" w:sz="0" w:space="0" w:color="auto"/>
            <w:left w:val="none" w:sz="0" w:space="0" w:color="auto"/>
            <w:bottom w:val="none" w:sz="0" w:space="0" w:color="auto"/>
            <w:right w:val="none" w:sz="0" w:space="0" w:color="auto"/>
          </w:divBdr>
        </w:div>
      </w:divsChild>
    </w:div>
    <w:div w:id="1720011156">
      <w:bodyDiv w:val="1"/>
      <w:marLeft w:val="0"/>
      <w:marRight w:val="0"/>
      <w:marTop w:val="0"/>
      <w:marBottom w:val="0"/>
      <w:divBdr>
        <w:top w:val="none" w:sz="0" w:space="0" w:color="auto"/>
        <w:left w:val="none" w:sz="0" w:space="0" w:color="auto"/>
        <w:bottom w:val="none" w:sz="0" w:space="0" w:color="auto"/>
        <w:right w:val="none" w:sz="0" w:space="0" w:color="auto"/>
      </w:divBdr>
    </w:div>
    <w:div w:id="1720861942">
      <w:bodyDiv w:val="1"/>
      <w:marLeft w:val="0"/>
      <w:marRight w:val="0"/>
      <w:marTop w:val="0"/>
      <w:marBottom w:val="0"/>
      <w:divBdr>
        <w:top w:val="none" w:sz="0" w:space="0" w:color="auto"/>
        <w:left w:val="none" w:sz="0" w:space="0" w:color="auto"/>
        <w:bottom w:val="none" w:sz="0" w:space="0" w:color="auto"/>
        <w:right w:val="none" w:sz="0" w:space="0" w:color="auto"/>
      </w:divBdr>
      <w:divsChild>
        <w:div w:id="345865306">
          <w:marLeft w:val="0"/>
          <w:marRight w:val="0"/>
          <w:marTop w:val="0"/>
          <w:marBottom w:val="0"/>
          <w:divBdr>
            <w:top w:val="none" w:sz="0" w:space="0" w:color="auto"/>
            <w:left w:val="none" w:sz="0" w:space="0" w:color="auto"/>
            <w:bottom w:val="none" w:sz="0" w:space="0" w:color="auto"/>
            <w:right w:val="none" w:sz="0" w:space="0" w:color="auto"/>
          </w:divBdr>
          <w:divsChild>
            <w:div w:id="51931677">
              <w:marLeft w:val="0"/>
              <w:marRight w:val="0"/>
              <w:marTop w:val="0"/>
              <w:marBottom w:val="0"/>
              <w:divBdr>
                <w:top w:val="none" w:sz="0" w:space="0" w:color="auto"/>
                <w:left w:val="none" w:sz="0" w:space="0" w:color="auto"/>
                <w:bottom w:val="none" w:sz="0" w:space="0" w:color="auto"/>
                <w:right w:val="none" w:sz="0" w:space="0" w:color="auto"/>
              </w:divBdr>
              <w:divsChild>
                <w:div w:id="138845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64267">
          <w:marLeft w:val="0"/>
          <w:marRight w:val="0"/>
          <w:marTop w:val="0"/>
          <w:marBottom w:val="0"/>
          <w:divBdr>
            <w:top w:val="none" w:sz="0" w:space="0" w:color="auto"/>
            <w:left w:val="none" w:sz="0" w:space="0" w:color="auto"/>
            <w:bottom w:val="none" w:sz="0" w:space="0" w:color="auto"/>
            <w:right w:val="none" w:sz="0" w:space="0" w:color="auto"/>
          </w:divBdr>
          <w:divsChild>
            <w:div w:id="480078820">
              <w:marLeft w:val="0"/>
              <w:marRight w:val="0"/>
              <w:marTop w:val="0"/>
              <w:marBottom w:val="0"/>
              <w:divBdr>
                <w:top w:val="none" w:sz="0" w:space="0" w:color="auto"/>
                <w:left w:val="none" w:sz="0" w:space="0" w:color="auto"/>
                <w:bottom w:val="none" w:sz="0" w:space="0" w:color="auto"/>
                <w:right w:val="none" w:sz="0" w:space="0" w:color="auto"/>
              </w:divBdr>
              <w:divsChild>
                <w:div w:id="849416444">
                  <w:marLeft w:val="0"/>
                  <w:marRight w:val="0"/>
                  <w:marTop w:val="0"/>
                  <w:marBottom w:val="0"/>
                  <w:divBdr>
                    <w:top w:val="none" w:sz="0" w:space="0" w:color="auto"/>
                    <w:left w:val="none" w:sz="0" w:space="0" w:color="auto"/>
                    <w:bottom w:val="none" w:sz="0" w:space="0" w:color="auto"/>
                    <w:right w:val="none" w:sz="0" w:space="0" w:color="auto"/>
                  </w:divBdr>
                </w:div>
                <w:div w:id="914046234">
                  <w:marLeft w:val="0"/>
                  <w:marRight w:val="0"/>
                  <w:marTop w:val="0"/>
                  <w:marBottom w:val="0"/>
                  <w:divBdr>
                    <w:top w:val="none" w:sz="0" w:space="0" w:color="auto"/>
                    <w:left w:val="none" w:sz="0" w:space="0" w:color="auto"/>
                    <w:bottom w:val="none" w:sz="0" w:space="0" w:color="auto"/>
                    <w:right w:val="none" w:sz="0" w:space="0" w:color="auto"/>
                  </w:divBdr>
                </w:div>
              </w:divsChild>
            </w:div>
            <w:div w:id="607393388">
              <w:marLeft w:val="0"/>
              <w:marRight w:val="0"/>
              <w:marTop w:val="0"/>
              <w:marBottom w:val="0"/>
              <w:divBdr>
                <w:top w:val="none" w:sz="0" w:space="0" w:color="auto"/>
                <w:left w:val="none" w:sz="0" w:space="0" w:color="auto"/>
                <w:bottom w:val="none" w:sz="0" w:space="0" w:color="auto"/>
                <w:right w:val="none" w:sz="0" w:space="0" w:color="auto"/>
              </w:divBdr>
              <w:divsChild>
                <w:div w:id="837765149">
                  <w:marLeft w:val="0"/>
                  <w:marRight w:val="0"/>
                  <w:marTop w:val="0"/>
                  <w:marBottom w:val="0"/>
                  <w:divBdr>
                    <w:top w:val="none" w:sz="0" w:space="0" w:color="auto"/>
                    <w:left w:val="none" w:sz="0" w:space="0" w:color="auto"/>
                    <w:bottom w:val="none" w:sz="0" w:space="0" w:color="auto"/>
                    <w:right w:val="none" w:sz="0" w:space="0" w:color="auto"/>
                  </w:divBdr>
                </w:div>
                <w:div w:id="1655379023">
                  <w:marLeft w:val="0"/>
                  <w:marRight w:val="0"/>
                  <w:marTop w:val="0"/>
                  <w:marBottom w:val="0"/>
                  <w:divBdr>
                    <w:top w:val="none" w:sz="0" w:space="0" w:color="auto"/>
                    <w:left w:val="none" w:sz="0" w:space="0" w:color="auto"/>
                    <w:bottom w:val="none" w:sz="0" w:space="0" w:color="auto"/>
                    <w:right w:val="none" w:sz="0" w:space="0" w:color="auto"/>
                  </w:divBdr>
                </w:div>
              </w:divsChild>
            </w:div>
            <w:div w:id="681662472">
              <w:marLeft w:val="0"/>
              <w:marRight w:val="0"/>
              <w:marTop w:val="0"/>
              <w:marBottom w:val="0"/>
              <w:divBdr>
                <w:top w:val="none" w:sz="0" w:space="0" w:color="auto"/>
                <w:left w:val="none" w:sz="0" w:space="0" w:color="auto"/>
                <w:bottom w:val="none" w:sz="0" w:space="0" w:color="auto"/>
                <w:right w:val="none" w:sz="0" w:space="0" w:color="auto"/>
              </w:divBdr>
              <w:divsChild>
                <w:div w:id="208495140">
                  <w:marLeft w:val="0"/>
                  <w:marRight w:val="0"/>
                  <w:marTop w:val="0"/>
                  <w:marBottom w:val="0"/>
                  <w:divBdr>
                    <w:top w:val="none" w:sz="0" w:space="0" w:color="auto"/>
                    <w:left w:val="none" w:sz="0" w:space="0" w:color="auto"/>
                    <w:bottom w:val="none" w:sz="0" w:space="0" w:color="auto"/>
                    <w:right w:val="none" w:sz="0" w:space="0" w:color="auto"/>
                  </w:divBdr>
                </w:div>
                <w:div w:id="1104181840">
                  <w:marLeft w:val="0"/>
                  <w:marRight w:val="0"/>
                  <w:marTop w:val="0"/>
                  <w:marBottom w:val="0"/>
                  <w:divBdr>
                    <w:top w:val="none" w:sz="0" w:space="0" w:color="auto"/>
                    <w:left w:val="none" w:sz="0" w:space="0" w:color="auto"/>
                    <w:bottom w:val="none" w:sz="0" w:space="0" w:color="auto"/>
                    <w:right w:val="none" w:sz="0" w:space="0" w:color="auto"/>
                  </w:divBdr>
                </w:div>
              </w:divsChild>
            </w:div>
            <w:div w:id="712342685">
              <w:marLeft w:val="0"/>
              <w:marRight w:val="0"/>
              <w:marTop w:val="0"/>
              <w:marBottom w:val="0"/>
              <w:divBdr>
                <w:top w:val="none" w:sz="0" w:space="0" w:color="auto"/>
                <w:left w:val="none" w:sz="0" w:space="0" w:color="auto"/>
                <w:bottom w:val="none" w:sz="0" w:space="0" w:color="auto"/>
                <w:right w:val="none" w:sz="0" w:space="0" w:color="auto"/>
              </w:divBdr>
              <w:divsChild>
                <w:div w:id="997227244">
                  <w:marLeft w:val="0"/>
                  <w:marRight w:val="0"/>
                  <w:marTop w:val="0"/>
                  <w:marBottom w:val="0"/>
                  <w:divBdr>
                    <w:top w:val="none" w:sz="0" w:space="0" w:color="auto"/>
                    <w:left w:val="none" w:sz="0" w:space="0" w:color="auto"/>
                    <w:bottom w:val="none" w:sz="0" w:space="0" w:color="auto"/>
                    <w:right w:val="none" w:sz="0" w:space="0" w:color="auto"/>
                  </w:divBdr>
                </w:div>
                <w:div w:id="1457985503">
                  <w:marLeft w:val="0"/>
                  <w:marRight w:val="0"/>
                  <w:marTop w:val="0"/>
                  <w:marBottom w:val="0"/>
                  <w:divBdr>
                    <w:top w:val="none" w:sz="0" w:space="0" w:color="auto"/>
                    <w:left w:val="none" w:sz="0" w:space="0" w:color="auto"/>
                    <w:bottom w:val="none" w:sz="0" w:space="0" w:color="auto"/>
                    <w:right w:val="none" w:sz="0" w:space="0" w:color="auto"/>
                  </w:divBdr>
                </w:div>
                <w:div w:id="1521355297">
                  <w:marLeft w:val="0"/>
                  <w:marRight w:val="0"/>
                  <w:marTop w:val="0"/>
                  <w:marBottom w:val="0"/>
                  <w:divBdr>
                    <w:top w:val="none" w:sz="0" w:space="0" w:color="auto"/>
                    <w:left w:val="none" w:sz="0" w:space="0" w:color="auto"/>
                    <w:bottom w:val="none" w:sz="0" w:space="0" w:color="auto"/>
                    <w:right w:val="none" w:sz="0" w:space="0" w:color="auto"/>
                  </w:divBdr>
                </w:div>
                <w:div w:id="1656030134">
                  <w:marLeft w:val="0"/>
                  <w:marRight w:val="0"/>
                  <w:marTop w:val="0"/>
                  <w:marBottom w:val="0"/>
                  <w:divBdr>
                    <w:top w:val="none" w:sz="0" w:space="0" w:color="auto"/>
                    <w:left w:val="none" w:sz="0" w:space="0" w:color="auto"/>
                    <w:bottom w:val="none" w:sz="0" w:space="0" w:color="auto"/>
                    <w:right w:val="none" w:sz="0" w:space="0" w:color="auto"/>
                  </w:divBdr>
                </w:div>
              </w:divsChild>
            </w:div>
            <w:div w:id="1656956669">
              <w:marLeft w:val="0"/>
              <w:marRight w:val="0"/>
              <w:marTop w:val="0"/>
              <w:marBottom w:val="0"/>
              <w:divBdr>
                <w:top w:val="none" w:sz="0" w:space="0" w:color="auto"/>
                <w:left w:val="none" w:sz="0" w:space="0" w:color="auto"/>
                <w:bottom w:val="none" w:sz="0" w:space="0" w:color="auto"/>
                <w:right w:val="none" w:sz="0" w:space="0" w:color="auto"/>
              </w:divBdr>
              <w:divsChild>
                <w:div w:id="918365939">
                  <w:marLeft w:val="0"/>
                  <w:marRight w:val="0"/>
                  <w:marTop w:val="0"/>
                  <w:marBottom w:val="0"/>
                  <w:divBdr>
                    <w:top w:val="none" w:sz="0" w:space="0" w:color="auto"/>
                    <w:left w:val="none" w:sz="0" w:space="0" w:color="auto"/>
                    <w:bottom w:val="none" w:sz="0" w:space="0" w:color="auto"/>
                    <w:right w:val="none" w:sz="0" w:space="0" w:color="auto"/>
                  </w:divBdr>
                </w:div>
                <w:div w:id="1300456945">
                  <w:marLeft w:val="0"/>
                  <w:marRight w:val="0"/>
                  <w:marTop w:val="0"/>
                  <w:marBottom w:val="0"/>
                  <w:divBdr>
                    <w:top w:val="none" w:sz="0" w:space="0" w:color="auto"/>
                    <w:left w:val="none" w:sz="0" w:space="0" w:color="auto"/>
                    <w:bottom w:val="none" w:sz="0" w:space="0" w:color="auto"/>
                    <w:right w:val="none" w:sz="0" w:space="0" w:color="auto"/>
                  </w:divBdr>
                </w:div>
              </w:divsChild>
            </w:div>
            <w:div w:id="1815295436">
              <w:marLeft w:val="0"/>
              <w:marRight w:val="0"/>
              <w:marTop w:val="0"/>
              <w:marBottom w:val="0"/>
              <w:divBdr>
                <w:top w:val="none" w:sz="0" w:space="0" w:color="auto"/>
                <w:left w:val="none" w:sz="0" w:space="0" w:color="auto"/>
                <w:bottom w:val="none" w:sz="0" w:space="0" w:color="auto"/>
                <w:right w:val="none" w:sz="0" w:space="0" w:color="auto"/>
              </w:divBdr>
              <w:divsChild>
                <w:div w:id="191193628">
                  <w:marLeft w:val="0"/>
                  <w:marRight w:val="0"/>
                  <w:marTop w:val="0"/>
                  <w:marBottom w:val="0"/>
                  <w:divBdr>
                    <w:top w:val="none" w:sz="0" w:space="0" w:color="auto"/>
                    <w:left w:val="none" w:sz="0" w:space="0" w:color="auto"/>
                    <w:bottom w:val="none" w:sz="0" w:space="0" w:color="auto"/>
                    <w:right w:val="none" w:sz="0" w:space="0" w:color="auto"/>
                  </w:divBdr>
                </w:div>
                <w:div w:id="128342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4542799">
      <w:bodyDiv w:val="1"/>
      <w:marLeft w:val="0"/>
      <w:marRight w:val="0"/>
      <w:marTop w:val="0"/>
      <w:marBottom w:val="0"/>
      <w:divBdr>
        <w:top w:val="none" w:sz="0" w:space="0" w:color="auto"/>
        <w:left w:val="none" w:sz="0" w:space="0" w:color="auto"/>
        <w:bottom w:val="none" w:sz="0" w:space="0" w:color="auto"/>
        <w:right w:val="none" w:sz="0" w:space="0" w:color="auto"/>
      </w:divBdr>
      <w:divsChild>
        <w:div w:id="1300066808">
          <w:marLeft w:val="0"/>
          <w:marRight w:val="0"/>
          <w:marTop w:val="0"/>
          <w:marBottom w:val="0"/>
          <w:divBdr>
            <w:top w:val="none" w:sz="0" w:space="0" w:color="auto"/>
            <w:left w:val="none" w:sz="0" w:space="0" w:color="auto"/>
            <w:bottom w:val="none" w:sz="0" w:space="0" w:color="auto"/>
            <w:right w:val="none" w:sz="0" w:space="0" w:color="auto"/>
          </w:divBdr>
        </w:div>
      </w:divsChild>
    </w:div>
    <w:div w:id="1734959524">
      <w:bodyDiv w:val="1"/>
      <w:marLeft w:val="0"/>
      <w:marRight w:val="0"/>
      <w:marTop w:val="0"/>
      <w:marBottom w:val="0"/>
      <w:divBdr>
        <w:top w:val="none" w:sz="0" w:space="0" w:color="auto"/>
        <w:left w:val="none" w:sz="0" w:space="0" w:color="auto"/>
        <w:bottom w:val="none" w:sz="0" w:space="0" w:color="auto"/>
        <w:right w:val="none" w:sz="0" w:space="0" w:color="auto"/>
      </w:divBdr>
    </w:div>
    <w:div w:id="1746100521">
      <w:bodyDiv w:val="1"/>
      <w:marLeft w:val="0"/>
      <w:marRight w:val="0"/>
      <w:marTop w:val="0"/>
      <w:marBottom w:val="0"/>
      <w:divBdr>
        <w:top w:val="none" w:sz="0" w:space="0" w:color="auto"/>
        <w:left w:val="none" w:sz="0" w:space="0" w:color="auto"/>
        <w:bottom w:val="none" w:sz="0" w:space="0" w:color="auto"/>
        <w:right w:val="none" w:sz="0" w:space="0" w:color="auto"/>
      </w:divBdr>
    </w:div>
    <w:div w:id="1750079227">
      <w:bodyDiv w:val="1"/>
      <w:marLeft w:val="0"/>
      <w:marRight w:val="0"/>
      <w:marTop w:val="0"/>
      <w:marBottom w:val="0"/>
      <w:divBdr>
        <w:top w:val="none" w:sz="0" w:space="0" w:color="auto"/>
        <w:left w:val="none" w:sz="0" w:space="0" w:color="auto"/>
        <w:bottom w:val="none" w:sz="0" w:space="0" w:color="auto"/>
        <w:right w:val="none" w:sz="0" w:space="0" w:color="auto"/>
      </w:divBdr>
      <w:divsChild>
        <w:div w:id="343944123">
          <w:marLeft w:val="0"/>
          <w:marRight w:val="0"/>
          <w:marTop w:val="0"/>
          <w:marBottom w:val="0"/>
          <w:divBdr>
            <w:top w:val="none" w:sz="0" w:space="0" w:color="auto"/>
            <w:left w:val="none" w:sz="0" w:space="0" w:color="auto"/>
            <w:bottom w:val="none" w:sz="0" w:space="0" w:color="auto"/>
            <w:right w:val="none" w:sz="0" w:space="0" w:color="auto"/>
          </w:divBdr>
        </w:div>
        <w:div w:id="399403594">
          <w:marLeft w:val="0"/>
          <w:marRight w:val="0"/>
          <w:marTop w:val="0"/>
          <w:marBottom w:val="0"/>
          <w:divBdr>
            <w:top w:val="none" w:sz="0" w:space="0" w:color="auto"/>
            <w:left w:val="none" w:sz="0" w:space="0" w:color="auto"/>
            <w:bottom w:val="none" w:sz="0" w:space="0" w:color="auto"/>
            <w:right w:val="none" w:sz="0" w:space="0" w:color="auto"/>
          </w:divBdr>
        </w:div>
        <w:div w:id="635260551">
          <w:marLeft w:val="0"/>
          <w:marRight w:val="0"/>
          <w:marTop w:val="0"/>
          <w:marBottom w:val="0"/>
          <w:divBdr>
            <w:top w:val="none" w:sz="0" w:space="0" w:color="auto"/>
            <w:left w:val="none" w:sz="0" w:space="0" w:color="auto"/>
            <w:bottom w:val="none" w:sz="0" w:space="0" w:color="auto"/>
            <w:right w:val="none" w:sz="0" w:space="0" w:color="auto"/>
          </w:divBdr>
        </w:div>
        <w:div w:id="653222685">
          <w:marLeft w:val="0"/>
          <w:marRight w:val="0"/>
          <w:marTop w:val="0"/>
          <w:marBottom w:val="0"/>
          <w:divBdr>
            <w:top w:val="none" w:sz="0" w:space="0" w:color="auto"/>
            <w:left w:val="none" w:sz="0" w:space="0" w:color="auto"/>
            <w:bottom w:val="none" w:sz="0" w:space="0" w:color="auto"/>
            <w:right w:val="none" w:sz="0" w:space="0" w:color="auto"/>
          </w:divBdr>
        </w:div>
        <w:div w:id="709107296">
          <w:marLeft w:val="0"/>
          <w:marRight w:val="0"/>
          <w:marTop w:val="0"/>
          <w:marBottom w:val="0"/>
          <w:divBdr>
            <w:top w:val="none" w:sz="0" w:space="0" w:color="auto"/>
            <w:left w:val="none" w:sz="0" w:space="0" w:color="auto"/>
            <w:bottom w:val="none" w:sz="0" w:space="0" w:color="auto"/>
            <w:right w:val="none" w:sz="0" w:space="0" w:color="auto"/>
          </w:divBdr>
        </w:div>
        <w:div w:id="732659694">
          <w:marLeft w:val="0"/>
          <w:marRight w:val="0"/>
          <w:marTop w:val="0"/>
          <w:marBottom w:val="0"/>
          <w:divBdr>
            <w:top w:val="none" w:sz="0" w:space="0" w:color="auto"/>
            <w:left w:val="none" w:sz="0" w:space="0" w:color="auto"/>
            <w:bottom w:val="none" w:sz="0" w:space="0" w:color="auto"/>
            <w:right w:val="none" w:sz="0" w:space="0" w:color="auto"/>
          </w:divBdr>
        </w:div>
        <w:div w:id="787312039">
          <w:marLeft w:val="0"/>
          <w:marRight w:val="0"/>
          <w:marTop w:val="0"/>
          <w:marBottom w:val="0"/>
          <w:divBdr>
            <w:top w:val="none" w:sz="0" w:space="0" w:color="auto"/>
            <w:left w:val="none" w:sz="0" w:space="0" w:color="auto"/>
            <w:bottom w:val="none" w:sz="0" w:space="0" w:color="auto"/>
            <w:right w:val="none" w:sz="0" w:space="0" w:color="auto"/>
          </w:divBdr>
        </w:div>
        <w:div w:id="1084108450">
          <w:marLeft w:val="0"/>
          <w:marRight w:val="0"/>
          <w:marTop w:val="0"/>
          <w:marBottom w:val="0"/>
          <w:divBdr>
            <w:top w:val="none" w:sz="0" w:space="0" w:color="auto"/>
            <w:left w:val="none" w:sz="0" w:space="0" w:color="auto"/>
            <w:bottom w:val="none" w:sz="0" w:space="0" w:color="auto"/>
            <w:right w:val="none" w:sz="0" w:space="0" w:color="auto"/>
          </w:divBdr>
        </w:div>
        <w:div w:id="1170949548">
          <w:marLeft w:val="0"/>
          <w:marRight w:val="0"/>
          <w:marTop w:val="0"/>
          <w:marBottom w:val="0"/>
          <w:divBdr>
            <w:top w:val="none" w:sz="0" w:space="0" w:color="auto"/>
            <w:left w:val="none" w:sz="0" w:space="0" w:color="auto"/>
            <w:bottom w:val="none" w:sz="0" w:space="0" w:color="auto"/>
            <w:right w:val="none" w:sz="0" w:space="0" w:color="auto"/>
          </w:divBdr>
        </w:div>
        <w:div w:id="1280574472">
          <w:marLeft w:val="0"/>
          <w:marRight w:val="0"/>
          <w:marTop w:val="0"/>
          <w:marBottom w:val="0"/>
          <w:divBdr>
            <w:top w:val="none" w:sz="0" w:space="0" w:color="auto"/>
            <w:left w:val="none" w:sz="0" w:space="0" w:color="auto"/>
            <w:bottom w:val="none" w:sz="0" w:space="0" w:color="auto"/>
            <w:right w:val="none" w:sz="0" w:space="0" w:color="auto"/>
          </w:divBdr>
        </w:div>
        <w:div w:id="1405566374">
          <w:marLeft w:val="0"/>
          <w:marRight w:val="0"/>
          <w:marTop w:val="0"/>
          <w:marBottom w:val="0"/>
          <w:divBdr>
            <w:top w:val="none" w:sz="0" w:space="0" w:color="auto"/>
            <w:left w:val="none" w:sz="0" w:space="0" w:color="auto"/>
            <w:bottom w:val="none" w:sz="0" w:space="0" w:color="auto"/>
            <w:right w:val="none" w:sz="0" w:space="0" w:color="auto"/>
          </w:divBdr>
        </w:div>
        <w:div w:id="1479496482">
          <w:marLeft w:val="0"/>
          <w:marRight w:val="0"/>
          <w:marTop w:val="0"/>
          <w:marBottom w:val="0"/>
          <w:divBdr>
            <w:top w:val="none" w:sz="0" w:space="0" w:color="auto"/>
            <w:left w:val="none" w:sz="0" w:space="0" w:color="auto"/>
            <w:bottom w:val="none" w:sz="0" w:space="0" w:color="auto"/>
            <w:right w:val="none" w:sz="0" w:space="0" w:color="auto"/>
          </w:divBdr>
        </w:div>
        <w:div w:id="1791120823">
          <w:marLeft w:val="0"/>
          <w:marRight w:val="0"/>
          <w:marTop w:val="0"/>
          <w:marBottom w:val="0"/>
          <w:divBdr>
            <w:top w:val="none" w:sz="0" w:space="0" w:color="auto"/>
            <w:left w:val="none" w:sz="0" w:space="0" w:color="auto"/>
            <w:bottom w:val="none" w:sz="0" w:space="0" w:color="auto"/>
            <w:right w:val="none" w:sz="0" w:space="0" w:color="auto"/>
          </w:divBdr>
        </w:div>
        <w:div w:id="1830321752">
          <w:marLeft w:val="0"/>
          <w:marRight w:val="0"/>
          <w:marTop w:val="0"/>
          <w:marBottom w:val="0"/>
          <w:divBdr>
            <w:top w:val="none" w:sz="0" w:space="0" w:color="auto"/>
            <w:left w:val="none" w:sz="0" w:space="0" w:color="auto"/>
            <w:bottom w:val="none" w:sz="0" w:space="0" w:color="auto"/>
            <w:right w:val="none" w:sz="0" w:space="0" w:color="auto"/>
          </w:divBdr>
        </w:div>
        <w:div w:id="1851722921">
          <w:marLeft w:val="0"/>
          <w:marRight w:val="0"/>
          <w:marTop w:val="0"/>
          <w:marBottom w:val="0"/>
          <w:divBdr>
            <w:top w:val="none" w:sz="0" w:space="0" w:color="auto"/>
            <w:left w:val="none" w:sz="0" w:space="0" w:color="auto"/>
            <w:bottom w:val="none" w:sz="0" w:space="0" w:color="auto"/>
            <w:right w:val="none" w:sz="0" w:space="0" w:color="auto"/>
          </w:divBdr>
        </w:div>
        <w:div w:id="1979146118">
          <w:marLeft w:val="0"/>
          <w:marRight w:val="0"/>
          <w:marTop w:val="0"/>
          <w:marBottom w:val="0"/>
          <w:divBdr>
            <w:top w:val="none" w:sz="0" w:space="0" w:color="auto"/>
            <w:left w:val="none" w:sz="0" w:space="0" w:color="auto"/>
            <w:bottom w:val="none" w:sz="0" w:space="0" w:color="auto"/>
            <w:right w:val="none" w:sz="0" w:space="0" w:color="auto"/>
          </w:divBdr>
        </w:div>
        <w:div w:id="2067752539">
          <w:marLeft w:val="0"/>
          <w:marRight w:val="0"/>
          <w:marTop w:val="0"/>
          <w:marBottom w:val="0"/>
          <w:divBdr>
            <w:top w:val="none" w:sz="0" w:space="0" w:color="auto"/>
            <w:left w:val="none" w:sz="0" w:space="0" w:color="auto"/>
            <w:bottom w:val="none" w:sz="0" w:space="0" w:color="auto"/>
            <w:right w:val="none" w:sz="0" w:space="0" w:color="auto"/>
          </w:divBdr>
        </w:div>
      </w:divsChild>
    </w:div>
    <w:div w:id="1767001197">
      <w:bodyDiv w:val="1"/>
      <w:marLeft w:val="0"/>
      <w:marRight w:val="0"/>
      <w:marTop w:val="0"/>
      <w:marBottom w:val="0"/>
      <w:divBdr>
        <w:top w:val="none" w:sz="0" w:space="0" w:color="auto"/>
        <w:left w:val="none" w:sz="0" w:space="0" w:color="auto"/>
        <w:bottom w:val="none" w:sz="0" w:space="0" w:color="auto"/>
        <w:right w:val="none" w:sz="0" w:space="0" w:color="auto"/>
      </w:divBdr>
    </w:div>
    <w:div w:id="1773162651">
      <w:bodyDiv w:val="1"/>
      <w:marLeft w:val="0"/>
      <w:marRight w:val="0"/>
      <w:marTop w:val="0"/>
      <w:marBottom w:val="0"/>
      <w:divBdr>
        <w:top w:val="none" w:sz="0" w:space="0" w:color="auto"/>
        <w:left w:val="none" w:sz="0" w:space="0" w:color="auto"/>
        <w:bottom w:val="none" w:sz="0" w:space="0" w:color="auto"/>
        <w:right w:val="none" w:sz="0" w:space="0" w:color="auto"/>
      </w:divBdr>
    </w:div>
    <w:div w:id="1774745440">
      <w:bodyDiv w:val="1"/>
      <w:marLeft w:val="0"/>
      <w:marRight w:val="0"/>
      <w:marTop w:val="0"/>
      <w:marBottom w:val="0"/>
      <w:divBdr>
        <w:top w:val="none" w:sz="0" w:space="0" w:color="auto"/>
        <w:left w:val="none" w:sz="0" w:space="0" w:color="auto"/>
        <w:bottom w:val="none" w:sz="0" w:space="0" w:color="auto"/>
        <w:right w:val="none" w:sz="0" w:space="0" w:color="auto"/>
      </w:divBdr>
    </w:div>
    <w:div w:id="1776828615">
      <w:bodyDiv w:val="1"/>
      <w:marLeft w:val="0"/>
      <w:marRight w:val="0"/>
      <w:marTop w:val="0"/>
      <w:marBottom w:val="0"/>
      <w:divBdr>
        <w:top w:val="none" w:sz="0" w:space="0" w:color="auto"/>
        <w:left w:val="none" w:sz="0" w:space="0" w:color="auto"/>
        <w:bottom w:val="none" w:sz="0" w:space="0" w:color="auto"/>
        <w:right w:val="none" w:sz="0" w:space="0" w:color="auto"/>
      </w:divBdr>
    </w:div>
    <w:div w:id="1777090120">
      <w:bodyDiv w:val="1"/>
      <w:marLeft w:val="0"/>
      <w:marRight w:val="0"/>
      <w:marTop w:val="0"/>
      <w:marBottom w:val="0"/>
      <w:divBdr>
        <w:top w:val="none" w:sz="0" w:space="0" w:color="auto"/>
        <w:left w:val="none" w:sz="0" w:space="0" w:color="auto"/>
        <w:bottom w:val="none" w:sz="0" w:space="0" w:color="auto"/>
        <w:right w:val="none" w:sz="0" w:space="0" w:color="auto"/>
      </w:divBdr>
    </w:div>
    <w:div w:id="1777140867">
      <w:bodyDiv w:val="1"/>
      <w:marLeft w:val="0"/>
      <w:marRight w:val="0"/>
      <w:marTop w:val="0"/>
      <w:marBottom w:val="0"/>
      <w:divBdr>
        <w:top w:val="none" w:sz="0" w:space="0" w:color="auto"/>
        <w:left w:val="none" w:sz="0" w:space="0" w:color="auto"/>
        <w:bottom w:val="none" w:sz="0" w:space="0" w:color="auto"/>
        <w:right w:val="none" w:sz="0" w:space="0" w:color="auto"/>
      </w:divBdr>
      <w:divsChild>
        <w:div w:id="241567830">
          <w:marLeft w:val="0"/>
          <w:marRight w:val="0"/>
          <w:marTop w:val="0"/>
          <w:marBottom w:val="0"/>
          <w:divBdr>
            <w:top w:val="none" w:sz="0" w:space="0" w:color="auto"/>
            <w:left w:val="none" w:sz="0" w:space="0" w:color="auto"/>
            <w:bottom w:val="none" w:sz="0" w:space="0" w:color="auto"/>
            <w:right w:val="none" w:sz="0" w:space="0" w:color="auto"/>
          </w:divBdr>
          <w:divsChild>
            <w:div w:id="424964695">
              <w:marLeft w:val="0"/>
              <w:marRight w:val="0"/>
              <w:marTop w:val="0"/>
              <w:marBottom w:val="0"/>
              <w:divBdr>
                <w:top w:val="none" w:sz="0" w:space="0" w:color="auto"/>
                <w:left w:val="none" w:sz="0" w:space="0" w:color="auto"/>
                <w:bottom w:val="none" w:sz="0" w:space="0" w:color="auto"/>
                <w:right w:val="none" w:sz="0" w:space="0" w:color="auto"/>
              </w:divBdr>
            </w:div>
            <w:div w:id="1485967892">
              <w:marLeft w:val="0"/>
              <w:marRight w:val="0"/>
              <w:marTop w:val="0"/>
              <w:marBottom w:val="0"/>
              <w:divBdr>
                <w:top w:val="none" w:sz="0" w:space="0" w:color="auto"/>
                <w:left w:val="none" w:sz="0" w:space="0" w:color="auto"/>
                <w:bottom w:val="none" w:sz="0" w:space="0" w:color="auto"/>
                <w:right w:val="none" w:sz="0" w:space="0" w:color="auto"/>
              </w:divBdr>
            </w:div>
          </w:divsChild>
        </w:div>
        <w:div w:id="686294171">
          <w:marLeft w:val="0"/>
          <w:marRight w:val="0"/>
          <w:marTop w:val="0"/>
          <w:marBottom w:val="0"/>
          <w:divBdr>
            <w:top w:val="none" w:sz="0" w:space="0" w:color="auto"/>
            <w:left w:val="none" w:sz="0" w:space="0" w:color="auto"/>
            <w:bottom w:val="none" w:sz="0" w:space="0" w:color="auto"/>
            <w:right w:val="none" w:sz="0" w:space="0" w:color="auto"/>
          </w:divBdr>
          <w:divsChild>
            <w:div w:id="1563830908">
              <w:marLeft w:val="0"/>
              <w:marRight w:val="0"/>
              <w:marTop w:val="0"/>
              <w:marBottom w:val="0"/>
              <w:divBdr>
                <w:top w:val="none" w:sz="0" w:space="0" w:color="auto"/>
                <w:left w:val="none" w:sz="0" w:space="0" w:color="auto"/>
                <w:bottom w:val="none" w:sz="0" w:space="0" w:color="auto"/>
                <w:right w:val="none" w:sz="0" w:space="0" w:color="auto"/>
              </w:divBdr>
            </w:div>
            <w:div w:id="1959676781">
              <w:marLeft w:val="0"/>
              <w:marRight w:val="0"/>
              <w:marTop w:val="0"/>
              <w:marBottom w:val="0"/>
              <w:divBdr>
                <w:top w:val="none" w:sz="0" w:space="0" w:color="auto"/>
                <w:left w:val="none" w:sz="0" w:space="0" w:color="auto"/>
                <w:bottom w:val="none" w:sz="0" w:space="0" w:color="auto"/>
                <w:right w:val="none" w:sz="0" w:space="0" w:color="auto"/>
              </w:divBdr>
            </w:div>
          </w:divsChild>
        </w:div>
        <w:div w:id="1403942843">
          <w:marLeft w:val="0"/>
          <w:marRight w:val="0"/>
          <w:marTop w:val="0"/>
          <w:marBottom w:val="0"/>
          <w:divBdr>
            <w:top w:val="none" w:sz="0" w:space="0" w:color="auto"/>
            <w:left w:val="none" w:sz="0" w:space="0" w:color="auto"/>
            <w:bottom w:val="none" w:sz="0" w:space="0" w:color="auto"/>
            <w:right w:val="none" w:sz="0" w:space="0" w:color="auto"/>
          </w:divBdr>
          <w:divsChild>
            <w:div w:id="821311380">
              <w:marLeft w:val="0"/>
              <w:marRight w:val="0"/>
              <w:marTop w:val="0"/>
              <w:marBottom w:val="0"/>
              <w:divBdr>
                <w:top w:val="none" w:sz="0" w:space="0" w:color="auto"/>
                <w:left w:val="none" w:sz="0" w:space="0" w:color="auto"/>
                <w:bottom w:val="none" w:sz="0" w:space="0" w:color="auto"/>
                <w:right w:val="none" w:sz="0" w:space="0" w:color="auto"/>
              </w:divBdr>
            </w:div>
            <w:div w:id="1219436211">
              <w:marLeft w:val="0"/>
              <w:marRight w:val="0"/>
              <w:marTop w:val="0"/>
              <w:marBottom w:val="0"/>
              <w:divBdr>
                <w:top w:val="none" w:sz="0" w:space="0" w:color="auto"/>
                <w:left w:val="none" w:sz="0" w:space="0" w:color="auto"/>
                <w:bottom w:val="none" w:sz="0" w:space="0" w:color="auto"/>
                <w:right w:val="none" w:sz="0" w:space="0" w:color="auto"/>
              </w:divBdr>
            </w:div>
          </w:divsChild>
        </w:div>
        <w:div w:id="1411149297">
          <w:marLeft w:val="0"/>
          <w:marRight w:val="0"/>
          <w:marTop w:val="0"/>
          <w:marBottom w:val="0"/>
          <w:divBdr>
            <w:top w:val="none" w:sz="0" w:space="0" w:color="auto"/>
            <w:left w:val="none" w:sz="0" w:space="0" w:color="auto"/>
            <w:bottom w:val="none" w:sz="0" w:space="0" w:color="auto"/>
            <w:right w:val="none" w:sz="0" w:space="0" w:color="auto"/>
          </w:divBdr>
          <w:divsChild>
            <w:div w:id="797525096">
              <w:marLeft w:val="0"/>
              <w:marRight w:val="0"/>
              <w:marTop w:val="0"/>
              <w:marBottom w:val="0"/>
              <w:divBdr>
                <w:top w:val="none" w:sz="0" w:space="0" w:color="auto"/>
                <w:left w:val="none" w:sz="0" w:space="0" w:color="auto"/>
                <w:bottom w:val="none" w:sz="0" w:space="0" w:color="auto"/>
                <w:right w:val="none" w:sz="0" w:space="0" w:color="auto"/>
              </w:divBdr>
            </w:div>
            <w:div w:id="1480993696">
              <w:marLeft w:val="0"/>
              <w:marRight w:val="0"/>
              <w:marTop w:val="0"/>
              <w:marBottom w:val="0"/>
              <w:divBdr>
                <w:top w:val="none" w:sz="0" w:space="0" w:color="auto"/>
                <w:left w:val="none" w:sz="0" w:space="0" w:color="auto"/>
                <w:bottom w:val="none" w:sz="0" w:space="0" w:color="auto"/>
                <w:right w:val="none" w:sz="0" w:space="0" w:color="auto"/>
              </w:divBdr>
            </w:div>
          </w:divsChild>
        </w:div>
        <w:div w:id="1834442597">
          <w:marLeft w:val="0"/>
          <w:marRight w:val="0"/>
          <w:marTop w:val="0"/>
          <w:marBottom w:val="0"/>
          <w:divBdr>
            <w:top w:val="none" w:sz="0" w:space="0" w:color="auto"/>
            <w:left w:val="none" w:sz="0" w:space="0" w:color="auto"/>
            <w:bottom w:val="none" w:sz="0" w:space="0" w:color="auto"/>
            <w:right w:val="none" w:sz="0" w:space="0" w:color="auto"/>
          </w:divBdr>
          <w:divsChild>
            <w:div w:id="1144466164">
              <w:marLeft w:val="0"/>
              <w:marRight w:val="0"/>
              <w:marTop w:val="0"/>
              <w:marBottom w:val="0"/>
              <w:divBdr>
                <w:top w:val="none" w:sz="0" w:space="0" w:color="auto"/>
                <w:left w:val="none" w:sz="0" w:space="0" w:color="auto"/>
                <w:bottom w:val="none" w:sz="0" w:space="0" w:color="auto"/>
                <w:right w:val="none" w:sz="0" w:space="0" w:color="auto"/>
              </w:divBdr>
            </w:div>
            <w:div w:id="1331637403">
              <w:marLeft w:val="0"/>
              <w:marRight w:val="0"/>
              <w:marTop w:val="0"/>
              <w:marBottom w:val="0"/>
              <w:divBdr>
                <w:top w:val="none" w:sz="0" w:space="0" w:color="auto"/>
                <w:left w:val="none" w:sz="0" w:space="0" w:color="auto"/>
                <w:bottom w:val="none" w:sz="0" w:space="0" w:color="auto"/>
                <w:right w:val="none" w:sz="0" w:space="0" w:color="auto"/>
              </w:divBdr>
            </w:div>
            <w:div w:id="1581599465">
              <w:marLeft w:val="0"/>
              <w:marRight w:val="0"/>
              <w:marTop w:val="0"/>
              <w:marBottom w:val="0"/>
              <w:divBdr>
                <w:top w:val="none" w:sz="0" w:space="0" w:color="auto"/>
                <w:left w:val="none" w:sz="0" w:space="0" w:color="auto"/>
                <w:bottom w:val="none" w:sz="0" w:space="0" w:color="auto"/>
                <w:right w:val="none" w:sz="0" w:space="0" w:color="auto"/>
              </w:divBdr>
            </w:div>
            <w:div w:id="2073311752">
              <w:marLeft w:val="0"/>
              <w:marRight w:val="0"/>
              <w:marTop w:val="0"/>
              <w:marBottom w:val="0"/>
              <w:divBdr>
                <w:top w:val="none" w:sz="0" w:space="0" w:color="auto"/>
                <w:left w:val="none" w:sz="0" w:space="0" w:color="auto"/>
                <w:bottom w:val="none" w:sz="0" w:space="0" w:color="auto"/>
                <w:right w:val="none" w:sz="0" w:space="0" w:color="auto"/>
              </w:divBdr>
            </w:div>
          </w:divsChild>
        </w:div>
        <w:div w:id="2102558351">
          <w:marLeft w:val="0"/>
          <w:marRight w:val="0"/>
          <w:marTop w:val="0"/>
          <w:marBottom w:val="0"/>
          <w:divBdr>
            <w:top w:val="none" w:sz="0" w:space="0" w:color="auto"/>
            <w:left w:val="none" w:sz="0" w:space="0" w:color="auto"/>
            <w:bottom w:val="none" w:sz="0" w:space="0" w:color="auto"/>
            <w:right w:val="none" w:sz="0" w:space="0" w:color="auto"/>
          </w:divBdr>
          <w:divsChild>
            <w:div w:id="1043990778">
              <w:marLeft w:val="0"/>
              <w:marRight w:val="0"/>
              <w:marTop w:val="0"/>
              <w:marBottom w:val="0"/>
              <w:divBdr>
                <w:top w:val="none" w:sz="0" w:space="0" w:color="auto"/>
                <w:left w:val="none" w:sz="0" w:space="0" w:color="auto"/>
                <w:bottom w:val="none" w:sz="0" w:space="0" w:color="auto"/>
                <w:right w:val="none" w:sz="0" w:space="0" w:color="auto"/>
              </w:divBdr>
            </w:div>
            <w:div w:id="184243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9470">
      <w:bodyDiv w:val="1"/>
      <w:marLeft w:val="0"/>
      <w:marRight w:val="0"/>
      <w:marTop w:val="0"/>
      <w:marBottom w:val="0"/>
      <w:divBdr>
        <w:top w:val="none" w:sz="0" w:space="0" w:color="auto"/>
        <w:left w:val="none" w:sz="0" w:space="0" w:color="auto"/>
        <w:bottom w:val="none" w:sz="0" w:space="0" w:color="auto"/>
        <w:right w:val="none" w:sz="0" w:space="0" w:color="auto"/>
      </w:divBdr>
    </w:div>
    <w:div w:id="1787263473">
      <w:bodyDiv w:val="1"/>
      <w:marLeft w:val="0"/>
      <w:marRight w:val="0"/>
      <w:marTop w:val="0"/>
      <w:marBottom w:val="0"/>
      <w:divBdr>
        <w:top w:val="none" w:sz="0" w:space="0" w:color="auto"/>
        <w:left w:val="none" w:sz="0" w:space="0" w:color="auto"/>
        <w:bottom w:val="none" w:sz="0" w:space="0" w:color="auto"/>
        <w:right w:val="none" w:sz="0" w:space="0" w:color="auto"/>
      </w:divBdr>
      <w:divsChild>
        <w:div w:id="14233927">
          <w:marLeft w:val="0"/>
          <w:marRight w:val="0"/>
          <w:marTop w:val="0"/>
          <w:marBottom w:val="0"/>
          <w:divBdr>
            <w:top w:val="none" w:sz="0" w:space="0" w:color="auto"/>
            <w:left w:val="none" w:sz="0" w:space="0" w:color="auto"/>
            <w:bottom w:val="none" w:sz="0" w:space="0" w:color="auto"/>
            <w:right w:val="none" w:sz="0" w:space="0" w:color="auto"/>
          </w:divBdr>
        </w:div>
        <w:div w:id="33043693">
          <w:marLeft w:val="0"/>
          <w:marRight w:val="0"/>
          <w:marTop w:val="0"/>
          <w:marBottom w:val="0"/>
          <w:divBdr>
            <w:top w:val="none" w:sz="0" w:space="0" w:color="auto"/>
            <w:left w:val="none" w:sz="0" w:space="0" w:color="auto"/>
            <w:bottom w:val="none" w:sz="0" w:space="0" w:color="auto"/>
            <w:right w:val="none" w:sz="0" w:space="0" w:color="auto"/>
          </w:divBdr>
        </w:div>
        <w:div w:id="97066017">
          <w:marLeft w:val="0"/>
          <w:marRight w:val="0"/>
          <w:marTop w:val="0"/>
          <w:marBottom w:val="0"/>
          <w:divBdr>
            <w:top w:val="none" w:sz="0" w:space="0" w:color="auto"/>
            <w:left w:val="none" w:sz="0" w:space="0" w:color="auto"/>
            <w:bottom w:val="none" w:sz="0" w:space="0" w:color="auto"/>
            <w:right w:val="none" w:sz="0" w:space="0" w:color="auto"/>
          </w:divBdr>
        </w:div>
        <w:div w:id="214391586">
          <w:marLeft w:val="0"/>
          <w:marRight w:val="0"/>
          <w:marTop w:val="0"/>
          <w:marBottom w:val="0"/>
          <w:divBdr>
            <w:top w:val="none" w:sz="0" w:space="0" w:color="auto"/>
            <w:left w:val="none" w:sz="0" w:space="0" w:color="auto"/>
            <w:bottom w:val="none" w:sz="0" w:space="0" w:color="auto"/>
            <w:right w:val="none" w:sz="0" w:space="0" w:color="auto"/>
          </w:divBdr>
        </w:div>
        <w:div w:id="219249729">
          <w:marLeft w:val="0"/>
          <w:marRight w:val="0"/>
          <w:marTop w:val="0"/>
          <w:marBottom w:val="0"/>
          <w:divBdr>
            <w:top w:val="none" w:sz="0" w:space="0" w:color="auto"/>
            <w:left w:val="none" w:sz="0" w:space="0" w:color="auto"/>
            <w:bottom w:val="none" w:sz="0" w:space="0" w:color="auto"/>
            <w:right w:val="none" w:sz="0" w:space="0" w:color="auto"/>
          </w:divBdr>
        </w:div>
        <w:div w:id="254021077">
          <w:marLeft w:val="0"/>
          <w:marRight w:val="0"/>
          <w:marTop w:val="0"/>
          <w:marBottom w:val="0"/>
          <w:divBdr>
            <w:top w:val="none" w:sz="0" w:space="0" w:color="auto"/>
            <w:left w:val="none" w:sz="0" w:space="0" w:color="auto"/>
            <w:bottom w:val="none" w:sz="0" w:space="0" w:color="auto"/>
            <w:right w:val="none" w:sz="0" w:space="0" w:color="auto"/>
          </w:divBdr>
        </w:div>
        <w:div w:id="318266902">
          <w:marLeft w:val="0"/>
          <w:marRight w:val="0"/>
          <w:marTop w:val="0"/>
          <w:marBottom w:val="0"/>
          <w:divBdr>
            <w:top w:val="none" w:sz="0" w:space="0" w:color="auto"/>
            <w:left w:val="none" w:sz="0" w:space="0" w:color="auto"/>
            <w:bottom w:val="none" w:sz="0" w:space="0" w:color="auto"/>
            <w:right w:val="none" w:sz="0" w:space="0" w:color="auto"/>
          </w:divBdr>
        </w:div>
        <w:div w:id="360016360">
          <w:marLeft w:val="0"/>
          <w:marRight w:val="0"/>
          <w:marTop w:val="0"/>
          <w:marBottom w:val="0"/>
          <w:divBdr>
            <w:top w:val="none" w:sz="0" w:space="0" w:color="auto"/>
            <w:left w:val="none" w:sz="0" w:space="0" w:color="auto"/>
            <w:bottom w:val="none" w:sz="0" w:space="0" w:color="auto"/>
            <w:right w:val="none" w:sz="0" w:space="0" w:color="auto"/>
          </w:divBdr>
        </w:div>
        <w:div w:id="389767391">
          <w:marLeft w:val="0"/>
          <w:marRight w:val="0"/>
          <w:marTop w:val="0"/>
          <w:marBottom w:val="0"/>
          <w:divBdr>
            <w:top w:val="none" w:sz="0" w:space="0" w:color="auto"/>
            <w:left w:val="none" w:sz="0" w:space="0" w:color="auto"/>
            <w:bottom w:val="none" w:sz="0" w:space="0" w:color="auto"/>
            <w:right w:val="none" w:sz="0" w:space="0" w:color="auto"/>
          </w:divBdr>
        </w:div>
        <w:div w:id="437023503">
          <w:marLeft w:val="0"/>
          <w:marRight w:val="0"/>
          <w:marTop w:val="0"/>
          <w:marBottom w:val="0"/>
          <w:divBdr>
            <w:top w:val="none" w:sz="0" w:space="0" w:color="auto"/>
            <w:left w:val="none" w:sz="0" w:space="0" w:color="auto"/>
            <w:bottom w:val="none" w:sz="0" w:space="0" w:color="auto"/>
            <w:right w:val="none" w:sz="0" w:space="0" w:color="auto"/>
          </w:divBdr>
        </w:div>
        <w:div w:id="437214857">
          <w:marLeft w:val="0"/>
          <w:marRight w:val="0"/>
          <w:marTop w:val="0"/>
          <w:marBottom w:val="0"/>
          <w:divBdr>
            <w:top w:val="none" w:sz="0" w:space="0" w:color="auto"/>
            <w:left w:val="none" w:sz="0" w:space="0" w:color="auto"/>
            <w:bottom w:val="none" w:sz="0" w:space="0" w:color="auto"/>
            <w:right w:val="none" w:sz="0" w:space="0" w:color="auto"/>
          </w:divBdr>
        </w:div>
        <w:div w:id="444885198">
          <w:marLeft w:val="0"/>
          <w:marRight w:val="0"/>
          <w:marTop w:val="0"/>
          <w:marBottom w:val="0"/>
          <w:divBdr>
            <w:top w:val="none" w:sz="0" w:space="0" w:color="auto"/>
            <w:left w:val="none" w:sz="0" w:space="0" w:color="auto"/>
            <w:bottom w:val="none" w:sz="0" w:space="0" w:color="auto"/>
            <w:right w:val="none" w:sz="0" w:space="0" w:color="auto"/>
          </w:divBdr>
        </w:div>
        <w:div w:id="599144459">
          <w:marLeft w:val="0"/>
          <w:marRight w:val="0"/>
          <w:marTop w:val="0"/>
          <w:marBottom w:val="0"/>
          <w:divBdr>
            <w:top w:val="none" w:sz="0" w:space="0" w:color="auto"/>
            <w:left w:val="none" w:sz="0" w:space="0" w:color="auto"/>
            <w:bottom w:val="none" w:sz="0" w:space="0" w:color="auto"/>
            <w:right w:val="none" w:sz="0" w:space="0" w:color="auto"/>
          </w:divBdr>
        </w:div>
        <w:div w:id="739599128">
          <w:marLeft w:val="0"/>
          <w:marRight w:val="0"/>
          <w:marTop w:val="0"/>
          <w:marBottom w:val="0"/>
          <w:divBdr>
            <w:top w:val="none" w:sz="0" w:space="0" w:color="auto"/>
            <w:left w:val="none" w:sz="0" w:space="0" w:color="auto"/>
            <w:bottom w:val="none" w:sz="0" w:space="0" w:color="auto"/>
            <w:right w:val="none" w:sz="0" w:space="0" w:color="auto"/>
          </w:divBdr>
        </w:div>
        <w:div w:id="898633989">
          <w:marLeft w:val="0"/>
          <w:marRight w:val="0"/>
          <w:marTop w:val="0"/>
          <w:marBottom w:val="0"/>
          <w:divBdr>
            <w:top w:val="none" w:sz="0" w:space="0" w:color="auto"/>
            <w:left w:val="none" w:sz="0" w:space="0" w:color="auto"/>
            <w:bottom w:val="none" w:sz="0" w:space="0" w:color="auto"/>
            <w:right w:val="none" w:sz="0" w:space="0" w:color="auto"/>
          </w:divBdr>
        </w:div>
        <w:div w:id="933587934">
          <w:marLeft w:val="0"/>
          <w:marRight w:val="0"/>
          <w:marTop w:val="0"/>
          <w:marBottom w:val="0"/>
          <w:divBdr>
            <w:top w:val="none" w:sz="0" w:space="0" w:color="auto"/>
            <w:left w:val="none" w:sz="0" w:space="0" w:color="auto"/>
            <w:bottom w:val="none" w:sz="0" w:space="0" w:color="auto"/>
            <w:right w:val="none" w:sz="0" w:space="0" w:color="auto"/>
          </w:divBdr>
        </w:div>
        <w:div w:id="1011488417">
          <w:marLeft w:val="0"/>
          <w:marRight w:val="0"/>
          <w:marTop w:val="0"/>
          <w:marBottom w:val="0"/>
          <w:divBdr>
            <w:top w:val="none" w:sz="0" w:space="0" w:color="auto"/>
            <w:left w:val="none" w:sz="0" w:space="0" w:color="auto"/>
            <w:bottom w:val="none" w:sz="0" w:space="0" w:color="auto"/>
            <w:right w:val="none" w:sz="0" w:space="0" w:color="auto"/>
          </w:divBdr>
        </w:div>
        <w:div w:id="1022170128">
          <w:marLeft w:val="0"/>
          <w:marRight w:val="0"/>
          <w:marTop w:val="0"/>
          <w:marBottom w:val="0"/>
          <w:divBdr>
            <w:top w:val="none" w:sz="0" w:space="0" w:color="auto"/>
            <w:left w:val="none" w:sz="0" w:space="0" w:color="auto"/>
            <w:bottom w:val="none" w:sz="0" w:space="0" w:color="auto"/>
            <w:right w:val="none" w:sz="0" w:space="0" w:color="auto"/>
          </w:divBdr>
        </w:div>
        <w:div w:id="1063943469">
          <w:marLeft w:val="0"/>
          <w:marRight w:val="0"/>
          <w:marTop w:val="0"/>
          <w:marBottom w:val="0"/>
          <w:divBdr>
            <w:top w:val="none" w:sz="0" w:space="0" w:color="auto"/>
            <w:left w:val="none" w:sz="0" w:space="0" w:color="auto"/>
            <w:bottom w:val="none" w:sz="0" w:space="0" w:color="auto"/>
            <w:right w:val="none" w:sz="0" w:space="0" w:color="auto"/>
          </w:divBdr>
        </w:div>
        <w:div w:id="1091201728">
          <w:marLeft w:val="0"/>
          <w:marRight w:val="0"/>
          <w:marTop w:val="0"/>
          <w:marBottom w:val="0"/>
          <w:divBdr>
            <w:top w:val="none" w:sz="0" w:space="0" w:color="auto"/>
            <w:left w:val="none" w:sz="0" w:space="0" w:color="auto"/>
            <w:bottom w:val="none" w:sz="0" w:space="0" w:color="auto"/>
            <w:right w:val="none" w:sz="0" w:space="0" w:color="auto"/>
          </w:divBdr>
        </w:div>
        <w:div w:id="1326935315">
          <w:marLeft w:val="0"/>
          <w:marRight w:val="0"/>
          <w:marTop w:val="0"/>
          <w:marBottom w:val="0"/>
          <w:divBdr>
            <w:top w:val="none" w:sz="0" w:space="0" w:color="auto"/>
            <w:left w:val="none" w:sz="0" w:space="0" w:color="auto"/>
            <w:bottom w:val="none" w:sz="0" w:space="0" w:color="auto"/>
            <w:right w:val="none" w:sz="0" w:space="0" w:color="auto"/>
          </w:divBdr>
        </w:div>
        <w:div w:id="1396120909">
          <w:marLeft w:val="0"/>
          <w:marRight w:val="0"/>
          <w:marTop w:val="0"/>
          <w:marBottom w:val="0"/>
          <w:divBdr>
            <w:top w:val="none" w:sz="0" w:space="0" w:color="auto"/>
            <w:left w:val="none" w:sz="0" w:space="0" w:color="auto"/>
            <w:bottom w:val="none" w:sz="0" w:space="0" w:color="auto"/>
            <w:right w:val="none" w:sz="0" w:space="0" w:color="auto"/>
          </w:divBdr>
        </w:div>
        <w:div w:id="1405106855">
          <w:marLeft w:val="0"/>
          <w:marRight w:val="0"/>
          <w:marTop w:val="0"/>
          <w:marBottom w:val="0"/>
          <w:divBdr>
            <w:top w:val="none" w:sz="0" w:space="0" w:color="auto"/>
            <w:left w:val="none" w:sz="0" w:space="0" w:color="auto"/>
            <w:bottom w:val="none" w:sz="0" w:space="0" w:color="auto"/>
            <w:right w:val="none" w:sz="0" w:space="0" w:color="auto"/>
          </w:divBdr>
        </w:div>
        <w:div w:id="1453750045">
          <w:marLeft w:val="0"/>
          <w:marRight w:val="0"/>
          <w:marTop w:val="0"/>
          <w:marBottom w:val="0"/>
          <w:divBdr>
            <w:top w:val="none" w:sz="0" w:space="0" w:color="auto"/>
            <w:left w:val="none" w:sz="0" w:space="0" w:color="auto"/>
            <w:bottom w:val="none" w:sz="0" w:space="0" w:color="auto"/>
            <w:right w:val="none" w:sz="0" w:space="0" w:color="auto"/>
          </w:divBdr>
        </w:div>
        <w:div w:id="1477604707">
          <w:marLeft w:val="0"/>
          <w:marRight w:val="0"/>
          <w:marTop w:val="0"/>
          <w:marBottom w:val="0"/>
          <w:divBdr>
            <w:top w:val="none" w:sz="0" w:space="0" w:color="auto"/>
            <w:left w:val="none" w:sz="0" w:space="0" w:color="auto"/>
            <w:bottom w:val="none" w:sz="0" w:space="0" w:color="auto"/>
            <w:right w:val="none" w:sz="0" w:space="0" w:color="auto"/>
          </w:divBdr>
        </w:div>
        <w:div w:id="1569652912">
          <w:marLeft w:val="0"/>
          <w:marRight w:val="0"/>
          <w:marTop w:val="0"/>
          <w:marBottom w:val="0"/>
          <w:divBdr>
            <w:top w:val="none" w:sz="0" w:space="0" w:color="auto"/>
            <w:left w:val="none" w:sz="0" w:space="0" w:color="auto"/>
            <w:bottom w:val="none" w:sz="0" w:space="0" w:color="auto"/>
            <w:right w:val="none" w:sz="0" w:space="0" w:color="auto"/>
          </w:divBdr>
        </w:div>
        <w:div w:id="1886985388">
          <w:marLeft w:val="0"/>
          <w:marRight w:val="0"/>
          <w:marTop w:val="0"/>
          <w:marBottom w:val="0"/>
          <w:divBdr>
            <w:top w:val="none" w:sz="0" w:space="0" w:color="auto"/>
            <w:left w:val="none" w:sz="0" w:space="0" w:color="auto"/>
            <w:bottom w:val="none" w:sz="0" w:space="0" w:color="auto"/>
            <w:right w:val="none" w:sz="0" w:space="0" w:color="auto"/>
          </w:divBdr>
        </w:div>
        <w:div w:id="1904217973">
          <w:marLeft w:val="0"/>
          <w:marRight w:val="0"/>
          <w:marTop w:val="0"/>
          <w:marBottom w:val="0"/>
          <w:divBdr>
            <w:top w:val="none" w:sz="0" w:space="0" w:color="auto"/>
            <w:left w:val="none" w:sz="0" w:space="0" w:color="auto"/>
            <w:bottom w:val="none" w:sz="0" w:space="0" w:color="auto"/>
            <w:right w:val="none" w:sz="0" w:space="0" w:color="auto"/>
          </w:divBdr>
        </w:div>
        <w:div w:id="2033143309">
          <w:marLeft w:val="0"/>
          <w:marRight w:val="0"/>
          <w:marTop w:val="0"/>
          <w:marBottom w:val="0"/>
          <w:divBdr>
            <w:top w:val="none" w:sz="0" w:space="0" w:color="auto"/>
            <w:left w:val="none" w:sz="0" w:space="0" w:color="auto"/>
            <w:bottom w:val="none" w:sz="0" w:space="0" w:color="auto"/>
            <w:right w:val="none" w:sz="0" w:space="0" w:color="auto"/>
          </w:divBdr>
        </w:div>
        <w:div w:id="2044868238">
          <w:marLeft w:val="0"/>
          <w:marRight w:val="0"/>
          <w:marTop w:val="0"/>
          <w:marBottom w:val="0"/>
          <w:divBdr>
            <w:top w:val="none" w:sz="0" w:space="0" w:color="auto"/>
            <w:left w:val="none" w:sz="0" w:space="0" w:color="auto"/>
            <w:bottom w:val="none" w:sz="0" w:space="0" w:color="auto"/>
            <w:right w:val="none" w:sz="0" w:space="0" w:color="auto"/>
          </w:divBdr>
        </w:div>
      </w:divsChild>
    </w:div>
    <w:div w:id="1788624486">
      <w:bodyDiv w:val="1"/>
      <w:marLeft w:val="0"/>
      <w:marRight w:val="0"/>
      <w:marTop w:val="0"/>
      <w:marBottom w:val="0"/>
      <w:divBdr>
        <w:top w:val="none" w:sz="0" w:space="0" w:color="auto"/>
        <w:left w:val="none" w:sz="0" w:space="0" w:color="auto"/>
        <w:bottom w:val="none" w:sz="0" w:space="0" w:color="auto"/>
        <w:right w:val="none" w:sz="0" w:space="0" w:color="auto"/>
      </w:divBdr>
      <w:divsChild>
        <w:div w:id="364451034">
          <w:marLeft w:val="0"/>
          <w:marRight w:val="0"/>
          <w:marTop w:val="0"/>
          <w:marBottom w:val="0"/>
          <w:divBdr>
            <w:top w:val="none" w:sz="0" w:space="0" w:color="auto"/>
            <w:left w:val="none" w:sz="0" w:space="0" w:color="auto"/>
            <w:bottom w:val="none" w:sz="0" w:space="0" w:color="auto"/>
            <w:right w:val="none" w:sz="0" w:space="0" w:color="auto"/>
          </w:divBdr>
          <w:divsChild>
            <w:div w:id="1879928487">
              <w:marLeft w:val="0"/>
              <w:marRight w:val="0"/>
              <w:marTop w:val="0"/>
              <w:marBottom w:val="0"/>
              <w:divBdr>
                <w:top w:val="none" w:sz="0" w:space="0" w:color="auto"/>
                <w:left w:val="none" w:sz="0" w:space="0" w:color="auto"/>
                <w:bottom w:val="none" w:sz="0" w:space="0" w:color="auto"/>
                <w:right w:val="none" w:sz="0" w:space="0" w:color="auto"/>
              </w:divBdr>
              <w:divsChild>
                <w:div w:id="1209495739">
                  <w:marLeft w:val="0"/>
                  <w:marRight w:val="0"/>
                  <w:marTop w:val="0"/>
                  <w:marBottom w:val="0"/>
                  <w:divBdr>
                    <w:top w:val="none" w:sz="0" w:space="0" w:color="auto"/>
                    <w:left w:val="none" w:sz="0" w:space="0" w:color="auto"/>
                    <w:bottom w:val="none" w:sz="0" w:space="0" w:color="auto"/>
                    <w:right w:val="none" w:sz="0" w:space="0" w:color="auto"/>
                  </w:divBdr>
                  <w:divsChild>
                    <w:div w:id="816651688">
                      <w:marLeft w:val="0"/>
                      <w:marRight w:val="0"/>
                      <w:marTop w:val="0"/>
                      <w:marBottom w:val="0"/>
                      <w:divBdr>
                        <w:top w:val="none" w:sz="0" w:space="0" w:color="auto"/>
                        <w:left w:val="none" w:sz="0" w:space="0" w:color="auto"/>
                        <w:bottom w:val="none" w:sz="0" w:space="0" w:color="auto"/>
                        <w:right w:val="none" w:sz="0" w:space="0" w:color="auto"/>
                      </w:divBdr>
                      <w:divsChild>
                        <w:div w:id="408694288">
                          <w:marLeft w:val="0"/>
                          <w:marRight w:val="0"/>
                          <w:marTop w:val="0"/>
                          <w:marBottom w:val="0"/>
                          <w:divBdr>
                            <w:top w:val="none" w:sz="0" w:space="0" w:color="auto"/>
                            <w:left w:val="none" w:sz="0" w:space="0" w:color="auto"/>
                            <w:bottom w:val="none" w:sz="0" w:space="0" w:color="auto"/>
                            <w:right w:val="none" w:sz="0" w:space="0" w:color="auto"/>
                          </w:divBdr>
                          <w:divsChild>
                            <w:div w:id="146535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3478928">
      <w:bodyDiv w:val="1"/>
      <w:marLeft w:val="0"/>
      <w:marRight w:val="0"/>
      <w:marTop w:val="0"/>
      <w:marBottom w:val="0"/>
      <w:divBdr>
        <w:top w:val="none" w:sz="0" w:space="0" w:color="auto"/>
        <w:left w:val="none" w:sz="0" w:space="0" w:color="auto"/>
        <w:bottom w:val="none" w:sz="0" w:space="0" w:color="auto"/>
        <w:right w:val="none" w:sz="0" w:space="0" w:color="auto"/>
      </w:divBdr>
    </w:div>
    <w:div w:id="1799832163">
      <w:bodyDiv w:val="1"/>
      <w:marLeft w:val="0"/>
      <w:marRight w:val="0"/>
      <w:marTop w:val="0"/>
      <w:marBottom w:val="0"/>
      <w:divBdr>
        <w:top w:val="none" w:sz="0" w:space="0" w:color="auto"/>
        <w:left w:val="none" w:sz="0" w:space="0" w:color="auto"/>
        <w:bottom w:val="none" w:sz="0" w:space="0" w:color="auto"/>
        <w:right w:val="none" w:sz="0" w:space="0" w:color="auto"/>
      </w:divBdr>
      <w:divsChild>
        <w:div w:id="71245183">
          <w:marLeft w:val="0"/>
          <w:marRight w:val="0"/>
          <w:marTop w:val="0"/>
          <w:marBottom w:val="0"/>
          <w:divBdr>
            <w:top w:val="none" w:sz="0" w:space="0" w:color="auto"/>
            <w:left w:val="none" w:sz="0" w:space="0" w:color="auto"/>
            <w:bottom w:val="none" w:sz="0" w:space="0" w:color="auto"/>
            <w:right w:val="none" w:sz="0" w:space="0" w:color="auto"/>
          </w:divBdr>
        </w:div>
        <w:div w:id="198981375">
          <w:marLeft w:val="0"/>
          <w:marRight w:val="0"/>
          <w:marTop w:val="0"/>
          <w:marBottom w:val="0"/>
          <w:divBdr>
            <w:top w:val="none" w:sz="0" w:space="0" w:color="auto"/>
            <w:left w:val="none" w:sz="0" w:space="0" w:color="auto"/>
            <w:bottom w:val="none" w:sz="0" w:space="0" w:color="auto"/>
            <w:right w:val="none" w:sz="0" w:space="0" w:color="auto"/>
          </w:divBdr>
        </w:div>
        <w:div w:id="338701252">
          <w:marLeft w:val="0"/>
          <w:marRight w:val="0"/>
          <w:marTop w:val="0"/>
          <w:marBottom w:val="0"/>
          <w:divBdr>
            <w:top w:val="none" w:sz="0" w:space="0" w:color="auto"/>
            <w:left w:val="none" w:sz="0" w:space="0" w:color="auto"/>
            <w:bottom w:val="none" w:sz="0" w:space="0" w:color="auto"/>
            <w:right w:val="none" w:sz="0" w:space="0" w:color="auto"/>
          </w:divBdr>
        </w:div>
        <w:div w:id="495341439">
          <w:marLeft w:val="0"/>
          <w:marRight w:val="0"/>
          <w:marTop w:val="0"/>
          <w:marBottom w:val="0"/>
          <w:divBdr>
            <w:top w:val="none" w:sz="0" w:space="0" w:color="auto"/>
            <w:left w:val="none" w:sz="0" w:space="0" w:color="auto"/>
            <w:bottom w:val="none" w:sz="0" w:space="0" w:color="auto"/>
            <w:right w:val="none" w:sz="0" w:space="0" w:color="auto"/>
          </w:divBdr>
        </w:div>
        <w:div w:id="616639591">
          <w:marLeft w:val="0"/>
          <w:marRight w:val="0"/>
          <w:marTop w:val="0"/>
          <w:marBottom w:val="0"/>
          <w:divBdr>
            <w:top w:val="none" w:sz="0" w:space="0" w:color="auto"/>
            <w:left w:val="none" w:sz="0" w:space="0" w:color="auto"/>
            <w:bottom w:val="none" w:sz="0" w:space="0" w:color="auto"/>
            <w:right w:val="none" w:sz="0" w:space="0" w:color="auto"/>
          </w:divBdr>
        </w:div>
        <w:div w:id="783571431">
          <w:marLeft w:val="0"/>
          <w:marRight w:val="0"/>
          <w:marTop w:val="0"/>
          <w:marBottom w:val="0"/>
          <w:divBdr>
            <w:top w:val="none" w:sz="0" w:space="0" w:color="auto"/>
            <w:left w:val="none" w:sz="0" w:space="0" w:color="auto"/>
            <w:bottom w:val="none" w:sz="0" w:space="0" w:color="auto"/>
            <w:right w:val="none" w:sz="0" w:space="0" w:color="auto"/>
          </w:divBdr>
        </w:div>
        <w:div w:id="1599024486">
          <w:marLeft w:val="0"/>
          <w:marRight w:val="0"/>
          <w:marTop w:val="0"/>
          <w:marBottom w:val="0"/>
          <w:divBdr>
            <w:top w:val="none" w:sz="0" w:space="0" w:color="auto"/>
            <w:left w:val="none" w:sz="0" w:space="0" w:color="auto"/>
            <w:bottom w:val="none" w:sz="0" w:space="0" w:color="auto"/>
            <w:right w:val="none" w:sz="0" w:space="0" w:color="auto"/>
          </w:divBdr>
        </w:div>
        <w:div w:id="2034106583">
          <w:marLeft w:val="0"/>
          <w:marRight w:val="0"/>
          <w:marTop w:val="0"/>
          <w:marBottom w:val="0"/>
          <w:divBdr>
            <w:top w:val="none" w:sz="0" w:space="0" w:color="auto"/>
            <w:left w:val="none" w:sz="0" w:space="0" w:color="auto"/>
            <w:bottom w:val="none" w:sz="0" w:space="0" w:color="auto"/>
            <w:right w:val="none" w:sz="0" w:space="0" w:color="auto"/>
          </w:divBdr>
        </w:div>
      </w:divsChild>
    </w:div>
    <w:div w:id="1812476886">
      <w:bodyDiv w:val="1"/>
      <w:marLeft w:val="0"/>
      <w:marRight w:val="0"/>
      <w:marTop w:val="0"/>
      <w:marBottom w:val="0"/>
      <w:divBdr>
        <w:top w:val="none" w:sz="0" w:space="0" w:color="auto"/>
        <w:left w:val="none" w:sz="0" w:space="0" w:color="auto"/>
        <w:bottom w:val="none" w:sz="0" w:space="0" w:color="auto"/>
        <w:right w:val="none" w:sz="0" w:space="0" w:color="auto"/>
      </w:divBdr>
    </w:div>
    <w:div w:id="1817184974">
      <w:bodyDiv w:val="1"/>
      <w:marLeft w:val="0"/>
      <w:marRight w:val="0"/>
      <w:marTop w:val="0"/>
      <w:marBottom w:val="0"/>
      <w:divBdr>
        <w:top w:val="none" w:sz="0" w:space="0" w:color="auto"/>
        <w:left w:val="none" w:sz="0" w:space="0" w:color="auto"/>
        <w:bottom w:val="none" w:sz="0" w:space="0" w:color="auto"/>
        <w:right w:val="none" w:sz="0" w:space="0" w:color="auto"/>
      </w:divBdr>
      <w:divsChild>
        <w:div w:id="585310763">
          <w:marLeft w:val="0"/>
          <w:marRight w:val="0"/>
          <w:marTop w:val="0"/>
          <w:marBottom w:val="0"/>
          <w:divBdr>
            <w:top w:val="none" w:sz="0" w:space="0" w:color="auto"/>
            <w:left w:val="none" w:sz="0" w:space="0" w:color="auto"/>
            <w:bottom w:val="none" w:sz="0" w:space="0" w:color="auto"/>
            <w:right w:val="none" w:sz="0" w:space="0" w:color="auto"/>
          </w:divBdr>
          <w:divsChild>
            <w:div w:id="1067076194">
              <w:marLeft w:val="0"/>
              <w:marRight w:val="0"/>
              <w:marTop w:val="0"/>
              <w:marBottom w:val="0"/>
              <w:divBdr>
                <w:top w:val="none" w:sz="0" w:space="0" w:color="auto"/>
                <w:left w:val="none" w:sz="0" w:space="0" w:color="auto"/>
                <w:bottom w:val="none" w:sz="0" w:space="0" w:color="auto"/>
                <w:right w:val="none" w:sz="0" w:space="0" w:color="auto"/>
              </w:divBdr>
              <w:divsChild>
                <w:div w:id="856650158">
                  <w:marLeft w:val="0"/>
                  <w:marRight w:val="0"/>
                  <w:marTop w:val="0"/>
                  <w:marBottom w:val="0"/>
                  <w:divBdr>
                    <w:top w:val="none" w:sz="0" w:space="0" w:color="auto"/>
                    <w:left w:val="none" w:sz="0" w:space="0" w:color="auto"/>
                    <w:bottom w:val="none" w:sz="0" w:space="0" w:color="auto"/>
                    <w:right w:val="none" w:sz="0" w:space="0" w:color="auto"/>
                  </w:divBdr>
                  <w:divsChild>
                    <w:div w:id="2051031409">
                      <w:marLeft w:val="0"/>
                      <w:marRight w:val="0"/>
                      <w:marTop w:val="0"/>
                      <w:marBottom w:val="0"/>
                      <w:divBdr>
                        <w:top w:val="none" w:sz="0" w:space="0" w:color="auto"/>
                        <w:left w:val="none" w:sz="0" w:space="0" w:color="auto"/>
                        <w:bottom w:val="none" w:sz="0" w:space="0" w:color="auto"/>
                        <w:right w:val="none" w:sz="0" w:space="0" w:color="auto"/>
                      </w:divBdr>
                      <w:divsChild>
                        <w:div w:id="129047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188401">
      <w:bodyDiv w:val="1"/>
      <w:marLeft w:val="0"/>
      <w:marRight w:val="0"/>
      <w:marTop w:val="0"/>
      <w:marBottom w:val="0"/>
      <w:divBdr>
        <w:top w:val="none" w:sz="0" w:space="0" w:color="auto"/>
        <w:left w:val="none" w:sz="0" w:space="0" w:color="auto"/>
        <w:bottom w:val="none" w:sz="0" w:space="0" w:color="auto"/>
        <w:right w:val="none" w:sz="0" w:space="0" w:color="auto"/>
      </w:divBdr>
      <w:divsChild>
        <w:div w:id="1289818016">
          <w:marLeft w:val="0"/>
          <w:marRight w:val="0"/>
          <w:marTop w:val="0"/>
          <w:marBottom w:val="0"/>
          <w:divBdr>
            <w:top w:val="none" w:sz="0" w:space="0" w:color="auto"/>
            <w:left w:val="none" w:sz="0" w:space="0" w:color="auto"/>
            <w:bottom w:val="none" w:sz="0" w:space="0" w:color="auto"/>
            <w:right w:val="none" w:sz="0" w:space="0" w:color="auto"/>
          </w:divBdr>
          <w:divsChild>
            <w:div w:id="1932355540">
              <w:marLeft w:val="0"/>
              <w:marRight w:val="0"/>
              <w:marTop w:val="0"/>
              <w:marBottom w:val="0"/>
              <w:divBdr>
                <w:top w:val="none" w:sz="0" w:space="0" w:color="auto"/>
                <w:left w:val="none" w:sz="0" w:space="0" w:color="auto"/>
                <w:bottom w:val="none" w:sz="0" w:space="0" w:color="auto"/>
                <w:right w:val="none" w:sz="0" w:space="0" w:color="auto"/>
              </w:divBdr>
              <w:divsChild>
                <w:div w:id="1874146494">
                  <w:marLeft w:val="0"/>
                  <w:marRight w:val="0"/>
                  <w:marTop w:val="0"/>
                  <w:marBottom w:val="0"/>
                  <w:divBdr>
                    <w:top w:val="none" w:sz="0" w:space="0" w:color="auto"/>
                    <w:left w:val="none" w:sz="0" w:space="0" w:color="auto"/>
                    <w:bottom w:val="none" w:sz="0" w:space="0" w:color="auto"/>
                    <w:right w:val="none" w:sz="0" w:space="0" w:color="auto"/>
                  </w:divBdr>
                  <w:divsChild>
                    <w:div w:id="1230269430">
                      <w:marLeft w:val="0"/>
                      <w:marRight w:val="0"/>
                      <w:marTop w:val="0"/>
                      <w:marBottom w:val="0"/>
                      <w:divBdr>
                        <w:top w:val="none" w:sz="0" w:space="0" w:color="auto"/>
                        <w:left w:val="none" w:sz="0" w:space="0" w:color="auto"/>
                        <w:bottom w:val="none" w:sz="0" w:space="0" w:color="auto"/>
                        <w:right w:val="none" w:sz="0" w:space="0" w:color="auto"/>
                      </w:divBdr>
                      <w:divsChild>
                        <w:div w:id="651910356">
                          <w:marLeft w:val="0"/>
                          <w:marRight w:val="0"/>
                          <w:marTop w:val="0"/>
                          <w:marBottom w:val="0"/>
                          <w:divBdr>
                            <w:top w:val="none" w:sz="0" w:space="0" w:color="auto"/>
                            <w:left w:val="none" w:sz="0" w:space="0" w:color="auto"/>
                            <w:bottom w:val="none" w:sz="0" w:space="0" w:color="auto"/>
                            <w:right w:val="none" w:sz="0" w:space="0" w:color="auto"/>
                          </w:divBdr>
                          <w:divsChild>
                            <w:div w:id="12481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7330532">
      <w:bodyDiv w:val="1"/>
      <w:marLeft w:val="0"/>
      <w:marRight w:val="0"/>
      <w:marTop w:val="0"/>
      <w:marBottom w:val="0"/>
      <w:divBdr>
        <w:top w:val="none" w:sz="0" w:space="0" w:color="auto"/>
        <w:left w:val="none" w:sz="0" w:space="0" w:color="auto"/>
        <w:bottom w:val="none" w:sz="0" w:space="0" w:color="auto"/>
        <w:right w:val="none" w:sz="0" w:space="0" w:color="auto"/>
      </w:divBdr>
    </w:div>
    <w:div w:id="1833259448">
      <w:bodyDiv w:val="1"/>
      <w:marLeft w:val="0"/>
      <w:marRight w:val="0"/>
      <w:marTop w:val="0"/>
      <w:marBottom w:val="0"/>
      <w:divBdr>
        <w:top w:val="none" w:sz="0" w:space="0" w:color="auto"/>
        <w:left w:val="none" w:sz="0" w:space="0" w:color="auto"/>
        <w:bottom w:val="none" w:sz="0" w:space="0" w:color="auto"/>
        <w:right w:val="none" w:sz="0" w:space="0" w:color="auto"/>
      </w:divBdr>
    </w:div>
    <w:div w:id="1834225484">
      <w:bodyDiv w:val="1"/>
      <w:marLeft w:val="0"/>
      <w:marRight w:val="0"/>
      <w:marTop w:val="0"/>
      <w:marBottom w:val="0"/>
      <w:divBdr>
        <w:top w:val="none" w:sz="0" w:space="0" w:color="auto"/>
        <w:left w:val="none" w:sz="0" w:space="0" w:color="auto"/>
        <w:bottom w:val="none" w:sz="0" w:space="0" w:color="auto"/>
        <w:right w:val="none" w:sz="0" w:space="0" w:color="auto"/>
      </w:divBdr>
    </w:div>
    <w:div w:id="1838616811">
      <w:bodyDiv w:val="1"/>
      <w:marLeft w:val="0"/>
      <w:marRight w:val="0"/>
      <w:marTop w:val="0"/>
      <w:marBottom w:val="0"/>
      <w:divBdr>
        <w:top w:val="none" w:sz="0" w:space="0" w:color="auto"/>
        <w:left w:val="none" w:sz="0" w:space="0" w:color="auto"/>
        <w:bottom w:val="none" w:sz="0" w:space="0" w:color="auto"/>
        <w:right w:val="none" w:sz="0" w:space="0" w:color="auto"/>
      </w:divBdr>
    </w:div>
    <w:div w:id="1839079508">
      <w:bodyDiv w:val="1"/>
      <w:marLeft w:val="0"/>
      <w:marRight w:val="0"/>
      <w:marTop w:val="0"/>
      <w:marBottom w:val="0"/>
      <w:divBdr>
        <w:top w:val="none" w:sz="0" w:space="0" w:color="auto"/>
        <w:left w:val="none" w:sz="0" w:space="0" w:color="auto"/>
        <w:bottom w:val="none" w:sz="0" w:space="0" w:color="auto"/>
        <w:right w:val="none" w:sz="0" w:space="0" w:color="auto"/>
      </w:divBdr>
    </w:div>
    <w:div w:id="1839613161">
      <w:bodyDiv w:val="1"/>
      <w:marLeft w:val="0"/>
      <w:marRight w:val="0"/>
      <w:marTop w:val="0"/>
      <w:marBottom w:val="0"/>
      <w:divBdr>
        <w:top w:val="none" w:sz="0" w:space="0" w:color="auto"/>
        <w:left w:val="none" w:sz="0" w:space="0" w:color="auto"/>
        <w:bottom w:val="none" w:sz="0" w:space="0" w:color="auto"/>
        <w:right w:val="none" w:sz="0" w:space="0" w:color="auto"/>
      </w:divBdr>
      <w:divsChild>
        <w:div w:id="541946807">
          <w:marLeft w:val="0"/>
          <w:marRight w:val="0"/>
          <w:marTop w:val="0"/>
          <w:marBottom w:val="0"/>
          <w:divBdr>
            <w:top w:val="none" w:sz="0" w:space="0" w:color="auto"/>
            <w:left w:val="none" w:sz="0" w:space="0" w:color="auto"/>
            <w:bottom w:val="none" w:sz="0" w:space="0" w:color="auto"/>
            <w:right w:val="none" w:sz="0" w:space="0" w:color="auto"/>
          </w:divBdr>
          <w:divsChild>
            <w:div w:id="535775645">
              <w:marLeft w:val="0"/>
              <w:marRight w:val="0"/>
              <w:marTop w:val="0"/>
              <w:marBottom w:val="0"/>
              <w:divBdr>
                <w:top w:val="none" w:sz="0" w:space="0" w:color="auto"/>
                <w:left w:val="none" w:sz="0" w:space="0" w:color="auto"/>
                <w:bottom w:val="none" w:sz="0" w:space="0" w:color="auto"/>
                <w:right w:val="none" w:sz="0" w:space="0" w:color="auto"/>
              </w:divBdr>
            </w:div>
            <w:div w:id="600378333">
              <w:marLeft w:val="0"/>
              <w:marRight w:val="0"/>
              <w:marTop w:val="0"/>
              <w:marBottom w:val="0"/>
              <w:divBdr>
                <w:top w:val="none" w:sz="0" w:space="0" w:color="auto"/>
                <w:left w:val="none" w:sz="0" w:space="0" w:color="auto"/>
                <w:bottom w:val="none" w:sz="0" w:space="0" w:color="auto"/>
                <w:right w:val="none" w:sz="0" w:space="0" w:color="auto"/>
              </w:divBdr>
            </w:div>
            <w:div w:id="1257985017">
              <w:marLeft w:val="0"/>
              <w:marRight w:val="0"/>
              <w:marTop w:val="0"/>
              <w:marBottom w:val="0"/>
              <w:divBdr>
                <w:top w:val="none" w:sz="0" w:space="0" w:color="auto"/>
                <w:left w:val="none" w:sz="0" w:space="0" w:color="auto"/>
                <w:bottom w:val="none" w:sz="0" w:space="0" w:color="auto"/>
                <w:right w:val="none" w:sz="0" w:space="0" w:color="auto"/>
              </w:divBdr>
            </w:div>
            <w:div w:id="183056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975650">
      <w:bodyDiv w:val="1"/>
      <w:marLeft w:val="0"/>
      <w:marRight w:val="0"/>
      <w:marTop w:val="0"/>
      <w:marBottom w:val="0"/>
      <w:divBdr>
        <w:top w:val="none" w:sz="0" w:space="0" w:color="auto"/>
        <w:left w:val="none" w:sz="0" w:space="0" w:color="auto"/>
        <w:bottom w:val="none" w:sz="0" w:space="0" w:color="auto"/>
        <w:right w:val="none" w:sz="0" w:space="0" w:color="auto"/>
      </w:divBdr>
    </w:div>
    <w:div w:id="1847860710">
      <w:bodyDiv w:val="1"/>
      <w:marLeft w:val="0"/>
      <w:marRight w:val="0"/>
      <w:marTop w:val="0"/>
      <w:marBottom w:val="0"/>
      <w:divBdr>
        <w:top w:val="none" w:sz="0" w:space="0" w:color="auto"/>
        <w:left w:val="none" w:sz="0" w:space="0" w:color="auto"/>
        <w:bottom w:val="none" w:sz="0" w:space="0" w:color="auto"/>
        <w:right w:val="none" w:sz="0" w:space="0" w:color="auto"/>
      </w:divBdr>
      <w:divsChild>
        <w:div w:id="2090038636">
          <w:marLeft w:val="547"/>
          <w:marRight w:val="0"/>
          <w:marTop w:val="0"/>
          <w:marBottom w:val="0"/>
          <w:divBdr>
            <w:top w:val="none" w:sz="0" w:space="0" w:color="auto"/>
            <w:left w:val="none" w:sz="0" w:space="0" w:color="auto"/>
            <w:bottom w:val="none" w:sz="0" w:space="0" w:color="auto"/>
            <w:right w:val="none" w:sz="0" w:space="0" w:color="auto"/>
          </w:divBdr>
        </w:div>
      </w:divsChild>
    </w:div>
    <w:div w:id="1849824951">
      <w:bodyDiv w:val="1"/>
      <w:marLeft w:val="0"/>
      <w:marRight w:val="0"/>
      <w:marTop w:val="0"/>
      <w:marBottom w:val="0"/>
      <w:divBdr>
        <w:top w:val="none" w:sz="0" w:space="0" w:color="auto"/>
        <w:left w:val="none" w:sz="0" w:space="0" w:color="auto"/>
        <w:bottom w:val="none" w:sz="0" w:space="0" w:color="auto"/>
        <w:right w:val="none" w:sz="0" w:space="0" w:color="auto"/>
      </w:divBdr>
      <w:divsChild>
        <w:div w:id="1640988640">
          <w:marLeft w:val="0"/>
          <w:marRight w:val="0"/>
          <w:marTop w:val="0"/>
          <w:marBottom w:val="0"/>
          <w:divBdr>
            <w:top w:val="none" w:sz="0" w:space="0" w:color="auto"/>
            <w:left w:val="none" w:sz="0" w:space="0" w:color="auto"/>
            <w:bottom w:val="none" w:sz="0" w:space="0" w:color="auto"/>
            <w:right w:val="none" w:sz="0" w:space="0" w:color="auto"/>
          </w:divBdr>
          <w:divsChild>
            <w:div w:id="78525876">
              <w:marLeft w:val="0"/>
              <w:marRight w:val="0"/>
              <w:marTop w:val="0"/>
              <w:marBottom w:val="0"/>
              <w:divBdr>
                <w:top w:val="none" w:sz="0" w:space="0" w:color="auto"/>
                <w:left w:val="none" w:sz="0" w:space="0" w:color="auto"/>
                <w:bottom w:val="none" w:sz="0" w:space="0" w:color="auto"/>
                <w:right w:val="none" w:sz="0" w:space="0" w:color="auto"/>
              </w:divBdr>
              <w:divsChild>
                <w:div w:id="148058858">
                  <w:marLeft w:val="0"/>
                  <w:marRight w:val="0"/>
                  <w:marTop w:val="0"/>
                  <w:marBottom w:val="0"/>
                  <w:divBdr>
                    <w:top w:val="none" w:sz="0" w:space="0" w:color="auto"/>
                    <w:left w:val="none" w:sz="0" w:space="0" w:color="auto"/>
                    <w:bottom w:val="none" w:sz="0" w:space="0" w:color="auto"/>
                    <w:right w:val="none" w:sz="0" w:space="0" w:color="auto"/>
                  </w:divBdr>
                </w:div>
                <w:div w:id="1671442022">
                  <w:marLeft w:val="0"/>
                  <w:marRight w:val="0"/>
                  <w:marTop w:val="0"/>
                  <w:marBottom w:val="0"/>
                  <w:divBdr>
                    <w:top w:val="none" w:sz="0" w:space="0" w:color="auto"/>
                    <w:left w:val="none" w:sz="0" w:space="0" w:color="auto"/>
                    <w:bottom w:val="none" w:sz="0" w:space="0" w:color="auto"/>
                    <w:right w:val="none" w:sz="0" w:space="0" w:color="auto"/>
                  </w:divBdr>
                </w:div>
              </w:divsChild>
            </w:div>
            <w:div w:id="229775812">
              <w:marLeft w:val="0"/>
              <w:marRight w:val="0"/>
              <w:marTop w:val="0"/>
              <w:marBottom w:val="0"/>
              <w:divBdr>
                <w:top w:val="none" w:sz="0" w:space="0" w:color="auto"/>
                <w:left w:val="none" w:sz="0" w:space="0" w:color="auto"/>
                <w:bottom w:val="none" w:sz="0" w:space="0" w:color="auto"/>
                <w:right w:val="none" w:sz="0" w:space="0" w:color="auto"/>
              </w:divBdr>
              <w:divsChild>
                <w:div w:id="362556890">
                  <w:marLeft w:val="0"/>
                  <w:marRight w:val="0"/>
                  <w:marTop w:val="0"/>
                  <w:marBottom w:val="0"/>
                  <w:divBdr>
                    <w:top w:val="none" w:sz="0" w:space="0" w:color="auto"/>
                    <w:left w:val="none" w:sz="0" w:space="0" w:color="auto"/>
                    <w:bottom w:val="none" w:sz="0" w:space="0" w:color="auto"/>
                    <w:right w:val="none" w:sz="0" w:space="0" w:color="auto"/>
                  </w:divBdr>
                </w:div>
                <w:div w:id="731076421">
                  <w:marLeft w:val="0"/>
                  <w:marRight w:val="0"/>
                  <w:marTop w:val="0"/>
                  <w:marBottom w:val="0"/>
                  <w:divBdr>
                    <w:top w:val="none" w:sz="0" w:space="0" w:color="auto"/>
                    <w:left w:val="none" w:sz="0" w:space="0" w:color="auto"/>
                    <w:bottom w:val="none" w:sz="0" w:space="0" w:color="auto"/>
                    <w:right w:val="none" w:sz="0" w:space="0" w:color="auto"/>
                  </w:divBdr>
                </w:div>
              </w:divsChild>
            </w:div>
            <w:div w:id="613904419">
              <w:marLeft w:val="0"/>
              <w:marRight w:val="0"/>
              <w:marTop w:val="0"/>
              <w:marBottom w:val="0"/>
              <w:divBdr>
                <w:top w:val="none" w:sz="0" w:space="0" w:color="auto"/>
                <w:left w:val="none" w:sz="0" w:space="0" w:color="auto"/>
                <w:bottom w:val="none" w:sz="0" w:space="0" w:color="auto"/>
                <w:right w:val="none" w:sz="0" w:space="0" w:color="auto"/>
              </w:divBdr>
              <w:divsChild>
                <w:div w:id="743454041">
                  <w:marLeft w:val="0"/>
                  <w:marRight w:val="0"/>
                  <w:marTop w:val="0"/>
                  <w:marBottom w:val="0"/>
                  <w:divBdr>
                    <w:top w:val="none" w:sz="0" w:space="0" w:color="auto"/>
                    <w:left w:val="none" w:sz="0" w:space="0" w:color="auto"/>
                    <w:bottom w:val="none" w:sz="0" w:space="0" w:color="auto"/>
                    <w:right w:val="none" w:sz="0" w:space="0" w:color="auto"/>
                  </w:divBdr>
                </w:div>
                <w:div w:id="1525365211">
                  <w:marLeft w:val="0"/>
                  <w:marRight w:val="0"/>
                  <w:marTop w:val="0"/>
                  <w:marBottom w:val="0"/>
                  <w:divBdr>
                    <w:top w:val="none" w:sz="0" w:space="0" w:color="auto"/>
                    <w:left w:val="none" w:sz="0" w:space="0" w:color="auto"/>
                    <w:bottom w:val="none" w:sz="0" w:space="0" w:color="auto"/>
                    <w:right w:val="none" w:sz="0" w:space="0" w:color="auto"/>
                  </w:divBdr>
                </w:div>
                <w:div w:id="1527863451">
                  <w:marLeft w:val="0"/>
                  <w:marRight w:val="0"/>
                  <w:marTop w:val="0"/>
                  <w:marBottom w:val="0"/>
                  <w:divBdr>
                    <w:top w:val="none" w:sz="0" w:space="0" w:color="auto"/>
                    <w:left w:val="none" w:sz="0" w:space="0" w:color="auto"/>
                    <w:bottom w:val="none" w:sz="0" w:space="0" w:color="auto"/>
                    <w:right w:val="none" w:sz="0" w:space="0" w:color="auto"/>
                  </w:divBdr>
                </w:div>
                <w:div w:id="1585450901">
                  <w:marLeft w:val="0"/>
                  <w:marRight w:val="0"/>
                  <w:marTop w:val="0"/>
                  <w:marBottom w:val="0"/>
                  <w:divBdr>
                    <w:top w:val="none" w:sz="0" w:space="0" w:color="auto"/>
                    <w:left w:val="none" w:sz="0" w:space="0" w:color="auto"/>
                    <w:bottom w:val="none" w:sz="0" w:space="0" w:color="auto"/>
                    <w:right w:val="none" w:sz="0" w:space="0" w:color="auto"/>
                  </w:divBdr>
                </w:div>
              </w:divsChild>
            </w:div>
            <w:div w:id="643698201">
              <w:marLeft w:val="0"/>
              <w:marRight w:val="0"/>
              <w:marTop w:val="0"/>
              <w:marBottom w:val="0"/>
              <w:divBdr>
                <w:top w:val="none" w:sz="0" w:space="0" w:color="auto"/>
                <w:left w:val="none" w:sz="0" w:space="0" w:color="auto"/>
                <w:bottom w:val="none" w:sz="0" w:space="0" w:color="auto"/>
                <w:right w:val="none" w:sz="0" w:space="0" w:color="auto"/>
              </w:divBdr>
              <w:divsChild>
                <w:div w:id="1518346814">
                  <w:marLeft w:val="0"/>
                  <w:marRight w:val="0"/>
                  <w:marTop w:val="0"/>
                  <w:marBottom w:val="0"/>
                  <w:divBdr>
                    <w:top w:val="none" w:sz="0" w:space="0" w:color="auto"/>
                    <w:left w:val="none" w:sz="0" w:space="0" w:color="auto"/>
                    <w:bottom w:val="none" w:sz="0" w:space="0" w:color="auto"/>
                    <w:right w:val="none" w:sz="0" w:space="0" w:color="auto"/>
                  </w:divBdr>
                </w:div>
                <w:div w:id="1609047224">
                  <w:marLeft w:val="0"/>
                  <w:marRight w:val="0"/>
                  <w:marTop w:val="0"/>
                  <w:marBottom w:val="0"/>
                  <w:divBdr>
                    <w:top w:val="none" w:sz="0" w:space="0" w:color="auto"/>
                    <w:left w:val="none" w:sz="0" w:space="0" w:color="auto"/>
                    <w:bottom w:val="none" w:sz="0" w:space="0" w:color="auto"/>
                    <w:right w:val="none" w:sz="0" w:space="0" w:color="auto"/>
                  </w:divBdr>
                </w:div>
              </w:divsChild>
            </w:div>
            <w:div w:id="685594180">
              <w:marLeft w:val="0"/>
              <w:marRight w:val="0"/>
              <w:marTop w:val="0"/>
              <w:marBottom w:val="0"/>
              <w:divBdr>
                <w:top w:val="none" w:sz="0" w:space="0" w:color="auto"/>
                <w:left w:val="none" w:sz="0" w:space="0" w:color="auto"/>
                <w:bottom w:val="none" w:sz="0" w:space="0" w:color="auto"/>
                <w:right w:val="none" w:sz="0" w:space="0" w:color="auto"/>
              </w:divBdr>
              <w:divsChild>
                <w:div w:id="188569814">
                  <w:marLeft w:val="0"/>
                  <w:marRight w:val="0"/>
                  <w:marTop w:val="0"/>
                  <w:marBottom w:val="0"/>
                  <w:divBdr>
                    <w:top w:val="none" w:sz="0" w:space="0" w:color="auto"/>
                    <w:left w:val="none" w:sz="0" w:space="0" w:color="auto"/>
                    <w:bottom w:val="none" w:sz="0" w:space="0" w:color="auto"/>
                    <w:right w:val="none" w:sz="0" w:space="0" w:color="auto"/>
                  </w:divBdr>
                </w:div>
                <w:div w:id="261837670">
                  <w:marLeft w:val="0"/>
                  <w:marRight w:val="0"/>
                  <w:marTop w:val="0"/>
                  <w:marBottom w:val="0"/>
                  <w:divBdr>
                    <w:top w:val="none" w:sz="0" w:space="0" w:color="auto"/>
                    <w:left w:val="none" w:sz="0" w:space="0" w:color="auto"/>
                    <w:bottom w:val="none" w:sz="0" w:space="0" w:color="auto"/>
                    <w:right w:val="none" w:sz="0" w:space="0" w:color="auto"/>
                  </w:divBdr>
                </w:div>
              </w:divsChild>
            </w:div>
            <w:div w:id="2078018241">
              <w:marLeft w:val="0"/>
              <w:marRight w:val="0"/>
              <w:marTop w:val="0"/>
              <w:marBottom w:val="0"/>
              <w:divBdr>
                <w:top w:val="none" w:sz="0" w:space="0" w:color="auto"/>
                <w:left w:val="none" w:sz="0" w:space="0" w:color="auto"/>
                <w:bottom w:val="none" w:sz="0" w:space="0" w:color="auto"/>
                <w:right w:val="none" w:sz="0" w:space="0" w:color="auto"/>
              </w:divBdr>
              <w:divsChild>
                <w:div w:id="1871841427">
                  <w:marLeft w:val="0"/>
                  <w:marRight w:val="0"/>
                  <w:marTop w:val="0"/>
                  <w:marBottom w:val="0"/>
                  <w:divBdr>
                    <w:top w:val="none" w:sz="0" w:space="0" w:color="auto"/>
                    <w:left w:val="none" w:sz="0" w:space="0" w:color="auto"/>
                    <w:bottom w:val="none" w:sz="0" w:space="0" w:color="auto"/>
                    <w:right w:val="none" w:sz="0" w:space="0" w:color="auto"/>
                  </w:divBdr>
                </w:div>
                <w:div w:id="20259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43061">
          <w:marLeft w:val="0"/>
          <w:marRight w:val="0"/>
          <w:marTop w:val="0"/>
          <w:marBottom w:val="0"/>
          <w:divBdr>
            <w:top w:val="none" w:sz="0" w:space="0" w:color="auto"/>
            <w:left w:val="none" w:sz="0" w:space="0" w:color="auto"/>
            <w:bottom w:val="none" w:sz="0" w:space="0" w:color="auto"/>
            <w:right w:val="none" w:sz="0" w:space="0" w:color="auto"/>
          </w:divBdr>
          <w:divsChild>
            <w:div w:id="1313363740">
              <w:marLeft w:val="0"/>
              <w:marRight w:val="0"/>
              <w:marTop w:val="0"/>
              <w:marBottom w:val="0"/>
              <w:divBdr>
                <w:top w:val="none" w:sz="0" w:space="0" w:color="auto"/>
                <w:left w:val="none" w:sz="0" w:space="0" w:color="auto"/>
                <w:bottom w:val="none" w:sz="0" w:space="0" w:color="auto"/>
                <w:right w:val="none" w:sz="0" w:space="0" w:color="auto"/>
              </w:divBdr>
              <w:divsChild>
                <w:div w:id="100586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756304">
      <w:bodyDiv w:val="1"/>
      <w:marLeft w:val="0"/>
      <w:marRight w:val="0"/>
      <w:marTop w:val="0"/>
      <w:marBottom w:val="0"/>
      <w:divBdr>
        <w:top w:val="none" w:sz="0" w:space="0" w:color="auto"/>
        <w:left w:val="none" w:sz="0" w:space="0" w:color="auto"/>
        <w:bottom w:val="none" w:sz="0" w:space="0" w:color="auto"/>
        <w:right w:val="none" w:sz="0" w:space="0" w:color="auto"/>
      </w:divBdr>
    </w:div>
    <w:div w:id="1859927337">
      <w:bodyDiv w:val="1"/>
      <w:marLeft w:val="0"/>
      <w:marRight w:val="0"/>
      <w:marTop w:val="0"/>
      <w:marBottom w:val="0"/>
      <w:divBdr>
        <w:top w:val="none" w:sz="0" w:space="0" w:color="auto"/>
        <w:left w:val="none" w:sz="0" w:space="0" w:color="auto"/>
        <w:bottom w:val="none" w:sz="0" w:space="0" w:color="auto"/>
        <w:right w:val="none" w:sz="0" w:space="0" w:color="auto"/>
      </w:divBdr>
    </w:div>
    <w:div w:id="1862431120">
      <w:bodyDiv w:val="1"/>
      <w:marLeft w:val="0"/>
      <w:marRight w:val="0"/>
      <w:marTop w:val="0"/>
      <w:marBottom w:val="0"/>
      <w:divBdr>
        <w:top w:val="none" w:sz="0" w:space="0" w:color="auto"/>
        <w:left w:val="none" w:sz="0" w:space="0" w:color="auto"/>
        <w:bottom w:val="none" w:sz="0" w:space="0" w:color="auto"/>
        <w:right w:val="none" w:sz="0" w:space="0" w:color="auto"/>
      </w:divBdr>
      <w:divsChild>
        <w:div w:id="30110003">
          <w:marLeft w:val="0"/>
          <w:marRight w:val="0"/>
          <w:marTop w:val="0"/>
          <w:marBottom w:val="0"/>
          <w:divBdr>
            <w:top w:val="none" w:sz="0" w:space="0" w:color="auto"/>
            <w:left w:val="none" w:sz="0" w:space="0" w:color="auto"/>
            <w:bottom w:val="none" w:sz="0" w:space="0" w:color="auto"/>
            <w:right w:val="none" w:sz="0" w:space="0" w:color="auto"/>
          </w:divBdr>
        </w:div>
        <w:div w:id="116145294">
          <w:marLeft w:val="0"/>
          <w:marRight w:val="0"/>
          <w:marTop w:val="0"/>
          <w:marBottom w:val="0"/>
          <w:divBdr>
            <w:top w:val="none" w:sz="0" w:space="0" w:color="auto"/>
            <w:left w:val="none" w:sz="0" w:space="0" w:color="auto"/>
            <w:bottom w:val="none" w:sz="0" w:space="0" w:color="auto"/>
            <w:right w:val="none" w:sz="0" w:space="0" w:color="auto"/>
          </w:divBdr>
        </w:div>
        <w:div w:id="204604635">
          <w:marLeft w:val="0"/>
          <w:marRight w:val="0"/>
          <w:marTop w:val="0"/>
          <w:marBottom w:val="0"/>
          <w:divBdr>
            <w:top w:val="none" w:sz="0" w:space="0" w:color="auto"/>
            <w:left w:val="none" w:sz="0" w:space="0" w:color="auto"/>
            <w:bottom w:val="none" w:sz="0" w:space="0" w:color="auto"/>
            <w:right w:val="none" w:sz="0" w:space="0" w:color="auto"/>
          </w:divBdr>
        </w:div>
        <w:div w:id="264316005">
          <w:marLeft w:val="0"/>
          <w:marRight w:val="0"/>
          <w:marTop w:val="0"/>
          <w:marBottom w:val="0"/>
          <w:divBdr>
            <w:top w:val="none" w:sz="0" w:space="0" w:color="auto"/>
            <w:left w:val="none" w:sz="0" w:space="0" w:color="auto"/>
            <w:bottom w:val="none" w:sz="0" w:space="0" w:color="auto"/>
            <w:right w:val="none" w:sz="0" w:space="0" w:color="auto"/>
          </w:divBdr>
        </w:div>
        <w:div w:id="453060409">
          <w:marLeft w:val="0"/>
          <w:marRight w:val="0"/>
          <w:marTop w:val="0"/>
          <w:marBottom w:val="0"/>
          <w:divBdr>
            <w:top w:val="none" w:sz="0" w:space="0" w:color="auto"/>
            <w:left w:val="none" w:sz="0" w:space="0" w:color="auto"/>
            <w:bottom w:val="none" w:sz="0" w:space="0" w:color="auto"/>
            <w:right w:val="none" w:sz="0" w:space="0" w:color="auto"/>
          </w:divBdr>
        </w:div>
        <w:div w:id="456068399">
          <w:marLeft w:val="0"/>
          <w:marRight w:val="0"/>
          <w:marTop w:val="0"/>
          <w:marBottom w:val="0"/>
          <w:divBdr>
            <w:top w:val="none" w:sz="0" w:space="0" w:color="auto"/>
            <w:left w:val="none" w:sz="0" w:space="0" w:color="auto"/>
            <w:bottom w:val="none" w:sz="0" w:space="0" w:color="auto"/>
            <w:right w:val="none" w:sz="0" w:space="0" w:color="auto"/>
          </w:divBdr>
        </w:div>
        <w:div w:id="476842283">
          <w:marLeft w:val="0"/>
          <w:marRight w:val="0"/>
          <w:marTop w:val="0"/>
          <w:marBottom w:val="0"/>
          <w:divBdr>
            <w:top w:val="none" w:sz="0" w:space="0" w:color="auto"/>
            <w:left w:val="none" w:sz="0" w:space="0" w:color="auto"/>
            <w:bottom w:val="none" w:sz="0" w:space="0" w:color="auto"/>
            <w:right w:val="none" w:sz="0" w:space="0" w:color="auto"/>
          </w:divBdr>
        </w:div>
        <w:div w:id="532574912">
          <w:marLeft w:val="0"/>
          <w:marRight w:val="0"/>
          <w:marTop w:val="0"/>
          <w:marBottom w:val="0"/>
          <w:divBdr>
            <w:top w:val="none" w:sz="0" w:space="0" w:color="auto"/>
            <w:left w:val="none" w:sz="0" w:space="0" w:color="auto"/>
            <w:bottom w:val="none" w:sz="0" w:space="0" w:color="auto"/>
            <w:right w:val="none" w:sz="0" w:space="0" w:color="auto"/>
          </w:divBdr>
        </w:div>
        <w:div w:id="534584176">
          <w:marLeft w:val="0"/>
          <w:marRight w:val="0"/>
          <w:marTop w:val="0"/>
          <w:marBottom w:val="0"/>
          <w:divBdr>
            <w:top w:val="none" w:sz="0" w:space="0" w:color="auto"/>
            <w:left w:val="none" w:sz="0" w:space="0" w:color="auto"/>
            <w:bottom w:val="none" w:sz="0" w:space="0" w:color="auto"/>
            <w:right w:val="none" w:sz="0" w:space="0" w:color="auto"/>
          </w:divBdr>
        </w:div>
        <w:div w:id="560294555">
          <w:marLeft w:val="0"/>
          <w:marRight w:val="0"/>
          <w:marTop w:val="0"/>
          <w:marBottom w:val="0"/>
          <w:divBdr>
            <w:top w:val="none" w:sz="0" w:space="0" w:color="auto"/>
            <w:left w:val="none" w:sz="0" w:space="0" w:color="auto"/>
            <w:bottom w:val="none" w:sz="0" w:space="0" w:color="auto"/>
            <w:right w:val="none" w:sz="0" w:space="0" w:color="auto"/>
          </w:divBdr>
        </w:div>
        <w:div w:id="595788441">
          <w:marLeft w:val="0"/>
          <w:marRight w:val="0"/>
          <w:marTop w:val="0"/>
          <w:marBottom w:val="0"/>
          <w:divBdr>
            <w:top w:val="none" w:sz="0" w:space="0" w:color="auto"/>
            <w:left w:val="none" w:sz="0" w:space="0" w:color="auto"/>
            <w:bottom w:val="none" w:sz="0" w:space="0" w:color="auto"/>
            <w:right w:val="none" w:sz="0" w:space="0" w:color="auto"/>
          </w:divBdr>
        </w:div>
        <w:div w:id="619847656">
          <w:marLeft w:val="0"/>
          <w:marRight w:val="0"/>
          <w:marTop w:val="0"/>
          <w:marBottom w:val="0"/>
          <w:divBdr>
            <w:top w:val="none" w:sz="0" w:space="0" w:color="auto"/>
            <w:left w:val="none" w:sz="0" w:space="0" w:color="auto"/>
            <w:bottom w:val="none" w:sz="0" w:space="0" w:color="auto"/>
            <w:right w:val="none" w:sz="0" w:space="0" w:color="auto"/>
          </w:divBdr>
        </w:div>
        <w:div w:id="629550236">
          <w:marLeft w:val="0"/>
          <w:marRight w:val="0"/>
          <w:marTop w:val="0"/>
          <w:marBottom w:val="0"/>
          <w:divBdr>
            <w:top w:val="none" w:sz="0" w:space="0" w:color="auto"/>
            <w:left w:val="none" w:sz="0" w:space="0" w:color="auto"/>
            <w:bottom w:val="none" w:sz="0" w:space="0" w:color="auto"/>
            <w:right w:val="none" w:sz="0" w:space="0" w:color="auto"/>
          </w:divBdr>
        </w:div>
        <w:div w:id="684984224">
          <w:marLeft w:val="0"/>
          <w:marRight w:val="0"/>
          <w:marTop w:val="0"/>
          <w:marBottom w:val="0"/>
          <w:divBdr>
            <w:top w:val="none" w:sz="0" w:space="0" w:color="auto"/>
            <w:left w:val="none" w:sz="0" w:space="0" w:color="auto"/>
            <w:bottom w:val="none" w:sz="0" w:space="0" w:color="auto"/>
            <w:right w:val="none" w:sz="0" w:space="0" w:color="auto"/>
          </w:divBdr>
        </w:div>
        <w:div w:id="711029515">
          <w:marLeft w:val="0"/>
          <w:marRight w:val="0"/>
          <w:marTop w:val="0"/>
          <w:marBottom w:val="0"/>
          <w:divBdr>
            <w:top w:val="none" w:sz="0" w:space="0" w:color="auto"/>
            <w:left w:val="none" w:sz="0" w:space="0" w:color="auto"/>
            <w:bottom w:val="none" w:sz="0" w:space="0" w:color="auto"/>
            <w:right w:val="none" w:sz="0" w:space="0" w:color="auto"/>
          </w:divBdr>
        </w:div>
        <w:div w:id="755400029">
          <w:marLeft w:val="0"/>
          <w:marRight w:val="0"/>
          <w:marTop w:val="0"/>
          <w:marBottom w:val="0"/>
          <w:divBdr>
            <w:top w:val="none" w:sz="0" w:space="0" w:color="auto"/>
            <w:left w:val="none" w:sz="0" w:space="0" w:color="auto"/>
            <w:bottom w:val="none" w:sz="0" w:space="0" w:color="auto"/>
            <w:right w:val="none" w:sz="0" w:space="0" w:color="auto"/>
          </w:divBdr>
        </w:div>
        <w:div w:id="887297190">
          <w:marLeft w:val="0"/>
          <w:marRight w:val="0"/>
          <w:marTop w:val="0"/>
          <w:marBottom w:val="0"/>
          <w:divBdr>
            <w:top w:val="none" w:sz="0" w:space="0" w:color="auto"/>
            <w:left w:val="none" w:sz="0" w:space="0" w:color="auto"/>
            <w:bottom w:val="none" w:sz="0" w:space="0" w:color="auto"/>
            <w:right w:val="none" w:sz="0" w:space="0" w:color="auto"/>
          </w:divBdr>
        </w:div>
        <w:div w:id="926766381">
          <w:marLeft w:val="0"/>
          <w:marRight w:val="0"/>
          <w:marTop w:val="0"/>
          <w:marBottom w:val="0"/>
          <w:divBdr>
            <w:top w:val="none" w:sz="0" w:space="0" w:color="auto"/>
            <w:left w:val="none" w:sz="0" w:space="0" w:color="auto"/>
            <w:bottom w:val="none" w:sz="0" w:space="0" w:color="auto"/>
            <w:right w:val="none" w:sz="0" w:space="0" w:color="auto"/>
          </w:divBdr>
        </w:div>
        <w:div w:id="1060439643">
          <w:marLeft w:val="0"/>
          <w:marRight w:val="0"/>
          <w:marTop w:val="0"/>
          <w:marBottom w:val="0"/>
          <w:divBdr>
            <w:top w:val="none" w:sz="0" w:space="0" w:color="auto"/>
            <w:left w:val="none" w:sz="0" w:space="0" w:color="auto"/>
            <w:bottom w:val="none" w:sz="0" w:space="0" w:color="auto"/>
            <w:right w:val="none" w:sz="0" w:space="0" w:color="auto"/>
          </w:divBdr>
        </w:div>
        <w:div w:id="1063065976">
          <w:marLeft w:val="0"/>
          <w:marRight w:val="0"/>
          <w:marTop w:val="0"/>
          <w:marBottom w:val="0"/>
          <w:divBdr>
            <w:top w:val="none" w:sz="0" w:space="0" w:color="auto"/>
            <w:left w:val="none" w:sz="0" w:space="0" w:color="auto"/>
            <w:bottom w:val="none" w:sz="0" w:space="0" w:color="auto"/>
            <w:right w:val="none" w:sz="0" w:space="0" w:color="auto"/>
          </w:divBdr>
        </w:div>
        <w:div w:id="1185024410">
          <w:marLeft w:val="0"/>
          <w:marRight w:val="0"/>
          <w:marTop w:val="0"/>
          <w:marBottom w:val="0"/>
          <w:divBdr>
            <w:top w:val="none" w:sz="0" w:space="0" w:color="auto"/>
            <w:left w:val="none" w:sz="0" w:space="0" w:color="auto"/>
            <w:bottom w:val="none" w:sz="0" w:space="0" w:color="auto"/>
            <w:right w:val="none" w:sz="0" w:space="0" w:color="auto"/>
          </w:divBdr>
        </w:div>
        <w:div w:id="1223563468">
          <w:marLeft w:val="0"/>
          <w:marRight w:val="0"/>
          <w:marTop w:val="0"/>
          <w:marBottom w:val="0"/>
          <w:divBdr>
            <w:top w:val="none" w:sz="0" w:space="0" w:color="auto"/>
            <w:left w:val="none" w:sz="0" w:space="0" w:color="auto"/>
            <w:bottom w:val="none" w:sz="0" w:space="0" w:color="auto"/>
            <w:right w:val="none" w:sz="0" w:space="0" w:color="auto"/>
          </w:divBdr>
        </w:div>
        <w:div w:id="1247030467">
          <w:marLeft w:val="0"/>
          <w:marRight w:val="0"/>
          <w:marTop w:val="0"/>
          <w:marBottom w:val="0"/>
          <w:divBdr>
            <w:top w:val="none" w:sz="0" w:space="0" w:color="auto"/>
            <w:left w:val="none" w:sz="0" w:space="0" w:color="auto"/>
            <w:bottom w:val="none" w:sz="0" w:space="0" w:color="auto"/>
            <w:right w:val="none" w:sz="0" w:space="0" w:color="auto"/>
          </w:divBdr>
        </w:div>
        <w:div w:id="1278246879">
          <w:marLeft w:val="0"/>
          <w:marRight w:val="0"/>
          <w:marTop w:val="0"/>
          <w:marBottom w:val="0"/>
          <w:divBdr>
            <w:top w:val="none" w:sz="0" w:space="0" w:color="auto"/>
            <w:left w:val="none" w:sz="0" w:space="0" w:color="auto"/>
            <w:bottom w:val="none" w:sz="0" w:space="0" w:color="auto"/>
            <w:right w:val="none" w:sz="0" w:space="0" w:color="auto"/>
          </w:divBdr>
        </w:div>
        <w:div w:id="1280990901">
          <w:marLeft w:val="0"/>
          <w:marRight w:val="0"/>
          <w:marTop w:val="0"/>
          <w:marBottom w:val="0"/>
          <w:divBdr>
            <w:top w:val="none" w:sz="0" w:space="0" w:color="auto"/>
            <w:left w:val="none" w:sz="0" w:space="0" w:color="auto"/>
            <w:bottom w:val="none" w:sz="0" w:space="0" w:color="auto"/>
            <w:right w:val="none" w:sz="0" w:space="0" w:color="auto"/>
          </w:divBdr>
        </w:div>
        <w:div w:id="1286934137">
          <w:marLeft w:val="0"/>
          <w:marRight w:val="0"/>
          <w:marTop w:val="0"/>
          <w:marBottom w:val="0"/>
          <w:divBdr>
            <w:top w:val="none" w:sz="0" w:space="0" w:color="auto"/>
            <w:left w:val="none" w:sz="0" w:space="0" w:color="auto"/>
            <w:bottom w:val="none" w:sz="0" w:space="0" w:color="auto"/>
            <w:right w:val="none" w:sz="0" w:space="0" w:color="auto"/>
          </w:divBdr>
        </w:div>
        <w:div w:id="1291282694">
          <w:marLeft w:val="0"/>
          <w:marRight w:val="0"/>
          <w:marTop w:val="0"/>
          <w:marBottom w:val="0"/>
          <w:divBdr>
            <w:top w:val="none" w:sz="0" w:space="0" w:color="auto"/>
            <w:left w:val="none" w:sz="0" w:space="0" w:color="auto"/>
            <w:bottom w:val="none" w:sz="0" w:space="0" w:color="auto"/>
            <w:right w:val="none" w:sz="0" w:space="0" w:color="auto"/>
          </w:divBdr>
        </w:div>
        <w:div w:id="1306620664">
          <w:marLeft w:val="0"/>
          <w:marRight w:val="0"/>
          <w:marTop w:val="0"/>
          <w:marBottom w:val="0"/>
          <w:divBdr>
            <w:top w:val="none" w:sz="0" w:space="0" w:color="auto"/>
            <w:left w:val="none" w:sz="0" w:space="0" w:color="auto"/>
            <w:bottom w:val="none" w:sz="0" w:space="0" w:color="auto"/>
            <w:right w:val="none" w:sz="0" w:space="0" w:color="auto"/>
          </w:divBdr>
        </w:div>
        <w:div w:id="1331448229">
          <w:marLeft w:val="0"/>
          <w:marRight w:val="0"/>
          <w:marTop w:val="0"/>
          <w:marBottom w:val="0"/>
          <w:divBdr>
            <w:top w:val="none" w:sz="0" w:space="0" w:color="auto"/>
            <w:left w:val="none" w:sz="0" w:space="0" w:color="auto"/>
            <w:bottom w:val="none" w:sz="0" w:space="0" w:color="auto"/>
            <w:right w:val="none" w:sz="0" w:space="0" w:color="auto"/>
          </w:divBdr>
        </w:div>
        <w:div w:id="1333602674">
          <w:marLeft w:val="0"/>
          <w:marRight w:val="0"/>
          <w:marTop w:val="0"/>
          <w:marBottom w:val="0"/>
          <w:divBdr>
            <w:top w:val="none" w:sz="0" w:space="0" w:color="auto"/>
            <w:left w:val="none" w:sz="0" w:space="0" w:color="auto"/>
            <w:bottom w:val="none" w:sz="0" w:space="0" w:color="auto"/>
            <w:right w:val="none" w:sz="0" w:space="0" w:color="auto"/>
          </w:divBdr>
        </w:div>
        <w:div w:id="1379209181">
          <w:marLeft w:val="0"/>
          <w:marRight w:val="0"/>
          <w:marTop w:val="0"/>
          <w:marBottom w:val="0"/>
          <w:divBdr>
            <w:top w:val="none" w:sz="0" w:space="0" w:color="auto"/>
            <w:left w:val="none" w:sz="0" w:space="0" w:color="auto"/>
            <w:bottom w:val="none" w:sz="0" w:space="0" w:color="auto"/>
            <w:right w:val="none" w:sz="0" w:space="0" w:color="auto"/>
          </w:divBdr>
        </w:div>
        <w:div w:id="1384988759">
          <w:marLeft w:val="0"/>
          <w:marRight w:val="0"/>
          <w:marTop w:val="0"/>
          <w:marBottom w:val="0"/>
          <w:divBdr>
            <w:top w:val="none" w:sz="0" w:space="0" w:color="auto"/>
            <w:left w:val="none" w:sz="0" w:space="0" w:color="auto"/>
            <w:bottom w:val="none" w:sz="0" w:space="0" w:color="auto"/>
            <w:right w:val="none" w:sz="0" w:space="0" w:color="auto"/>
          </w:divBdr>
        </w:div>
        <w:div w:id="1437797804">
          <w:marLeft w:val="0"/>
          <w:marRight w:val="0"/>
          <w:marTop w:val="0"/>
          <w:marBottom w:val="0"/>
          <w:divBdr>
            <w:top w:val="none" w:sz="0" w:space="0" w:color="auto"/>
            <w:left w:val="none" w:sz="0" w:space="0" w:color="auto"/>
            <w:bottom w:val="none" w:sz="0" w:space="0" w:color="auto"/>
            <w:right w:val="none" w:sz="0" w:space="0" w:color="auto"/>
          </w:divBdr>
        </w:div>
        <w:div w:id="1509715051">
          <w:marLeft w:val="0"/>
          <w:marRight w:val="0"/>
          <w:marTop w:val="0"/>
          <w:marBottom w:val="0"/>
          <w:divBdr>
            <w:top w:val="none" w:sz="0" w:space="0" w:color="auto"/>
            <w:left w:val="none" w:sz="0" w:space="0" w:color="auto"/>
            <w:bottom w:val="none" w:sz="0" w:space="0" w:color="auto"/>
            <w:right w:val="none" w:sz="0" w:space="0" w:color="auto"/>
          </w:divBdr>
        </w:div>
        <w:div w:id="1549534381">
          <w:marLeft w:val="0"/>
          <w:marRight w:val="0"/>
          <w:marTop w:val="0"/>
          <w:marBottom w:val="0"/>
          <w:divBdr>
            <w:top w:val="none" w:sz="0" w:space="0" w:color="auto"/>
            <w:left w:val="none" w:sz="0" w:space="0" w:color="auto"/>
            <w:bottom w:val="none" w:sz="0" w:space="0" w:color="auto"/>
            <w:right w:val="none" w:sz="0" w:space="0" w:color="auto"/>
          </w:divBdr>
        </w:div>
        <w:div w:id="1583029478">
          <w:marLeft w:val="0"/>
          <w:marRight w:val="0"/>
          <w:marTop w:val="0"/>
          <w:marBottom w:val="0"/>
          <w:divBdr>
            <w:top w:val="none" w:sz="0" w:space="0" w:color="auto"/>
            <w:left w:val="none" w:sz="0" w:space="0" w:color="auto"/>
            <w:bottom w:val="none" w:sz="0" w:space="0" w:color="auto"/>
            <w:right w:val="none" w:sz="0" w:space="0" w:color="auto"/>
          </w:divBdr>
        </w:div>
        <w:div w:id="1622103563">
          <w:marLeft w:val="0"/>
          <w:marRight w:val="0"/>
          <w:marTop w:val="0"/>
          <w:marBottom w:val="0"/>
          <w:divBdr>
            <w:top w:val="none" w:sz="0" w:space="0" w:color="auto"/>
            <w:left w:val="none" w:sz="0" w:space="0" w:color="auto"/>
            <w:bottom w:val="none" w:sz="0" w:space="0" w:color="auto"/>
            <w:right w:val="none" w:sz="0" w:space="0" w:color="auto"/>
          </w:divBdr>
        </w:div>
        <w:div w:id="1661348302">
          <w:marLeft w:val="0"/>
          <w:marRight w:val="0"/>
          <w:marTop w:val="0"/>
          <w:marBottom w:val="0"/>
          <w:divBdr>
            <w:top w:val="none" w:sz="0" w:space="0" w:color="auto"/>
            <w:left w:val="none" w:sz="0" w:space="0" w:color="auto"/>
            <w:bottom w:val="none" w:sz="0" w:space="0" w:color="auto"/>
            <w:right w:val="none" w:sz="0" w:space="0" w:color="auto"/>
          </w:divBdr>
        </w:div>
        <w:div w:id="1738940963">
          <w:marLeft w:val="0"/>
          <w:marRight w:val="0"/>
          <w:marTop w:val="0"/>
          <w:marBottom w:val="0"/>
          <w:divBdr>
            <w:top w:val="none" w:sz="0" w:space="0" w:color="auto"/>
            <w:left w:val="none" w:sz="0" w:space="0" w:color="auto"/>
            <w:bottom w:val="none" w:sz="0" w:space="0" w:color="auto"/>
            <w:right w:val="none" w:sz="0" w:space="0" w:color="auto"/>
          </w:divBdr>
        </w:div>
        <w:div w:id="1779908521">
          <w:marLeft w:val="0"/>
          <w:marRight w:val="0"/>
          <w:marTop w:val="0"/>
          <w:marBottom w:val="0"/>
          <w:divBdr>
            <w:top w:val="none" w:sz="0" w:space="0" w:color="auto"/>
            <w:left w:val="none" w:sz="0" w:space="0" w:color="auto"/>
            <w:bottom w:val="none" w:sz="0" w:space="0" w:color="auto"/>
            <w:right w:val="none" w:sz="0" w:space="0" w:color="auto"/>
          </w:divBdr>
        </w:div>
        <w:div w:id="1943612139">
          <w:marLeft w:val="0"/>
          <w:marRight w:val="0"/>
          <w:marTop w:val="0"/>
          <w:marBottom w:val="0"/>
          <w:divBdr>
            <w:top w:val="none" w:sz="0" w:space="0" w:color="auto"/>
            <w:left w:val="none" w:sz="0" w:space="0" w:color="auto"/>
            <w:bottom w:val="none" w:sz="0" w:space="0" w:color="auto"/>
            <w:right w:val="none" w:sz="0" w:space="0" w:color="auto"/>
          </w:divBdr>
        </w:div>
        <w:div w:id="2108766233">
          <w:marLeft w:val="0"/>
          <w:marRight w:val="0"/>
          <w:marTop w:val="0"/>
          <w:marBottom w:val="0"/>
          <w:divBdr>
            <w:top w:val="none" w:sz="0" w:space="0" w:color="auto"/>
            <w:left w:val="none" w:sz="0" w:space="0" w:color="auto"/>
            <w:bottom w:val="none" w:sz="0" w:space="0" w:color="auto"/>
            <w:right w:val="none" w:sz="0" w:space="0" w:color="auto"/>
          </w:divBdr>
        </w:div>
        <w:div w:id="2108960699">
          <w:marLeft w:val="0"/>
          <w:marRight w:val="0"/>
          <w:marTop w:val="0"/>
          <w:marBottom w:val="0"/>
          <w:divBdr>
            <w:top w:val="none" w:sz="0" w:space="0" w:color="auto"/>
            <w:left w:val="none" w:sz="0" w:space="0" w:color="auto"/>
            <w:bottom w:val="none" w:sz="0" w:space="0" w:color="auto"/>
            <w:right w:val="none" w:sz="0" w:space="0" w:color="auto"/>
          </w:divBdr>
        </w:div>
        <w:div w:id="2138182303">
          <w:marLeft w:val="0"/>
          <w:marRight w:val="0"/>
          <w:marTop w:val="0"/>
          <w:marBottom w:val="0"/>
          <w:divBdr>
            <w:top w:val="none" w:sz="0" w:space="0" w:color="auto"/>
            <w:left w:val="none" w:sz="0" w:space="0" w:color="auto"/>
            <w:bottom w:val="none" w:sz="0" w:space="0" w:color="auto"/>
            <w:right w:val="none" w:sz="0" w:space="0" w:color="auto"/>
          </w:divBdr>
        </w:div>
      </w:divsChild>
    </w:div>
    <w:div w:id="1871917889">
      <w:bodyDiv w:val="1"/>
      <w:marLeft w:val="0"/>
      <w:marRight w:val="0"/>
      <w:marTop w:val="0"/>
      <w:marBottom w:val="0"/>
      <w:divBdr>
        <w:top w:val="none" w:sz="0" w:space="0" w:color="auto"/>
        <w:left w:val="none" w:sz="0" w:space="0" w:color="auto"/>
        <w:bottom w:val="none" w:sz="0" w:space="0" w:color="auto"/>
        <w:right w:val="none" w:sz="0" w:space="0" w:color="auto"/>
      </w:divBdr>
      <w:divsChild>
        <w:div w:id="1960725132">
          <w:marLeft w:val="0"/>
          <w:marRight w:val="0"/>
          <w:marTop w:val="0"/>
          <w:marBottom w:val="0"/>
          <w:divBdr>
            <w:top w:val="none" w:sz="0" w:space="0" w:color="auto"/>
            <w:left w:val="none" w:sz="0" w:space="0" w:color="auto"/>
            <w:bottom w:val="none" w:sz="0" w:space="0" w:color="auto"/>
            <w:right w:val="none" w:sz="0" w:space="0" w:color="auto"/>
          </w:divBdr>
          <w:divsChild>
            <w:div w:id="84956743">
              <w:marLeft w:val="0"/>
              <w:marRight w:val="0"/>
              <w:marTop w:val="0"/>
              <w:marBottom w:val="0"/>
              <w:divBdr>
                <w:top w:val="none" w:sz="0" w:space="0" w:color="auto"/>
                <w:left w:val="none" w:sz="0" w:space="0" w:color="auto"/>
                <w:bottom w:val="none" w:sz="0" w:space="0" w:color="auto"/>
                <w:right w:val="none" w:sz="0" w:space="0" w:color="auto"/>
              </w:divBdr>
              <w:divsChild>
                <w:div w:id="705907230">
                  <w:marLeft w:val="0"/>
                  <w:marRight w:val="0"/>
                  <w:marTop w:val="0"/>
                  <w:marBottom w:val="0"/>
                  <w:divBdr>
                    <w:top w:val="none" w:sz="0" w:space="0" w:color="auto"/>
                    <w:left w:val="none" w:sz="0" w:space="0" w:color="auto"/>
                    <w:bottom w:val="none" w:sz="0" w:space="0" w:color="auto"/>
                    <w:right w:val="none" w:sz="0" w:space="0" w:color="auto"/>
                  </w:divBdr>
                  <w:divsChild>
                    <w:div w:id="1504004706">
                      <w:marLeft w:val="0"/>
                      <w:marRight w:val="0"/>
                      <w:marTop w:val="0"/>
                      <w:marBottom w:val="0"/>
                      <w:divBdr>
                        <w:top w:val="none" w:sz="0" w:space="0" w:color="auto"/>
                        <w:left w:val="none" w:sz="0" w:space="0" w:color="auto"/>
                        <w:bottom w:val="none" w:sz="0" w:space="0" w:color="auto"/>
                        <w:right w:val="none" w:sz="0" w:space="0" w:color="auto"/>
                      </w:divBdr>
                      <w:divsChild>
                        <w:div w:id="379020724">
                          <w:marLeft w:val="0"/>
                          <w:marRight w:val="0"/>
                          <w:marTop w:val="0"/>
                          <w:marBottom w:val="0"/>
                          <w:divBdr>
                            <w:top w:val="none" w:sz="0" w:space="0" w:color="auto"/>
                            <w:left w:val="none" w:sz="0" w:space="0" w:color="auto"/>
                            <w:bottom w:val="none" w:sz="0" w:space="0" w:color="auto"/>
                            <w:right w:val="none" w:sz="0" w:space="0" w:color="auto"/>
                          </w:divBdr>
                          <w:divsChild>
                            <w:div w:id="177428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7504792">
      <w:bodyDiv w:val="1"/>
      <w:marLeft w:val="0"/>
      <w:marRight w:val="0"/>
      <w:marTop w:val="0"/>
      <w:marBottom w:val="0"/>
      <w:divBdr>
        <w:top w:val="none" w:sz="0" w:space="0" w:color="auto"/>
        <w:left w:val="none" w:sz="0" w:space="0" w:color="auto"/>
        <w:bottom w:val="none" w:sz="0" w:space="0" w:color="auto"/>
        <w:right w:val="none" w:sz="0" w:space="0" w:color="auto"/>
      </w:divBdr>
      <w:divsChild>
        <w:div w:id="413164589">
          <w:marLeft w:val="0"/>
          <w:marRight w:val="0"/>
          <w:marTop w:val="0"/>
          <w:marBottom w:val="0"/>
          <w:divBdr>
            <w:top w:val="none" w:sz="0" w:space="0" w:color="auto"/>
            <w:left w:val="none" w:sz="0" w:space="0" w:color="auto"/>
            <w:bottom w:val="none" w:sz="0" w:space="0" w:color="auto"/>
            <w:right w:val="none" w:sz="0" w:space="0" w:color="auto"/>
          </w:divBdr>
        </w:div>
        <w:div w:id="1264920332">
          <w:marLeft w:val="0"/>
          <w:marRight w:val="0"/>
          <w:marTop w:val="0"/>
          <w:marBottom w:val="0"/>
          <w:divBdr>
            <w:top w:val="none" w:sz="0" w:space="0" w:color="auto"/>
            <w:left w:val="none" w:sz="0" w:space="0" w:color="auto"/>
            <w:bottom w:val="none" w:sz="0" w:space="0" w:color="auto"/>
            <w:right w:val="none" w:sz="0" w:space="0" w:color="auto"/>
          </w:divBdr>
        </w:div>
        <w:div w:id="255136161">
          <w:marLeft w:val="0"/>
          <w:marRight w:val="0"/>
          <w:marTop w:val="0"/>
          <w:marBottom w:val="0"/>
          <w:divBdr>
            <w:top w:val="none" w:sz="0" w:space="0" w:color="auto"/>
            <w:left w:val="none" w:sz="0" w:space="0" w:color="auto"/>
            <w:bottom w:val="none" w:sz="0" w:space="0" w:color="auto"/>
            <w:right w:val="none" w:sz="0" w:space="0" w:color="auto"/>
          </w:divBdr>
        </w:div>
        <w:div w:id="1740708015">
          <w:marLeft w:val="0"/>
          <w:marRight w:val="0"/>
          <w:marTop w:val="0"/>
          <w:marBottom w:val="0"/>
          <w:divBdr>
            <w:top w:val="none" w:sz="0" w:space="0" w:color="auto"/>
            <w:left w:val="none" w:sz="0" w:space="0" w:color="auto"/>
            <w:bottom w:val="none" w:sz="0" w:space="0" w:color="auto"/>
            <w:right w:val="none" w:sz="0" w:space="0" w:color="auto"/>
          </w:divBdr>
        </w:div>
        <w:div w:id="1992365901">
          <w:marLeft w:val="0"/>
          <w:marRight w:val="0"/>
          <w:marTop w:val="0"/>
          <w:marBottom w:val="0"/>
          <w:divBdr>
            <w:top w:val="none" w:sz="0" w:space="0" w:color="auto"/>
            <w:left w:val="none" w:sz="0" w:space="0" w:color="auto"/>
            <w:bottom w:val="none" w:sz="0" w:space="0" w:color="auto"/>
            <w:right w:val="none" w:sz="0" w:space="0" w:color="auto"/>
          </w:divBdr>
        </w:div>
      </w:divsChild>
    </w:div>
    <w:div w:id="1879390460">
      <w:bodyDiv w:val="1"/>
      <w:marLeft w:val="0"/>
      <w:marRight w:val="0"/>
      <w:marTop w:val="0"/>
      <w:marBottom w:val="0"/>
      <w:divBdr>
        <w:top w:val="none" w:sz="0" w:space="0" w:color="auto"/>
        <w:left w:val="none" w:sz="0" w:space="0" w:color="auto"/>
        <w:bottom w:val="none" w:sz="0" w:space="0" w:color="auto"/>
        <w:right w:val="none" w:sz="0" w:space="0" w:color="auto"/>
      </w:divBdr>
      <w:divsChild>
        <w:div w:id="88737338">
          <w:marLeft w:val="0"/>
          <w:marRight w:val="0"/>
          <w:marTop w:val="0"/>
          <w:marBottom w:val="0"/>
          <w:divBdr>
            <w:top w:val="none" w:sz="0" w:space="0" w:color="auto"/>
            <w:left w:val="none" w:sz="0" w:space="0" w:color="auto"/>
            <w:bottom w:val="none" w:sz="0" w:space="0" w:color="auto"/>
            <w:right w:val="none" w:sz="0" w:space="0" w:color="auto"/>
          </w:divBdr>
        </w:div>
        <w:div w:id="815487792">
          <w:marLeft w:val="0"/>
          <w:marRight w:val="0"/>
          <w:marTop w:val="0"/>
          <w:marBottom w:val="0"/>
          <w:divBdr>
            <w:top w:val="none" w:sz="0" w:space="0" w:color="auto"/>
            <w:left w:val="none" w:sz="0" w:space="0" w:color="auto"/>
            <w:bottom w:val="none" w:sz="0" w:space="0" w:color="auto"/>
            <w:right w:val="none" w:sz="0" w:space="0" w:color="auto"/>
          </w:divBdr>
        </w:div>
        <w:div w:id="1636908057">
          <w:marLeft w:val="0"/>
          <w:marRight w:val="0"/>
          <w:marTop w:val="0"/>
          <w:marBottom w:val="0"/>
          <w:divBdr>
            <w:top w:val="none" w:sz="0" w:space="0" w:color="auto"/>
            <w:left w:val="none" w:sz="0" w:space="0" w:color="auto"/>
            <w:bottom w:val="none" w:sz="0" w:space="0" w:color="auto"/>
            <w:right w:val="none" w:sz="0" w:space="0" w:color="auto"/>
          </w:divBdr>
        </w:div>
      </w:divsChild>
    </w:div>
    <w:div w:id="1880361879">
      <w:bodyDiv w:val="1"/>
      <w:marLeft w:val="0"/>
      <w:marRight w:val="0"/>
      <w:marTop w:val="0"/>
      <w:marBottom w:val="0"/>
      <w:divBdr>
        <w:top w:val="none" w:sz="0" w:space="0" w:color="auto"/>
        <w:left w:val="none" w:sz="0" w:space="0" w:color="auto"/>
        <w:bottom w:val="none" w:sz="0" w:space="0" w:color="auto"/>
        <w:right w:val="none" w:sz="0" w:space="0" w:color="auto"/>
      </w:divBdr>
      <w:divsChild>
        <w:div w:id="30346484">
          <w:marLeft w:val="0"/>
          <w:marRight w:val="0"/>
          <w:marTop w:val="0"/>
          <w:marBottom w:val="0"/>
          <w:divBdr>
            <w:top w:val="none" w:sz="0" w:space="0" w:color="auto"/>
            <w:left w:val="none" w:sz="0" w:space="0" w:color="auto"/>
            <w:bottom w:val="none" w:sz="0" w:space="0" w:color="auto"/>
            <w:right w:val="none" w:sz="0" w:space="0" w:color="auto"/>
          </w:divBdr>
        </w:div>
        <w:div w:id="97531453">
          <w:marLeft w:val="0"/>
          <w:marRight w:val="0"/>
          <w:marTop w:val="0"/>
          <w:marBottom w:val="0"/>
          <w:divBdr>
            <w:top w:val="none" w:sz="0" w:space="0" w:color="auto"/>
            <w:left w:val="none" w:sz="0" w:space="0" w:color="auto"/>
            <w:bottom w:val="none" w:sz="0" w:space="0" w:color="auto"/>
            <w:right w:val="none" w:sz="0" w:space="0" w:color="auto"/>
          </w:divBdr>
        </w:div>
        <w:div w:id="118691708">
          <w:marLeft w:val="0"/>
          <w:marRight w:val="0"/>
          <w:marTop w:val="0"/>
          <w:marBottom w:val="0"/>
          <w:divBdr>
            <w:top w:val="none" w:sz="0" w:space="0" w:color="auto"/>
            <w:left w:val="none" w:sz="0" w:space="0" w:color="auto"/>
            <w:bottom w:val="none" w:sz="0" w:space="0" w:color="auto"/>
            <w:right w:val="none" w:sz="0" w:space="0" w:color="auto"/>
          </w:divBdr>
        </w:div>
        <w:div w:id="351541800">
          <w:marLeft w:val="0"/>
          <w:marRight w:val="0"/>
          <w:marTop w:val="0"/>
          <w:marBottom w:val="0"/>
          <w:divBdr>
            <w:top w:val="none" w:sz="0" w:space="0" w:color="auto"/>
            <w:left w:val="none" w:sz="0" w:space="0" w:color="auto"/>
            <w:bottom w:val="none" w:sz="0" w:space="0" w:color="auto"/>
            <w:right w:val="none" w:sz="0" w:space="0" w:color="auto"/>
          </w:divBdr>
        </w:div>
        <w:div w:id="623389671">
          <w:marLeft w:val="0"/>
          <w:marRight w:val="0"/>
          <w:marTop w:val="0"/>
          <w:marBottom w:val="0"/>
          <w:divBdr>
            <w:top w:val="none" w:sz="0" w:space="0" w:color="auto"/>
            <w:left w:val="none" w:sz="0" w:space="0" w:color="auto"/>
            <w:bottom w:val="none" w:sz="0" w:space="0" w:color="auto"/>
            <w:right w:val="none" w:sz="0" w:space="0" w:color="auto"/>
          </w:divBdr>
        </w:div>
        <w:div w:id="668871506">
          <w:marLeft w:val="0"/>
          <w:marRight w:val="0"/>
          <w:marTop w:val="0"/>
          <w:marBottom w:val="0"/>
          <w:divBdr>
            <w:top w:val="none" w:sz="0" w:space="0" w:color="auto"/>
            <w:left w:val="none" w:sz="0" w:space="0" w:color="auto"/>
            <w:bottom w:val="none" w:sz="0" w:space="0" w:color="auto"/>
            <w:right w:val="none" w:sz="0" w:space="0" w:color="auto"/>
          </w:divBdr>
        </w:div>
        <w:div w:id="773088835">
          <w:marLeft w:val="0"/>
          <w:marRight w:val="0"/>
          <w:marTop w:val="0"/>
          <w:marBottom w:val="0"/>
          <w:divBdr>
            <w:top w:val="none" w:sz="0" w:space="0" w:color="auto"/>
            <w:left w:val="none" w:sz="0" w:space="0" w:color="auto"/>
            <w:bottom w:val="none" w:sz="0" w:space="0" w:color="auto"/>
            <w:right w:val="none" w:sz="0" w:space="0" w:color="auto"/>
          </w:divBdr>
        </w:div>
        <w:div w:id="883059946">
          <w:marLeft w:val="0"/>
          <w:marRight w:val="0"/>
          <w:marTop w:val="0"/>
          <w:marBottom w:val="0"/>
          <w:divBdr>
            <w:top w:val="none" w:sz="0" w:space="0" w:color="auto"/>
            <w:left w:val="none" w:sz="0" w:space="0" w:color="auto"/>
            <w:bottom w:val="none" w:sz="0" w:space="0" w:color="auto"/>
            <w:right w:val="none" w:sz="0" w:space="0" w:color="auto"/>
          </w:divBdr>
        </w:div>
        <w:div w:id="1078332686">
          <w:marLeft w:val="0"/>
          <w:marRight w:val="0"/>
          <w:marTop w:val="0"/>
          <w:marBottom w:val="0"/>
          <w:divBdr>
            <w:top w:val="none" w:sz="0" w:space="0" w:color="auto"/>
            <w:left w:val="none" w:sz="0" w:space="0" w:color="auto"/>
            <w:bottom w:val="none" w:sz="0" w:space="0" w:color="auto"/>
            <w:right w:val="none" w:sz="0" w:space="0" w:color="auto"/>
          </w:divBdr>
        </w:div>
        <w:div w:id="1086658504">
          <w:marLeft w:val="0"/>
          <w:marRight w:val="0"/>
          <w:marTop w:val="0"/>
          <w:marBottom w:val="0"/>
          <w:divBdr>
            <w:top w:val="none" w:sz="0" w:space="0" w:color="auto"/>
            <w:left w:val="none" w:sz="0" w:space="0" w:color="auto"/>
            <w:bottom w:val="none" w:sz="0" w:space="0" w:color="auto"/>
            <w:right w:val="none" w:sz="0" w:space="0" w:color="auto"/>
          </w:divBdr>
        </w:div>
        <w:div w:id="1090001697">
          <w:marLeft w:val="0"/>
          <w:marRight w:val="0"/>
          <w:marTop w:val="0"/>
          <w:marBottom w:val="0"/>
          <w:divBdr>
            <w:top w:val="none" w:sz="0" w:space="0" w:color="auto"/>
            <w:left w:val="none" w:sz="0" w:space="0" w:color="auto"/>
            <w:bottom w:val="none" w:sz="0" w:space="0" w:color="auto"/>
            <w:right w:val="none" w:sz="0" w:space="0" w:color="auto"/>
          </w:divBdr>
        </w:div>
        <w:div w:id="1117334813">
          <w:marLeft w:val="0"/>
          <w:marRight w:val="0"/>
          <w:marTop w:val="0"/>
          <w:marBottom w:val="0"/>
          <w:divBdr>
            <w:top w:val="none" w:sz="0" w:space="0" w:color="auto"/>
            <w:left w:val="none" w:sz="0" w:space="0" w:color="auto"/>
            <w:bottom w:val="none" w:sz="0" w:space="0" w:color="auto"/>
            <w:right w:val="none" w:sz="0" w:space="0" w:color="auto"/>
          </w:divBdr>
        </w:div>
        <w:div w:id="1168864832">
          <w:marLeft w:val="0"/>
          <w:marRight w:val="0"/>
          <w:marTop w:val="0"/>
          <w:marBottom w:val="0"/>
          <w:divBdr>
            <w:top w:val="none" w:sz="0" w:space="0" w:color="auto"/>
            <w:left w:val="none" w:sz="0" w:space="0" w:color="auto"/>
            <w:bottom w:val="none" w:sz="0" w:space="0" w:color="auto"/>
            <w:right w:val="none" w:sz="0" w:space="0" w:color="auto"/>
          </w:divBdr>
        </w:div>
        <w:div w:id="1207907168">
          <w:marLeft w:val="0"/>
          <w:marRight w:val="0"/>
          <w:marTop w:val="0"/>
          <w:marBottom w:val="0"/>
          <w:divBdr>
            <w:top w:val="none" w:sz="0" w:space="0" w:color="auto"/>
            <w:left w:val="none" w:sz="0" w:space="0" w:color="auto"/>
            <w:bottom w:val="none" w:sz="0" w:space="0" w:color="auto"/>
            <w:right w:val="none" w:sz="0" w:space="0" w:color="auto"/>
          </w:divBdr>
        </w:div>
        <w:div w:id="1292859992">
          <w:marLeft w:val="0"/>
          <w:marRight w:val="0"/>
          <w:marTop w:val="0"/>
          <w:marBottom w:val="0"/>
          <w:divBdr>
            <w:top w:val="none" w:sz="0" w:space="0" w:color="auto"/>
            <w:left w:val="none" w:sz="0" w:space="0" w:color="auto"/>
            <w:bottom w:val="none" w:sz="0" w:space="0" w:color="auto"/>
            <w:right w:val="none" w:sz="0" w:space="0" w:color="auto"/>
          </w:divBdr>
        </w:div>
        <w:div w:id="1322586956">
          <w:marLeft w:val="0"/>
          <w:marRight w:val="0"/>
          <w:marTop w:val="0"/>
          <w:marBottom w:val="0"/>
          <w:divBdr>
            <w:top w:val="none" w:sz="0" w:space="0" w:color="auto"/>
            <w:left w:val="none" w:sz="0" w:space="0" w:color="auto"/>
            <w:bottom w:val="none" w:sz="0" w:space="0" w:color="auto"/>
            <w:right w:val="none" w:sz="0" w:space="0" w:color="auto"/>
          </w:divBdr>
        </w:div>
        <w:div w:id="1347556926">
          <w:marLeft w:val="0"/>
          <w:marRight w:val="0"/>
          <w:marTop w:val="0"/>
          <w:marBottom w:val="0"/>
          <w:divBdr>
            <w:top w:val="none" w:sz="0" w:space="0" w:color="auto"/>
            <w:left w:val="none" w:sz="0" w:space="0" w:color="auto"/>
            <w:bottom w:val="none" w:sz="0" w:space="0" w:color="auto"/>
            <w:right w:val="none" w:sz="0" w:space="0" w:color="auto"/>
          </w:divBdr>
        </w:div>
        <w:div w:id="1367944244">
          <w:marLeft w:val="0"/>
          <w:marRight w:val="0"/>
          <w:marTop w:val="0"/>
          <w:marBottom w:val="0"/>
          <w:divBdr>
            <w:top w:val="none" w:sz="0" w:space="0" w:color="auto"/>
            <w:left w:val="none" w:sz="0" w:space="0" w:color="auto"/>
            <w:bottom w:val="none" w:sz="0" w:space="0" w:color="auto"/>
            <w:right w:val="none" w:sz="0" w:space="0" w:color="auto"/>
          </w:divBdr>
        </w:div>
        <w:div w:id="1388412401">
          <w:marLeft w:val="0"/>
          <w:marRight w:val="0"/>
          <w:marTop w:val="0"/>
          <w:marBottom w:val="0"/>
          <w:divBdr>
            <w:top w:val="none" w:sz="0" w:space="0" w:color="auto"/>
            <w:left w:val="none" w:sz="0" w:space="0" w:color="auto"/>
            <w:bottom w:val="none" w:sz="0" w:space="0" w:color="auto"/>
            <w:right w:val="none" w:sz="0" w:space="0" w:color="auto"/>
          </w:divBdr>
        </w:div>
        <w:div w:id="1470897217">
          <w:marLeft w:val="0"/>
          <w:marRight w:val="0"/>
          <w:marTop w:val="0"/>
          <w:marBottom w:val="0"/>
          <w:divBdr>
            <w:top w:val="none" w:sz="0" w:space="0" w:color="auto"/>
            <w:left w:val="none" w:sz="0" w:space="0" w:color="auto"/>
            <w:bottom w:val="none" w:sz="0" w:space="0" w:color="auto"/>
            <w:right w:val="none" w:sz="0" w:space="0" w:color="auto"/>
          </w:divBdr>
        </w:div>
        <w:div w:id="1490055703">
          <w:marLeft w:val="0"/>
          <w:marRight w:val="0"/>
          <w:marTop w:val="0"/>
          <w:marBottom w:val="0"/>
          <w:divBdr>
            <w:top w:val="none" w:sz="0" w:space="0" w:color="auto"/>
            <w:left w:val="none" w:sz="0" w:space="0" w:color="auto"/>
            <w:bottom w:val="none" w:sz="0" w:space="0" w:color="auto"/>
            <w:right w:val="none" w:sz="0" w:space="0" w:color="auto"/>
          </w:divBdr>
        </w:div>
        <w:div w:id="1547332411">
          <w:marLeft w:val="0"/>
          <w:marRight w:val="0"/>
          <w:marTop w:val="0"/>
          <w:marBottom w:val="0"/>
          <w:divBdr>
            <w:top w:val="none" w:sz="0" w:space="0" w:color="auto"/>
            <w:left w:val="none" w:sz="0" w:space="0" w:color="auto"/>
            <w:bottom w:val="none" w:sz="0" w:space="0" w:color="auto"/>
            <w:right w:val="none" w:sz="0" w:space="0" w:color="auto"/>
          </w:divBdr>
        </w:div>
        <w:div w:id="1631279599">
          <w:marLeft w:val="0"/>
          <w:marRight w:val="0"/>
          <w:marTop w:val="0"/>
          <w:marBottom w:val="0"/>
          <w:divBdr>
            <w:top w:val="none" w:sz="0" w:space="0" w:color="auto"/>
            <w:left w:val="none" w:sz="0" w:space="0" w:color="auto"/>
            <w:bottom w:val="none" w:sz="0" w:space="0" w:color="auto"/>
            <w:right w:val="none" w:sz="0" w:space="0" w:color="auto"/>
          </w:divBdr>
        </w:div>
        <w:div w:id="1685984323">
          <w:marLeft w:val="0"/>
          <w:marRight w:val="0"/>
          <w:marTop w:val="0"/>
          <w:marBottom w:val="0"/>
          <w:divBdr>
            <w:top w:val="none" w:sz="0" w:space="0" w:color="auto"/>
            <w:left w:val="none" w:sz="0" w:space="0" w:color="auto"/>
            <w:bottom w:val="none" w:sz="0" w:space="0" w:color="auto"/>
            <w:right w:val="none" w:sz="0" w:space="0" w:color="auto"/>
          </w:divBdr>
        </w:div>
        <w:div w:id="1694648681">
          <w:marLeft w:val="0"/>
          <w:marRight w:val="0"/>
          <w:marTop w:val="0"/>
          <w:marBottom w:val="0"/>
          <w:divBdr>
            <w:top w:val="none" w:sz="0" w:space="0" w:color="auto"/>
            <w:left w:val="none" w:sz="0" w:space="0" w:color="auto"/>
            <w:bottom w:val="none" w:sz="0" w:space="0" w:color="auto"/>
            <w:right w:val="none" w:sz="0" w:space="0" w:color="auto"/>
          </w:divBdr>
        </w:div>
        <w:div w:id="1800949830">
          <w:marLeft w:val="0"/>
          <w:marRight w:val="0"/>
          <w:marTop w:val="0"/>
          <w:marBottom w:val="0"/>
          <w:divBdr>
            <w:top w:val="none" w:sz="0" w:space="0" w:color="auto"/>
            <w:left w:val="none" w:sz="0" w:space="0" w:color="auto"/>
            <w:bottom w:val="none" w:sz="0" w:space="0" w:color="auto"/>
            <w:right w:val="none" w:sz="0" w:space="0" w:color="auto"/>
          </w:divBdr>
        </w:div>
        <w:div w:id="1813869112">
          <w:marLeft w:val="0"/>
          <w:marRight w:val="0"/>
          <w:marTop w:val="0"/>
          <w:marBottom w:val="0"/>
          <w:divBdr>
            <w:top w:val="none" w:sz="0" w:space="0" w:color="auto"/>
            <w:left w:val="none" w:sz="0" w:space="0" w:color="auto"/>
            <w:bottom w:val="none" w:sz="0" w:space="0" w:color="auto"/>
            <w:right w:val="none" w:sz="0" w:space="0" w:color="auto"/>
          </w:divBdr>
        </w:div>
        <w:div w:id="1814641341">
          <w:marLeft w:val="0"/>
          <w:marRight w:val="0"/>
          <w:marTop w:val="0"/>
          <w:marBottom w:val="0"/>
          <w:divBdr>
            <w:top w:val="none" w:sz="0" w:space="0" w:color="auto"/>
            <w:left w:val="none" w:sz="0" w:space="0" w:color="auto"/>
            <w:bottom w:val="none" w:sz="0" w:space="0" w:color="auto"/>
            <w:right w:val="none" w:sz="0" w:space="0" w:color="auto"/>
          </w:divBdr>
        </w:div>
        <w:div w:id="1832942263">
          <w:marLeft w:val="0"/>
          <w:marRight w:val="0"/>
          <w:marTop w:val="0"/>
          <w:marBottom w:val="0"/>
          <w:divBdr>
            <w:top w:val="none" w:sz="0" w:space="0" w:color="auto"/>
            <w:left w:val="none" w:sz="0" w:space="0" w:color="auto"/>
            <w:bottom w:val="none" w:sz="0" w:space="0" w:color="auto"/>
            <w:right w:val="none" w:sz="0" w:space="0" w:color="auto"/>
          </w:divBdr>
        </w:div>
        <w:div w:id="1839269499">
          <w:marLeft w:val="0"/>
          <w:marRight w:val="0"/>
          <w:marTop w:val="0"/>
          <w:marBottom w:val="0"/>
          <w:divBdr>
            <w:top w:val="none" w:sz="0" w:space="0" w:color="auto"/>
            <w:left w:val="none" w:sz="0" w:space="0" w:color="auto"/>
            <w:bottom w:val="none" w:sz="0" w:space="0" w:color="auto"/>
            <w:right w:val="none" w:sz="0" w:space="0" w:color="auto"/>
          </w:divBdr>
        </w:div>
        <w:div w:id="1886287992">
          <w:marLeft w:val="0"/>
          <w:marRight w:val="0"/>
          <w:marTop w:val="0"/>
          <w:marBottom w:val="0"/>
          <w:divBdr>
            <w:top w:val="none" w:sz="0" w:space="0" w:color="auto"/>
            <w:left w:val="none" w:sz="0" w:space="0" w:color="auto"/>
            <w:bottom w:val="none" w:sz="0" w:space="0" w:color="auto"/>
            <w:right w:val="none" w:sz="0" w:space="0" w:color="auto"/>
          </w:divBdr>
        </w:div>
        <w:div w:id="1913929207">
          <w:marLeft w:val="0"/>
          <w:marRight w:val="0"/>
          <w:marTop w:val="0"/>
          <w:marBottom w:val="0"/>
          <w:divBdr>
            <w:top w:val="none" w:sz="0" w:space="0" w:color="auto"/>
            <w:left w:val="none" w:sz="0" w:space="0" w:color="auto"/>
            <w:bottom w:val="none" w:sz="0" w:space="0" w:color="auto"/>
            <w:right w:val="none" w:sz="0" w:space="0" w:color="auto"/>
          </w:divBdr>
        </w:div>
        <w:div w:id="1967589165">
          <w:marLeft w:val="0"/>
          <w:marRight w:val="0"/>
          <w:marTop w:val="0"/>
          <w:marBottom w:val="0"/>
          <w:divBdr>
            <w:top w:val="none" w:sz="0" w:space="0" w:color="auto"/>
            <w:left w:val="none" w:sz="0" w:space="0" w:color="auto"/>
            <w:bottom w:val="none" w:sz="0" w:space="0" w:color="auto"/>
            <w:right w:val="none" w:sz="0" w:space="0" w:color="auto"/>
          </w:divBdr>
        </w:div>
        <w:div w:id="1980306283">
          <w:marLeft w:val="0"/>
          <w:marRight w:val="0"/>
          <w:marTop w:val="0"/>
          <w:marBottom w:val="0"/>
          <w:divBdr>
            <w:top w:val="none" w:sz="0" w:space="0" w:color="auto"/>
            <w:left w:val="none" w:sz="0" w:space="0" w:color="auto"/>
            <w:bottom w:val="none" w:sz="0" w:space="0" w:color="auto"/>
            <w:right w:val="none" w:sz="0" w:space="0" w:color="auto"/>
          </w:divBdr>
        </w:div>
        <w:div w:id="2109109406">
          <w:marLeft w:val="0"/>
          <w:marRight w:val="0"/>
          <w:marTop w:val="0"/>
          <w:marBottom w:val="0"/>
          <w:divBdr>
            <w:top w:val="none" w:sz="0" w:space="0" w:color="auto"/>
            <w:left w:val="none" w:sz="0" w:space="0" w:color="auto"/>
            <w:bottom w:val="none" w:sz="0" w:space="0" w:color="auto"/>
            <w:right w:val="none" w:sz="0" w:space="0" w:color="auto"/>
          </w:divBdr>
        </w:div>
      </w:divsChild>
    </w:div>
    <w:div w:id="1884706098">
      <w:bodyDiv w:val="1"/>
      <w:marLeft w:val="0"/>
      <w:marRight w:val="0"/>
      <w:marTop w:val="0"/>
      <w:marBottom w:val="0"/>
      <w:divBdr>
        <w:top w:val="none" w:sz="0" w:space="0" w:color="auto"/>
        <w:left w:val="none" w:sz="0" w:space="0" w:color="auto"/>
        <w:bottom w:val="none" w:sz="0" w:space="0" w:color="auto"/>
        <w:right w:val="none" w:sz="0" w:space="0" w:color="auto"/>
      </w:divBdr>
    </w:div>
    <w:div w:id="1885408196">
      <w:bodyDiv w:val="1"/>
      <w:marLeft w:val="0"/>
      <w:marRight w:val="0"/>
      <w:marTop w:val="0"/>
      <w:marBottom w:val="0"/>
      <w:divBdr>
        <w:top w:val="none" w:sz="0" w:space="0" w:color="auto"/>
        <w:left w:val="none" w:sz="0" w:space="0" w:color="auto"/>
        <w:bottom w:val="none" w:sz="0" w:space="0" w:color="auto"/>
        <w:right w:val="none" w:sz="0" w:space="0" w:color="auto"/>
      </w:divBdr>
    </w:div>
    <w:div w:id="1889099197">
      <w:bodyDiv w:val="1"/>
      <w:marLeft w:val="0"/>
      <w:marRight w:val="0"/>
      <w:marTop w:val="0"/>
      <w:marBottom w:val="0"/>
      <w:divBdr>
        <w:top w:val="none" w:sz="0" w:space="0" w:color="auto"/>
        <w:left w:val="none" w:sz="0" w:space="0" w:color="auto"/>
        <w:bottom w:val="none" w:sz="0" w:space="0" w:color="auto"/>
        <w:right w:val="none" w:sz="0" w:space="0" w:color="auto"/>
      </w:divBdr>
      <w:divsChild>
        <w:div w:id="2133940390">
          <w:marLeft w:val="0"/>
          <w:marRight w:val="0"/>
          <w:marTop w:val="0"/>
          <w:marBottom w:val="0"/>
          <w:divBdr>
            <w:top w:val="none" w:sz="0" w:space="0" w:color="auto"/>
            <w:left w:val="none" w:sz="0" w:space="0" w:color="auto"/>
            <w:bottom w:val="none" w:sz="0" w:space="0" w:color="auto"/>
            <w:right w:val="none" w:sz="0" w:space="0" w:color="auto"/>
          </w:divBdr>
          <w:divsChild>
            <w:div w:id="360784068">
              <w:marLeft w:val="0"/>
              <w:marRight w:val="0"/>
              <w:marTop w:val="435"/>
              <w:marBottom w:val="502"/>
              <w:divBdr>
                <w:top w:val="none" w:sz="0" w:space="0" w:color="auto"/>
                <w:left w:val="none" w:sz="0" w:space="0" w:color="auto"/>
                <w:bottom w:val="none" w:sz="0" w:space="0" w:color="auto"/>
                <w:right w:val="none" w:sz="0" w:space="0" w:color="auto"/>
              </w:divBdr>
              <w:divsChild>
                <w:div w:id="1424494677">
                  <w:marLeft w:val="0"/>
                  <w:marRight w:val="0"/>
                  <w:marTop w:val="0"/>
                  <w:marBottom w:val="0"/>
                  <w:divBdr>
                    <w:top w:val="none" w:sz="0" w:space="0" w:color="auto"/>
                    <w:left w:val="none" w:sz="0" w:space="0" w:color="auto"/>
                    <w:bottom w:val="none" w:sz="0" w:space="0" w:color="auto"/>
                    <w:right w:val="none" w:sz="0" w:space="0" w:color="auto"/>
                  </w:divBdr>
                  <w:divsChild>
                    <w:div w:id="17509671">
                      <w:marLeft w:val="0"/>
                      <w:marRight w:val="0"/>
                      <w:marTop w:val="0"/>
                      <w:marBottom w:val="0"/>
                      <w:divBdr>
                        <w:top w:val="none" w:sz="0" w:space="0" w:color="auto"/>
                        <w:left w:val="none" w:sz="0" w:space="0" w:color="auto"/>
                        <w:bottom w:val="none" w:sz="0" w:space="0" w:color="auto"/>
                        <w:right w:val="none" w:sz="0" w:space="0" w:color="auto"/>
                      </w:divBdr>
                      <w:divsChild>
                        <w:div w:id="140418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116155">
      <w:bodyDiv w:val="1"/>
      <w:marLeft w:val="0"/>
      <w:marRight w:val="0"/>
      <w:marTop w:val="0"/>
      <w:marBottom w:val="0"/>
      <w:divBdr>
        <w:top w:val="none" w:sz="0" w:space="0" w:color="auto"/>
        <w:left w:val="none" w:sz="0" w:space="0" w:color="auto"/>
        <w:bottom w:val="none" w:sz="0" w:space="0" w:color="auto"/>
        <w:right w:val="none" w:sz="0" w:space="0" w:color="auto"/>
      </w:divBdr>
    </w:div>
    <w:div w:id="1896696785">
      <w:bodyDiv w:val="1"/>
      <w:marLeft w:val="0"/>
      <w:marRight w:val="0"/>
      <w:marTop w:val="0"/>
      <w:marBottom w:val="0"/>
      <w:divBdr>
        <w:top w:val="none" w:sz="0" w:space="0" w:color="auto"/>
        <w:left w:val="none" w:sz="0" w:space="0" w:color="auto"/>
        <w:bottom w:val="none" w:sz="0" w:space="0" w:color="auto"/>
        <w:right w:val="none" w:sz="0" w:space="0" w:color="auto"/>
      </w:divBdr>
      <w:divsChild>
        <w:div w:id="1827551285">
          <w:marLeft w:val="0"/>
          <w:marRight w:val="0"/>
          <w:marTop w:val="0"/>
          <w:marBottom w:val="0"/>
          <w:divBdr>
            <w:top w:val="none" w:sz="0" w:space="0" w:color="auto"/>
            <w:left w:val="none" w:sz="0" w:space="0" w:color="auto"/>
            <w:bottom w:val="none" w:sz="0" w:space="0" w:color="auto"/>
            <w:right w:val="none" w:sz="0" w:space="0" w:color="auto"/>
          </w:divBdr>
        </w:div>
      </w:divsChild>
    </w:div>
    <w:div w:id="1900362439">
      <w:bodyDiv w:val="1"/>
      <w:marLeft w:val="0"/>
      <w:marRight w:val="0"/>
      <w:marTop w:val="0"/>
      <w:marBottom w:val="0"/>
      <w:divBdr>
        <w:top w:val="none" w:sz="0" w:space="0" w:color="auto"/>
        <w:left w:val="none" w:sz="0" w:space="0" w:color="auto"/>
        <w:bottom w:val="none" w:sz="0" w:space="0" w:color="auto"/>
        <w:right w:val="none" w:sz="0" w:space="0" w:color="auto"/>
      </w:divBdr>
      <w:divsChild>
        <w:div w:id="1974165520">
          <w:marLeft w:val="0"/>
          <w:marRight w:val="0"/>
          <w:marTop w:val="0"/>
          <w:marBottom w:val="0"/>
          <w:divBdr>
            <w:top w:val="none" w:sz="0" w:space="0" w:color="auto"/>
            <w:left w:val="none" w:sz="0" w:space="0" w:color="auto"/>
            <w:bottom w:val="none" w:sz="0" w:space="0" w:color="auto"/>
            <w:right w:val="none" w:sz="0" w:space="0" w:color="auto"/>
          </w:divBdr>
          <w:divsChild>
            <w:div w:id="586308090">
              <w:marLeft w:val="0"/>
              <w:marRight w:val="0"/>
              <w:marTop w:val="0"/>
              <w:marBottom w:val="0"/>
              <w:divBdr>
                <w:top w:val="none" w:sz="0" w:space="0" w:color="auto"/>
                <w:left w:val="none" w:sz="0" w:space="0" w:color="auto"/>
                <w:bottom w:val="none" w:sz="0" w:space="0" w:color="auto"/>
                <w:right w:val="none" w:sz="0" w:space="0" w:color="auto"/>
              </w:divBdr>
              <w:divsChild>
                <w:div w:id="256328773">
                  <w:marLeft w:val="0"/>
                  <w:marRight w:val="0"/>
                  <w:marTop w:val="0"/>
                  <w:marBottom w:val="0"/>
                  <w:divBdr>
                    <w:top w:val="none" w:sz="0" w:space="0" w:color="auto"/>
                    <w:left w:val="none" w:sz="0" w:space="0" w:color="auto"/>
                    <w:bottom w:val="none" w:sz="0" w:space="0" w:color="auto"/>
                    <w:right w:val="none" w:sz="0" w:space="0" w:color="auto"/>
                  </w:divBdr>
                  <w:divsChild>
                    <w:div w:id="1856461300">
                      <w:marLeft w:val="0"/>
                      <w:marRight w:val="0"/>
                      <w:marTop w:val="0"/>
                      <w:marBottom w:val="0"/>
                      <w:divBdr>
                        <w:top w:val="none" w:sz="0" w:space="0" w:color="auto"/>
                        <w:left w:val="none" w:sz="0" w:space="0" w:color="auto"/>
                        <w:bottom w:val="none" w:sz="0" w:space="0" w:color="auto"/>
                        <w:right w:val="none" w:sz="0" w:space="0" w:color="auto"/>
                      </w:divBdr>
                      <w:divsChild>
                        <w:div w:id="955720102">
                          <w:marLeft w:val="0"/>
                          <w:marRight w:val="0"/>
                          <w:marTop w:val="0"/>
                          <w:marBottom w:val="0"/>
                          <w:divBdr>
                            <w:top w:val="none" w:sz="0" w:space="0" w:color="auto"/>
                            <w:left w:val="none" w:sz="0" w:space="0" w:color="auto"/>
                            <w:bottom w:val="none" w:sz="0" w:space="0" w:color="auto"/>
                            <w:right w:val="none" w:sz="0" w:space="0" w:color="auto"/>
                          </w:divBdr>
                          <w:divsChild>
                            <w:div w:id="143609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525246">
      <w:bodyDiv w:val="1"/>
      <w:marLeft w:val="0"/>
      <w:marRight w:val="0"/>
      <w:marTop w:val="0"/>
      <w:marBottom w:val="0"/>
      <w:divBdr>
        <w:top w:val="none" w:sz="0" w:space="0" w:color="auto"/>
        <w:left w:val="none" w:sz="0" w:space="0" w:color="auto"/>
        <w:bottom w:val="none" w:sz="0" w:space="0" w:color="auto"/>
        <w:right w:val="none" w:sz="0" w:space="0" w:color="auto"/>
      </w:divBdr>
      <w:divsChild>
        <w:div w:id="658313569">
          <w:marLeft w:val="0"/>
          <w:marRight w:val="0"/>
          <w:marTop w:val="0"/>
          <w:marBottom w:val="0"/>
          <w:divBdr>
            <w:top w:val="none" w:sz="0" w:space="0" w:color="auto"/>
            <w:left w:val="none" w:sz="0" w:space="0" w:color="auto"/>
            <w:bottom w:val="none" w:sz="0" w:space="0" w:color="auto"/>
            <w:right w:val="none" w:sz="0" w:space="0" w:color="auto"/>
          </w:divBdr>
        </w:div>
        <w:div w:id="807285835">
          <w:marLeft w:val="0"/>
          <w:marRight w:val="0"/>
          <w:marTop w:val="0"/>
          <w:marBottom w:val="0"/>
          <w:divBdr>
            <w:top w:val="none" w:sz="0" w:space="0" w:color="auto"/>
            <w:left w:val="none" w:sz="0" w:space="0" w:color="auto"/>
            <w:bottom w:val="none" w:sz="0" w:space="0" w:color="auto"/>
            <w:right w:val="none" w:sz="0" w:space="0" w:color="auto"/>
          </w:divBdr>
        </w:div>
        <w:div w:id="1008867134">
          <w:marLeft w:val="0"/>
          <w:marRight w:val="0"/>
          <w:marTop w:val="0"/>
          <w:marBottom w:val="0"/>
          <w:divBdr>
            <w:top w:val="none" w:sz="0" w:space="0" w:color="auto"/>
            <w:left w:val="none" w:sz="0" w:space="0" w:color="auto"/>
            <w:bottom w:val="none" w:sz="0" w:space="0" w:color="auto"/>
            <w:right w:val="none" w:sz="0" w:space="0" w:color="auto"/>
          </w:divBdr>
        </w:div>
        <w:div w:id="1084761857">
          <w:marLeft w:val="0"/>
          <w:marRight w:val="0"/>
          <w:marTop w:val="0"/>
          <w:marBottom w:val="0"/>
          <w:divBdr>
            <w:top w:val="none" w:sz="0" w:space="0" w:color="auto"/>
            <w:left w:val="none" w:sz="0" w:space="0" w:color="auto"/>
            <w:bottom w:val="none" w:sz="0" w:space="0" w:color="auto"/>
            <w:right w:val="none" w:sz="0" w:space="0" w:color="auto"/>
          </w:divBdr>
        </w:div>
        <w:div w:id="1239903731">
          <w:marLeft w:val="0"/>
          <w:marRight w:val="0"/>
          <w:marTop w:val="0"/>
          <w:marBottom w:val="0"/>
          <w:divBdr>
            <w:top w:val="none" w:sz="0" w:space="0" w:color="auto"/>
            <w:left w:val="none" w:sz="0" w:space="0" w:color="auto"/>
            <w:bottom w:val="none" w:sz="0" w:space="0" w:color="auto"/>
            <w:right w:val="none" w:sz="0" w:space="0" w:color="auto"/>
          </w:divBdr>
        </w:div>
        <w:div w:id="1285427017">
          <w:marLeft w:val="0"/>
          <w:marRight w:val="0"/>
          <w:marTop w:val="0"/>
          <w:marBottom w:val="0"/>
          <w:divBdr>
            <w:top w:val="none" w:sz="0" w:space="0" w:color="auto"/>
            <w:left w:val="none" w:sz="0" w:space="0" w:color="auto"/>
            <w:bottom w:val="none" w:sz="0" w:space="0" w:color="auto"/>
            <w:right w:val="none" w:sz="0" w:space="0" w:color="auto"/>
          </w:divBdr>
        </w:div>
        <w:div w:id="1520510831">
          <w:marLeft w:val="0"/>
          <w:marRight w:val="0"/>
          <w:marTop w:val="0"/>
          <w:marBottom w:val="0"/>
          <w:divBdr>
            <w:top w:val="none" w:sz="0" w:space="0" w:color="auto"/>
            <w:left w:val="none" w:sz="0" w:space="0" w:color="auto"/>
            <w:bottom w:val="none" w:sz="0" w:space="0" w:color="auto"/>
            <w:right w:val="none" w:sz="0" w:space="0" w:color="auto"/>
          </w:divBdr>
        </w:div>
        <w:div w:id="1630090543">
          <w:marLeft w:val="0"/>
          <w:marRight w:val="0"/>
          <w:marTop w:val="0"/>
          <w:marBottom w:val="0"/>
          <w:divBdr>
            <w:top w:val="none" w:sz="0" w:space="0" w:color="auto"/>
            <w:left w:val="none" w:sz="0" w:space="0" w:color="auto"/>
            <w:bottom w:val="none" w:sz="0" w:space="0" w:color="auto"/>
            <w:right w:val="none" w:sz="0" w:space="0" w:color="auto"/>
          </w:divBdr>
        </w:div>
        <w:div w:id="1655253947">
          <w:marLeft w:val="0"/>
          <w:marRight w:val="0"/>
          <w:marTop w:val="0"/>
          <w:marBottom w:val="0"/>
          <w:divBdr>
            <w:top w:val="none" w:sz="0" w:space="0" w:color="auto"/>
            <w:left w:val="none" w:sz="0" w:space="0" w:color="auto"/>
            <w:bottom w:val="none" w:sz="0" w:space="0" w:color="auto"/>
            <w:right w:val="none" w:sz="0" w:space="0" w:color="auto"/>
          </w:divBdr>
        </w:div>
        <w:div w:id="1675493498">
          <w:marLeft w:val="0"/>
          <w:marRight w:val="0"/>
          <w:marTop w:val="0"/>
          <w:marBottom w:val="0"/>
          <w:divBdr>
            <w:top w:val="none" w:sz="0" w:space="0" w:color="auto"/>
            <w:left w:val="none" w:sz="0" w:space="0" w:color="auto"/>
            <w:bottom w:val="none" w:sz="0" w:space="0" w:color="auto"/>
            <w:right w:val="none" w:sz="0" w:space="0" w:color="auto"/>
          </w:divBdr>
        </w:div>
        <w:div w:id="1956212449">
          <w:marLeft w:val="0"/>
          <w:marRight w:val="0"/>
          <w:marTop w:val="0"/>
          <w:marBottom w:val="0"/>
          <w:divBdr>
            <w:top w:val="none" w:sz="0" w:space="0" w:color="auto"/>
            <w:left w:val="none" w:sz="0" w:space="0" w:color="auto"/>
            <w:bottom w:val="none" w:sz="0" w:space="0" w:color="auto"/>
            <w:right w:val="none" w:sz="0" w:space="0" w:color="auto"/>
          </w:divBdr>
        </w:div>
      </w:divsChild>
    </w:div>
    <w:div w:id="1908030477">
      <w:bodyDiv w:val="1"/>
      <w:marLeft w:val="0"/>
      <w:marRight w:val="0"/>
      <w:marTop w:val="0"/>
      <w:marBottom w:val="0"/>
      <w:divBdr>
        <w:top w:val="none" w:sz="0" w:space="0" w:color="auto"/>
        <w:left w:val="none" w:sz="0" w:space="0" w:color="auto"/>
        <w:bottom w:val="none" w:sz="0" w:space="0" w:color="auto"/>
        <w:right w:val="none" w:sz="0" w:space="0" w:color="auto"/>
      </w:divBdr>
    </w:div>
    <w:div w:id="1912230115">
      <w:bodyDiv w:val="1"/>
      <w:marLeft w:val="0"/>
      <w:marRight w:val="0"/>
      <w:marTop w:val="0"/>
      <w:marBottom w:val="0"/>
      <w:divBdr>
        <w:top w:val="none" w:sz="0" w:space="0" w:color="auto"/>
        <w:left w:val="none" w:sz="0" w:space="0" w:color="auto"/>
        <w:bottom w:val="none" w:sz="0" w:space="0" w:color="auto"/>
        <w:right w:val="none" w:sz="0" w:space="0" w:color="auto"/>
      </w:divBdr>
      <w:divsChild>
        <w:div w:id="661280940">
          <w:marLeft w:val="547"/>
          <w:marRight w:val="0"/>
          <w:marTop w:val="0"/>
          <w:marBottom w:val="0"/>
          <w:divBdr>
            <w:top w:val="none" w:sz="0" w:space="0" w:color="auto"/>
            <w:left w:val="none" w:sz="0" w:space="0" w:color="auto"/>
            <w:bottom w:val="none" w:sz="0" w:space="0" w:color="auto"/>
            <w:right w:val="none" w:sz="0" w:space="0" w:color="auto"/>
          </w:divBdr>
        </w:div>
      </w:divsChild>
    </w:div>
    <w:div w:id="1919753208">
      <w:bodyDiv w:val="1"/>
      <w:marLeft w:val="0"/>
      <w:marRight w:val="0"/>
      <w:marTop w:val="0"/>
      <w:marBottom w:val="0"/>
      <w:divBdr>
        <w:top w:val="none" w:sz="0" w:space="0" w:color="auto"/>
        <w:left w:val="none" w:sz="0" w:space="0" w:color="auto"/>
        <w:bottom w:val="none" w:sz="0" w:space="0" w:color="auto"/>
        <w:right w:val="none" w:sz="0" w:space="0" w:color="auto"/>
      </w:divBdr>
      <w:divsChild>
        <w:div w:id="426968310">
          <w:marLeft w:val="0"/>
          <w:marRight w:val="0"/>
          <w:marTop w:val="0"/>
          <w:marBottom w:val="0"/>
          <w:divBdr>
            <w:top w:val="none" w:sz="0" w:space="0" w:color="auto"/>
            <w:left w:val="none" w:sz="0" w:space="0" w:color="auto"/>
            <w:bottom w:val="none" w:sz="0" w:space="0" w:color="auto"/>
            <w:right w:val="none" w:sz="0" w:space="0" w:color="auto"/>
          </w:divBdr>
        </w:div>
        <w:div w:id="1352487207">
          <w:marLeft w:val="0"/>
          <w:marRight w:val="0"/>
          <w:marTop w:val="0"/>
          <w:marBottom w:val="0"/>
          <w:divBdr>
            <w:top w:val="none" w:sz="0" w:space="0" w:color="auto"/>
            <w:left w:val="none" w:sz="0" w:space="0" w:color="auto"/>
            <w:bottom w:val="none" w:sz="0" w:space="0" w:color="auto"/>
            <w:right w:val="none" w:sz="0" w:space="0" w:color="auto"/>
          </w:divBdr>
        </w:div>
      </w:divsChild>
    </w:div>
    <w:div w:id="1924794415">
      <w:bodyDiv w:val="1"/>
      <w:marLeft w:val="0"/>
      <w:marRight w:val="0"/>
      <w:marTop w:val="0"/>
      <w:marBottom w:val="0"/>
      <w:divBdr>
        <w:top w:val="none" w:sz="0" w:space="0" w:color="auto"/>
        <w:left w:val="none" w:sz="0" w:space="0" w:color="auto"/>
        <w:bottom w:val="none" w:sz="0" w:space="0" w:color="auto"/>
        <w:right w:val="none" w:sz="0" w:space="0" w:color="auto"/>
      </w:divBdr>
    </w:div>
    <w:div w:id="1935240498">
      <w:bodyDiv w:val="1"/>
      <w:marLeft w:val="0"/>
      <w:marRight w:val="0"/>
      <w:marTop w:val="0"/>
      <w:marBottom w:val="0"/>
      <w:divBdr>
        <w:top w:val="none" w:sz="0" w:space="0" w:color="auto"/>
        <w:left w:val="none" w:sz="0" w:space="0" w:color="auto"/>
        <w:bottom w:val="none" w:sz="0" w:space="0" w:color="auto"/>
        <w:right w:val="none" w:sz="0" w:space="0" w:color="auto"/>
      </w:divBdr>
    </w:div>
    <w:div w:id="1939562622">
      <w:bodyDiv w:val="1"/>
      <w:marLeft w:val="0"/>
      <w:marRight w:val="0"/>
      <w:marTop w:val="0"/>
      <w:marBottom w:val="0"/>
      <w:divBdr>
        <w:top w:val="none" w:sz="0" w:space="0" w:color="auto"/>
        <w:left w:val="none" w:sz="0" w:space="0" w:color="auto"/>
        <w:bottom w:val="none" w:sz="0" w:space="0" w:color="auto"/>
        <w:right w:val="none" w:sz="0" w:space="0" w:color="auto"/>
      </w:divBdr>
    </w:div>
    <w:div w:id="1942449336">
      <w:bodyDiv w:val="1"/>
      <w:marLeft w:val="0"/>
      <w:marRight w:val="0"/>
      <w:marTop w:val="0"/>
      <w:marBottom w:val="0"/>
      <w:divBdr>
        <w:top w:val="none" w:sz="0" w:space="0" w:color="auto"/>
        <w:left w:val="none" w:sz="0" w:space="0" w:color="auto"/>
        <w:bottom w:val="none" w:sz="0" w:space="0" w:color="auto"/>
        <w:right w:val="none" w:sz="0" w:space="0" w:color="auto"/>
      </w:divBdr>
    </w:div>
    <w:div w:id="1945727826">
      <w:bodyDiv w:val="1"/>
      <w:marLeft w:val="0"/>
      <w:marRight w:val="0"/>
      <w:marTop w:val="0"/>
      <w:marBottom w:val="0"/>
      <w:divBdr>
        <w:top w:val="none" w:sz="0" w:space="0" w:color="auto"/>
        <w:left w:val="none" w:sz="0" w:space="0" w:color="auto"/>
        <w:bottom w:val="none" w:sz="0" w:space="0" w:color="auto"/>
        <w:right w:val="none" w:sz="0" w:space="0" w:color="auto"/>
      </w:divBdr>
    </w:div>
    <w:div w:id="1949852087">
      <w:bodyDiv w:val="1"/>
      <w:marLeft w:val="0"/>
      <w:marRight w:val="0"/>
      <w:marTop w:val="0"/>
      <w:marBottom w:val="0"/>
      <w:divBdr>
        <w:top w:val="none" w:sz="0" w:space="0" w:color="auto"/>
        <w:left w:val="none" w:sz="0" w:space="0" w:color="auto"/>
        <w:bottom w:val="none" w:sz="0" w:space="0" w:color="auto"/>
        <w:right w:val="none" w:sz="0" w:space="0" w:color="auto"/>
      </w:divBdr>
      <w:divsChild>
        <w:div w:id="24214980">
          <w:marLeft w:val="0"/>
          <w:marRight w:val="0"/>
          <w:marTop w:val="0"/>
          <w:marBottom w:val="0"/>
          <w:divBdr>
            <w:top w:val="none" w:sz="0" w:space="0" w:color="auto"/>
            <w:left w:val="none" w:sz="0" w:space="0" w:color="auto"/>
            <w:bottom w:val="none" w:sz="0" w:space="0" w:color="auto"/>
            <w:right w:val="none" w:sz="0" w:space="0" w:color="auto"/>
          </w:divBdr>
          <w:divsChild>
            <w:div w:id="363992149">
              <w:marLeft w:val="0"/>
              <w:marRight w:val="0"/>
              <w:marTop w:val="0"/>
              <w:marBottom w:val="0"/>
              <w:divBdr>
                <w:top w:val="none" w:sz="0" w:space="0" w:color="auto"/>
                <w:left w:val="none" w:sz="0" w:space="0" w:color="auto"/>
                <w:bottom w:val="none" w:sz="0" w:space="0" w:color="auto"/>
                <w:right w:val="none" w:sz="0" w:space="0" w:color="auto"/>
              </w:divBdr>
              <w:divsChild>
                <w:div w:id="1661886798">
                  <w:marLeft w:val="0"/>
                  <w:marRight w:val="0"/>
                  <w:marTop w:val="0"/>
                  <w:marBottom w:val="0"/>
                  <w:divBdr>
                    <w:top w:val="none" w:sz="0" w:space="0" w:color="auto"/>
                    <w:left w:val="none" w:sz="0" w:space="0" w:color="auto"/>
                    <w:bottom w:val="none" w:sz="0" w:space="0" w:color="auto"/>
                    <w:right w:val="none" w:sz="0" w:space="0" w:color="auto"/>
                  </w:divBdr>
                  <w:divsChild>
                    <w:div w:id="1232959505">
                      <w:marLeft w:val="0"/>
                      <w:marRight w:val="0"/>
                      <w:marTop w:val="0"/>
                      <w:marBottom w:val="0"/>
                      <w:divBdr>
                        <w:top w:val="none" w:sz="0" w:space="0" w:color="auto"/>
                        <w:left w:val="none" w:sz="0" w:space="0" w:color="auto"/>
                        <w:bottom w:val="none" w:sz="0" w:space="0" w:color="auto"/>
                        <w:right w:val="none" w:sz="0" w:space="0" w:color="auto"/>
                      </w:divBdr>
                      <w:divsChild>
                        <w:div w:id="326252183">
                          <w:marLeft w:val="0"/>
                          <w:marRight w:val="0"/>
                          <w:marTop w:val="0"/>
                          <w:marBottom w:val="0"/>
                          <w:divBdr>
                            <w:top w:val="none" w:sz="0" w:space="0" w:color="auto"/>
                            <w:left w:val="none" w:sz="0" w:space="0" w:color="auto"/>
                            <w:bottom w:val="none" w:sz="0" w:space="0" w:color="auto"/>
                            <w:right w:val="none" w:sz="0" w:space="0" w:color="auto"/>
                          </w:divBdr>
                          <w:divsChild>
                            <w:div w:id="77845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4362147">
      <w:bodyDiv w:val="1"/>
      <w:marLeft w:val="0"/>
      <w:marRight w:val="0"/>
      <w:marTop w:val="0"/>
      <w:marBottom w:val="0"/>
      <w:divBdr>
        <w:top w:val="none" w:sz="0" w:space="0" w:color="auto"/>
        <w:left w:val="none" w:sz="0" w:space="0" w:color="auto"/>
        <w:bottom w:val="none" w:sz="0" w:space="0" w:color="auto"/>
        <w:right w:val="none" w:sz="0" w:space="0" w:color="auto"/>
      </w:divBdr>
      <w:divsChild>
        <w:div w:id="2134012709">
          <w:marLeft w:val="0"/>
          <w:marRight w:val="0"/>
          <w:marTop w:val="0"/>
          <w:marBottom w:val="0"/>
          <w:divBdr>
            <w:top w:val="none" w:sz="0" w:space="0" w:color="auto"/>
            <w:left w:val="none" w:sz="0" w:space="0" w:color="auto"/>
            <w:bottom w:val="none" w:sz="0" w:space="0" w:color="auto"/>
            <w:right w:val="none" w:sz="0" w:space="0" w:color="auto"/>
          </w:divBdr>
        </w:div>
      </w:divsChild>
    </w:div>
    <w:div w:id="1968192804">
      <w:bodyDiv w:val="1"/>
      <w:marLeft w:val="0"/>
      <w:marRight w:val="0"/>
      <w:marTop w:val="0"/>
      <w:marBottom w:val="0"/>
      <w:divBdr>
        <w:top w:val="none" w:sz="0" w:space="0" w:color="auto"/>
        <w:left w:val="none" w:sz="0" w:space="0" w:color="auto"/>
        <w:bottom w:val="none" w:sz="0" w:space="0" w:color="auto"/>
        <w:right w:val="none" w:sz="0" w:space="0" w:color="auto"/>
      </w:divBdr>
      <w:divsChild>
        <w:div w:id="82189086">
          <w:marLeft w:val="0"/>
          <w:marRight w:val="0"/>
          <w:marTop w:val="0"/>
          <w:marBottom w:val="0"/>
          <w:divBdr>
            <w:top w:val="none" w:sz="0" w:space="0" w:color="auto"/>
            <w:left w:val="none" w:sz="0" w:space="0" w:color="auto"/>
            <w:bottom w:val="none" w:sz="0" w:space="0" w:color="auto"/>
            <w:right w:val="none" w:sz="0" w:space="0" w:color="auto"/>
          </w:divBdr>
        </w:div>
        <w:div w:id="127672414">
          <w:marLeft w:val="0"/>
          <w:marRight w:val="0"/>
          <w:marTop w:val="0"/>
          <w:marBottom w:val="0"/>
          <w:divBdr>
            <w:top w:val="none" w:sz="0" w:space="0" w:color="auto"/>
            <w:left w:val="none" w:sz="0" w:space="0" w:color="auto"/>
            <w:bottom w:val="none" w:sz="0" w:space="0" w:color="auto"/>
            <w:right w:val="none" w:sz="0" w:space="0" w:color="auto"/>
          </w:divBdr>
        </w:div>
        <w:div w:id="528183521">
          <w:marLeft w:val="0"/>
          <w:marRight w:val="0"/>
          <w:marTop w:val="0"/>
          <w:marBottom w:val="0"/>
          <w:divBdr>
            <w:top w:val="none" w:sz="0" w:space="0" w:color="auto"/>
            <w:left w:val="none" w:sz="0" w:space="0" w:color="auto"/>
            <w:bottom w:val="none" w:sz="0" w:space="0" w:color="auto"/>
            <w:right w:val="none" w:sz="0" w:space="0" w:color="auto"/>
          </w:divBdr>
        </w:div>
        <w:div w:id="591860543">
          <w:marLeft w:val="0"/>
          <w:marRight w:val="0"/>
          <w:marTop w:val="0"/>
          <w:marBottom w:val="0"/>
          <w:divBdr>
            <w:top w:val="none" w:sz="0" w:space="0" w:color="auto"/>
            <w:left w:val="none" w:sz="0" w:space="0" w:color="auto"/>
            <w:bottom w:val="none" w:sz="0" w:space="0" w:color="auto"/>
            <w:right w:val="none" w:sz="0" w:space="0" w:color="auto"/>
          </w:divBdr>
        </w:div>
        <w:div w:id="954558952">
          <w:marLeft w:val="0"/>
          <w:marRight w:val="0"/>
          <w:marTop w:val="0"/>
          <w:marBottom w:val="0"/>
          <w:divBdr>
            <w:top w:val="none" w:sz="0" w:space="0" w:color="auto"/>
            <w:left w:val="none" w:sz="0" w:space="0" w:color="auto"/>
            <w:bottom w:val="none" w:sz="0" w:space="0" w:color="auto"/>
            <w:right w:val="none" w:sz="0" w:space="0" w:color="auto"/>
          </w:divBdr>
        </w:div>
        <w:div w:id="1131285357">
          <w:marLeft w:val="0"/>
          <w:marRight w:val="0"/>
          <w:marTop w:val="0"/>
          <w:marBottom w:val="0"/>
          <w:divBdr>
            <w:top w:val="none" w:sz="0" w:space="0" w:color="auto"/>
            <w:left w:val="none" w:sz="0" w:space="0" w:color="auto"/>
            <w:bottom w:val="none" w:sz="0" w:space="0" w:color="auto"/>
            <w:right w:val="none" w:sz="0" w:space="0" w:color="auto"/>
          </w:divBdr>
        </w:div>
        <w:div w:id="1146240669">
          <w:marLeft w:val="0"/>
          <w:marRight w:val="0"/>
          <w:marTop w:val="0"/>
          <w:marBottom w:val="0"/>
          <w:divBdr>
            <w:top w:val="none" w:sz="0" w:space="0" w:color="auto"/>
            <w:left w:val="none" w:sz="0" w:space="0" w:color="auto"/>
            <w:bottom w:val="none" w:sz="0" w:space="0" w:color="auto"/>
            <w:right w:val="none" w:sz="0" w:space="0" w:color="auto"/>
          </w:divBdr>
        </w:div>
        <w:div w:id="1419517294">
          <w:marLeft w:val="0"/>
          <w:marRight w:val="0"/>
          <w:marTop w:val="0"/>
          <w:marBottom w:val="0"/>
          <w:divBdr>
            <w:top w:val="none" w:sz="0" w:space="0" w:color="auto"/>
            <w:left w:val="none" w:sz="0" w:space="0" w:color="auto"/>
            <w:bottom w:val="none" w:sz="0" w:space="0" w:color="auto"/>
            <w:right w:val="none" w:sz="0" w:space="0" w:color="auto"/>
          </w:divBdr>
        </w:div>
        <w:div w:id="1506434654">
          <w:marLeft w:val="0"/>
          <w:marRight w:val="0"/>
          <w:marTop w:val="0"/>
          <w:marBottom w:val="0"/>
          <w:divBdr>
            <w:top w:val="none" w:sz="0" w:space="0" w:color="auto"/>
            <w:left w:val="none" w:sz="0" w:space="0" w:color="auto"/>
            <w:bottom w:val="none" w:sz="0" w:space="0" w:color="auto"/>
            <w:right w:val="none" w:sz="0" w:space="0" w:color="auto"/>
          </w:divBdr>
        </w:div>
        <w:div w:id="1566717797">
          <w:marLeft w:val="0"/>
          <w:marRight w:val="0"/>
          <w:marTop w:val="0"/>
          <w:marBottom w:val="0"/>
          <w:divBdr>
            <w:top w:val="none" w:sz="0" w:space="0" w:color="auto"/>
            <w:left w:val="none" w:sz="0" w:space="0" w:color="auto"/>
            <w:bottom w:val="none" w:sz="0" w:space="0" w:color="auto"/>
            <w:right w:val="none" w:sz="0" w:space="0" w:color="auto"/>
          </w:divBdr>
        </w:div>
        <w:div w:id="1642424593">
          <w:marLeft w:val="0"/>
          <w:marRight w:val="0"/>
          <w:marTop w:val="0"/>
          <w:marBottom w:val="0"/>
          <w:divBdr>
            <w:top w:val="none" w:sz="0" w:space="0" w:color="auto"/>
            <w:left w:val="none" w:sz="0" w:space="0" w:color="auto"/>
            <w:bottom w:val="none" w:sz="0" w:space="0" w:color="auto"/>
            <w:right w:val="none" w:sz="0" w:space="0" w:color="auto"/>
          </w:divBdr>
        </w:div>
        <w:div w:id="1786998057">
          <w:marLeft w:val="0"/>
          <w:marRight w:val="0"/>
          <w:marTop w:val="0"/>
          <w:marBottom w:val="0"/>
          <w:divBdr>
            <w:top w:val="none" w:sz="0" w:space="0" w:color="auto"/>
            <w:left w:val="none" w:sz="0" w:space="0" w:color="auto"/>
            <w:bottom w:val="none" w:sz="0" w:space="0" w:color="auto"/>
            <w:right w:val="none" w:sz="0" w:space="0" w:color="auto"/>
          </w:divBdr>
        </w:div>
        <w:div w:id="1816027028">
          <w:marLeft w:val="0"/>
          <w:marRight w:val="0"/>
          <w:marTop w:val="0"/>
          <w:marBottom w:val="0"/>
          <w:divBdr>
            <w:top w:val="none" w:sz="0" w:space="0" w:color="auto"/>
            <w:left w:val="none" w:sz="0" w:space="0" w:color="auto"/>
            <w:bottom w:val="none" w:sz="0" w:space="0" w:color="auto"/>
            <w:right w:val="none" w:sz="0" w:space="0" w:color="auto"/>
          </w:divBdr>
        </w:div>
        <w:div w:id="1874033219">
          <w:marLeft w:val="0"/>
          <w:marRight w:val="0"/>
          <w:marTop w:val="0"/>
          <w:marBottom w:val="0"/>
          <w:divBdr>
            <w:top w:val="none" w:sz="0" w:space="0" w:color="auto"/>
            <w:left w:val="none" w:sz="0" w:space="0" w:color="auto"/>
            <w:bottom w:val="none" w:sz="0" w:space="0" w:color="auto"/>
            <w:right w:val="none" w:sz="0" w:space="0" w:color="auto"/>
          </w:divBdr>
        </w:div>
      </w:divsChild>
    </w:div>
    <w:div w:id="1972325526">
      <w:bodyDiv w:val="1"/>
      <w:marLeft w:val="0"/>
      <w:marRight w:val="0"/>
      <w:marTop w:val="0"/>
      <w:marBottom w:val="0"/>
      <w:divBdr>
        <w:top w:val="none" w:sz="0" w:space="0" w:color="auto"/>
        <w:left w:val="none" w:sz="0" w:space="0" w:color="auto"/>
        <w:bottom w:val="none" w:sz="0" w:space="0" w:color="auto"/>
        <w:right w:val="none" w:sz="0" w:space="0" w:color="auto"/>
      </w:divBdr>
      <w:divsChild>
        <w:div w:id="554198536">
          <w:marLeft w:val="547"/>
          <w:marRight w:val="0"/>
          <w:marTop w:val="0"/>
          <w:marBottom w:val="0"/>
          <w:divBdr>
            <w:top w:val="none" w:sz="0" w:space="0" w:color="auto"/>
            <w:left w:val="none" w:sz="0" w:space="0" w:color="auto"/>
            <w:bottom w:val="none" w:sz="0" w:space="0" w:color="auto"/>
            <w:right w:val="none" w:sz="0" w:space="0" w:color="auto"/>
          </w:divBdr>
        </w:div>
        <w:div w:id="1157725573">
          <w:marLeft w:val="547"/>
          <w:marRight w:val="0"/>
          <w:marTop w:val="0"/>
          <w:marBottom w:val="0"/>
          <w:divBdr>
            <w:top w:val="none" w:sz="0" w:space="0" w:color="auto"/>
            <w:left w:val="none" w:sz="0" w:space="0" w:color="auto"/>
            <w:bottom w:val="none" w:sz="0" w:space="0" w:color="auto"/>
            <w:right w:val="none" w:sz="0" w:space="0" w:color="auto"/>
          </w:divBdr>
        </w:div>
        <w:div w:id="1809200053">
          <w:marLeft w:val="547"/>
          <w:marRight w:val="0"/>
          <w:marTop w:val="0"/>
          <w:marBottom w:val="0"/>
          <w:divBdr>
            <w:top w:val="none" w:sz="0" w:space="0" w:color="auto"/>
            <w:left w:val="none" w:sz="0" w:space="0" w:color="auto"/>
            <w:bottom w:val="none" w:sz="0" w:space="0" w:color="auto"/>
            <w:right w:val="none" w:sz="0" w:space="0" w:color="auto"/>
          </w:divBdr>
        </w:div>
      </w:divsChild>
    </w:div>
    <w:div w:id="1981038135">
      <w:bodyDiv w:val="1"/>
      <w:marLeft w:val="0"/>
      <w:marRight w:val="0"/>
      <w:marTop w:val="0"/>
      <w:marBottom w:val="0"/>
      <w:divBdr>
        <w:top w:val="none" w:sz="0" w:space="0" w:color="auto"/>
        <w:left w:val="none" w:sz="0" w:space="0" w:color="auto"/>
        <w:bottom w:val="none" w:sz="0" w:space="0" w:color="auto"/>
        <w:right w:val="none" w:sz="0" w:space="0" w:color="auto"/>
      </w:divBdr>
    </w:div>
    <w:div w:id="1986887495">
      <w:bodyDiv w:val="1"/>
      <w:marLeft w:val="0"/>
      <w:marRight w:val="0"/>
      <w:marTop w:val="0"/>
      <w:marBottom w:val="0"/>
      <w:divBdr>
        <w:top w:val="none" w:sz="0" w:space="0" w:color="auto"/>
        <w:left w:val="none" w:sz="0" w:space="0" w:color="auto"/>
        <w:bottom w:val="none" w:sz="0" w:space="0" w:color="auto"/>
        <w:right w:val="none" w:sz="0" w:space="0" w:color="auto"/>
      </w:divBdr>
      <w:divsChild>
        <w:div w:id="1858229737">
          <w:marLeft w:val="0"/>
          <w:marRight w:val="0"/>
          <w:marTop w:val="0"/>
          <w:marBottom w:val="0"/>
          <w:divBdr>
            <w:top w:val="none" w:sz="0" w:space="0" w:color="auto"/>
            <w:left w:val="none" w:sz="0" w:space="0" w:color="auto"/>
            <w:bottom w:val="none" w:sz="0" w:space="0" w:color="auto"/>
            <w:right w:val="none" w:sz="0" w:space="0" w:color="auto"/>
          </w:divBdr>
          <w:divsChild>
            <w:div w:id="56444309">
              <w:marLeft w:val="0"/>
              <w:marRight w:val="0"/>
              <w:marTop w:val="0"/>
              <w:marBottom w:val="0"/>
              <w:divBdr>
                <w:top w:val="none" w:sz="0" w:space="0" w:color="auto"/>
                <w:left w:val="none" w:sz="0" w:space="0" w:color="auto"/>
                <w:bottom w:val="none" w:sz="0" w:space="0" w:color="auto"/>
                <w:right w:val="none" w:sz="0" w:space="0" w:color="auto"/>
              </w:divBdr>
              <w:divsChild>
                <w:div w:id="538274723">
                  <w:marLeft w:val="0"/>
                  <w:marRight w:val="0"/>
                  <w:marTop w:val="0"/>
                  <w:marBottom w:val="0"/>
                  <w:divBdr>
                    <w:top w:val="none" w:sz="0" w:space="0" w:color="auto"/>
                    <w:left w:val="none" w:sz="0" w:space="0" w:color="auto"/>
                    <w:bottom w:val="none" w:sz="0" w:space="0" w:color="auto"/>
                    <w:right w:val="none" w:sz="0" w:space="0" w:color="auto"/>
                  </w:divBdr>
                </w:div>
                <w:div w:id="1506244951">
                  <w:marLeft w:val="0"/>
                  <w:marRight w:val="0"/>
                  <w:marTop w:val="0"/>
                  <w:marBottom w:val="0"/>
                  <w:divBdr>
                    <w:top w:val="none" w:sz="0" w:space="0" w:color="auto"/>
                    <w:left w:val="none" w:sz="0" w:space="0" w:color="auto"/>
                    <w:bottom w:val="none" w:sz="0" w:space="0" w:color="auto"/>
                    <w:right w:val="none" w:sz="0" w:space="0" w:color="auto"/>
                  </w:divBdr>
                </w:div>
              </w:divsChild>
            </w:div>
            <w:div w:id="505096848">
              <w:marLeft w:val="0"/>
              <w:marRight w:val="0"/>
              <w:marTop w:val="0"/>
              <w:marBottom w:val="0"/>
              <w:divBdr>
                <w:top w:val="none" w:sz="0" w:space="0" w:color="auto"/>
                <w:left w:val="none" w:sz="0" w:space="0" w:color="auto"/>
                <w:bottom w:val="none" w:sz="0" w:space="0" w:color="auto"/>
                <w:right w:val="none" w:sz="0" w:space="0" w:color="auto"/>
              </w:divBdr>
              <w:divsChild>
                <w:div w:id="838932537">
                  <w:marLeft w:val="0"/>
                  <w:marRight w:val="0"/>
                  <w:marTop w:val="0"/>
                  <w:marBottom w:val="0"/>
                  <w:divBdr>
                    <w:top w:val="none" w:sz="0" w:space="0" w:color="auto"/>
                    <w:left w:val="none" w:sz="0" w:space="0" w:color="auto"/>
                    <w:bottom w:val="none" w:sz="0" w:space="0" w:color="auto"/>
                    <w:right w:val="none" w:sz="0" w:space="0" w:color="auto"/>
                  </w:divBdr>
                </w:div>
                <w:div w:id="1450508341">
                  <w:marLeft w:val="0"/>
                  <w:marRight w:val="0"/>
                  <w:marTop w:val="0"/>
                  <w:marBottom w:val="0"/>
                  <w:divBdr>
                    <w:top w:val="none" w:sz="0" w:space="0" w:color="auto"/>
                    <w:left w:val="none" w:sz="0" w:space="0" w:color="auto"/>
                    <w:bottom w:val="none" w:sz="0" w:space="0" w:color="auto"/>
                    <w:right w:val="none" w:sz="0" w:space="0" w:color="auto"/>
                  </w:divBdr>
                </w:div>
                <w:div w:id="1484545261">
                  <w:marLeft w:val="0"/>
                  <w:marRight w:val="0"/>
                  <w:marTop w:val="0"/>
                  <w:marBottom w:val="0"/>
                  <w:divBdr>
                    <w:top w:val="none" w:sz="0" w:space="0" w:color="auto"/>
                    <w:left w:val="none" w:sz="0" w:space="0" w:color="auto"/>
                    <w:bottom w:val="none" w:sz="0" w:space="0" w:color="auto"/>
                    <w:right w:val="none" w:sz="0" w:space="0" w:color="auto"/>
                  </w:divBdr>
                </w:div>
                <w:div w:id="2028285560">
                  <w:marLeft w:val="0"/>
                  <w:marRight w:val="0"/>
                  <w:marTop w:val="0"/>
                  <w:marBottom w:val="0"/>
                  <w:divBdr>
                    <w:top w:val="none" w:sz="0" w:space="0" w:color="auto"/>
                    <w:left w:val="none" w:sz="0" w:space="0" w:color="auto"/>
                    <w:bottom w:val="none" w:sz="0" w:space="0" w:color="auto"/>
                    <w:right w:val="none" w:sz="0" w:space="0" w:color="auto"/>
                  </w:divBdr>
                </w:div>
              </w:divsChild>
            </w:div>
            <w:div w:id="667366694">
              <w:marLeft w:val="0"/>
              <w:marRight w:val="0"/>
              <w:marTop w:val="0"/>
              <w:marBottom w:val="0"/>
              <w:divBdr>
                <w:top w:val="none" w:sz="0" w:space="0" w:color="auto"/>
                <w:left w:val="none" w:sz="0" w:space="0" w:color="auto"/>
                <w:bottom w:val="none" w:sz="0" w:space="0" w:color="auto"/>
                <w:right w:val="none" w:sz="0" w:space="0" w:color="auto"/>
              </w:divBdr>
              <w:divsChild>
                <w:div w:id="279455212">
                  <w:marLeft w:val="0"/>
                  <w:marRight w:val="0"/>
                  <w:marTop w:val="0"/>
                  <w:marBottom w:val="0"/>
                  <w:divBdr>
                    <w:top w:val="none" w:sz="0" w:space="0" w:color="auto"/>
                    <w:left w:val="none" w:sz="0" w:space="0" w:color="auto"/>
                    <w:bottom w:val="none" w:sz="0" w:space="0" w:color="auto"/>
                    <w:right w:val="none" w:sz="0" w:space="0" w:color="auto"/>
                  </w:divBdr>
                </w:div>
                <w:div w:id="1739017045">
                  <w:marLeft w:val="0"/>
                  <w:marRight w:val="0"/>
                  <w:marTop w:val="0"/>
                  <w:marBottom w:val="0"/>
                  <w:divBdr>
                    <w:top w:val="none" w:sz="0" w:space="0" w:color="auto"/>
                    <w:left w:val="none" w:sz="0" w:space="0" w:color="auto"/>
                    <w:bottom w:val="none" w:sz="0" w:space="0" w:color="auto"/>
                    <w:right w:val="none" w:sz="0" w:space="0" w:color="auto"/>
                  </w:divBdr>
                </w:div>
              </w:divsChild>
            </w:div>
            <w:div w:id="1134517196">
              <w:marLeft w:val="0"/>
              <w:marRight w:val="0"/>
              <w:marTop w:val="0"/>
              <w:marBottom w:val="0"/>
              <w:divBdr>
                <w:top w:val="none" w:sz="0" w:space="0" w:color="auto"/>
                <w:left w:val="none" w:sz="0" w:space="0" w:color="auto"/>
                <w:bottom w:val="none" w:sz="0" w:space="0" w:color="auto"/>
                <w:right w:val="none" w:sz="0" w:space="0" w:color="auto"/>
              </w:divBdr>
              <w:divsChild>
                <w:div w:id="1257057905">
                  <w:marLeft w:val="0"/>
                  <w:marRight w:val="0"/>
                  <w:marTop w:val="0"/>
                  <w:marBottom w:val="0"/>
                  <w:divBdr>
                    <w:top w:val="none" w:sz="0" w:space="0" w:color="auto"/>
                    <w:left w:val="none" w:sz="0" w:space="0" w:color="auto"/>
                    <w:bottom w:val="none" w:sz="0" w:space="0" w:color="auto"/>
                    <w:right w:val="none" w:sz="0" w:space="0" w:color="auto"/>
                  </w:divBdr>
                </w:div>
                <w:div w:id="1258825732">
                  <w:marLeft w:val="0"/>
                  <w:marRight w:val="0"/>
                  <w:marTop w:val="0"/>
                  <w:marBottom w:val="0"/>
                  <w:divBdr>
                    <w:top w:val="none" w:sz="0" w:space="0" w:color="auto"/>
                    <w:left w:val="none" w:sz="0" w:space="0" w:color="auto"/>
                    <w:bottom w:val="none" w:sz="0" w:space="0" w:color="auto"/>
                    <w:right w:val="none" w:sz="0" w:space="0" w:color="auto"/>
                  </w:divBdr>
                </w:div>
              </w:divsChild>
            </w:div>
            <w:div w:id="1411728364">
              <w:marLeft w:val="0"/>
              <w:marRight w:val="0"/>
              <w:marTop w:val="0"/>
              <w:marBottom w:val="0"/>
              <w:divBdr>
                <w:top w:val="none" w:sz="0" w:space="0" w:color="auto"/>
                <w:left w:val="none" w:sz="0" w:space="0" w:color="auto"/>
                <w:bottom w:val="none" w:sz="0" w:space="0" w:color="auto"/>
                <w:right w:val="none" w:sz="0" w:space="0" w:color="auto"/>
              </w:divBdr>
              <w:divsChild>
                <w:div w:id="296225595">
                  <w:marLeft w:val="0"/>
                  <w:marRight w:val="0"/>
                  <w:marTop w:val="0"/>
                  <w:marBottom w:val="0"/>
                  <w:divBdr>
                    <w:top w:val="none" w:sz="0" w:space="0" w:color="auto"/>
                    <w:left w:val="none" w:sz="0" w:space="0" w:color="auto"/>
                    <w:bottom w:val="none" w:sz="0" w:space="0" w:color="auto"/>
                    <w:right w:val="none" w:sz="0" w:space="0" w:color="auto"/>
                  </w:divBdr>
                </w:div>
                <w:div w:id="1886484751">
                  <w:marLeft w:val="0"/>
                  <w:marRight w:val="0"/>
                  <w:marTop w:val="0"/>
                  <w:marBottom w:val="0"/>
                  <w:divBdr>
                    <w:top w:val="none" w:sz="0" w:space="0" w:color="auto"/>
                    <w:left w:val="none" w:sz="0" w:space="0" w:color="auto"/>
                    <w:bottom w:val="none" w:sz="0" w:space="0" w:color="auto"/>
                    <w:right w:val="none" w:sz="0" w:space="0" w:color="auto"/>
                  </w:divBdr>
                </w:div>
              </w:divsChild>
            </w:div>
            <w:div w:id="1533878495">
              <w:marLeft w:val="0"/>
              <w:marRight w:val="0"/>
              <w:marTop w:val="0"/>
              <w:marBottom w:val="0"/>
              <w:divBdr>
                <w:top w:val="none" w:sz="0" w:space="0" w:color="auto"/>
                <w:left w:val="none" w:sz="0" w:space="0" w:color="auto"/>
                <w:bottom w:val="none" w:sz="0" w:space="0" w:color="auto"/>
                <w:right w:val="none" w:sz="0" w:space="0" w:color="auto"/>
              </w:divBdr>
              <w:divsChild>
                <w:div w:id="1106922303">
                  <w:marLeft w:val="0"/>
                  <w:marRight w:val="0"/>
                  <w:marTop w:val="0"/>
                  <w:marBottom w:val="0"/>
                  <w:divBdr>
                    <w:top w:val="none" w:sz="0" w:space="0" w:color="auto"/>
                    <w:left w:val="none" w:sz="0" w:space="0" w:color="auto"/>
                    <w:bottom w:val="none" w:sz="0" w:space="0" w:color="auto"/>
                    <w:right w:val="none" w:sz="0" w:space="0" w:color="auto"/>
                  </w:divBdr>
                </w:div>
                <w:div w:id="159377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691596">
          <w:marLeft w:val="0"/>
          <w:marRight w:val="0"/>
          <w:marTop w:val="0"/>
          <w:marBottom w:val="0"/>
          <w:divBdr>
            <w:top w:val="none" w:sz="0" w:space="0" w:color="auto"/>
            <w:left w:val="none" w:sz="0" w:space="0" w:color="auto"/>
            <w:bottom w:val="none" w:sz="0" w:space="0" w:color="auto"/>
            <w:right w:val="none" w:sz="0" w:space="0" w:color="auto"/>
          </w:divBdr>
          <w:divsChild>
            <w:div w:id="1930502413">
              <w:marLeft w:val="0"/>
              <w:marRight w:val="0"/>
              <w:marTop w:val="0"/>
              <w:marBottom w:val="0"/>
              <w:divBdr>
                <w:top w:val="none" w:sz="0" w:space="0" w:color="auto"/>
                <w:left w:val="none" w:sz="0" w:space="0" w:color="auto"/>
                <w:bottom w:val="none" w:sz="0" w:space="0" w:color="auto"/>
                <w:right w:val="none" w:sz="0" w:space="0" w:color="auto"/>
              </w:divBdr>
              <w:divsChild>
                <w:div w:id="104840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4798948">
      <w:bodyDiv w:val="1"/>
      <w:marLeft w:val="0"/>
      <w:marRight w:val="0"/>
      <w:marTop w:val="0"/>
      <w:marBottom w:val="0"/>
      <w:divBdr>
        <w:top w:val="none" w:sz="0" w:space="0" w:color="auto"/>
        <w:left w:val="none" w:sz="0" w:space="0" w:color="auto"/>
        <w:bottom w:val="none" w:sz="0" w:space="0" w:color="auto"/>
        <w:right w:val="none" w:sz="0" w:space="0" w:color="auto"/>
      </w:divBdr>
      <w:divsChild>
        <w:div w:id="154152991">
          <w:marLeft w:val="0"/>
          <w:marRight w:val="0"/>
          <w:marTop w:val="0"/>
          <w:marBottom w:val="0"/>
          <w:divBdr>
            <w:top w:val="none" w:sz="0" w:space="0" w:color="auto"/>
            <w:left w:val="none" w:sz="0" w:space="0" w:color="auto"/>
            <w:bottom w:val="none" w:sz="0" w:space="0" w:color="auto"/>
            <w:right w:val="none" w:sz="0" w:space="0" w:color="auto"/>
          </w:divBdr>
        </w:div>
        <w:div w:id="158692898">
          <w:marLeft w:val="0"/>
          <w:marRight w:val="0"/>
          <w:marTop w:val="0"/>
          <w:marBottom w:val="0"/>
          <w:divBdr>
            <w:top w:val="none" w:sz="0" w:space="0" w:color="auto"/>
            <w:left w:val="none" w:sz="0" w:space="0" w:color="auto"/>
            <w:bottom w:val="none" w:sz="0" w:space="0" w:color="auto"/>
            <w:right w:val="none" w:sz="0" w:space="0" w:color="auto"/>
          </w:divBdr>
        </w:div>
        <w:div w:id="244146664">
          <w:marLeft w:val="0"/>
          <w:marRight w:val="0"/>
          <w:marTop w:val="0"/>
          <w:marBottom w:val="0"/>
          <w:divBdr>
            <w:top w:val="none" w:sz="0" w:space="0" w:color="auto"/>
            <w:left w:val="none" w:sz="0" w:space="0" w:color="auto"/>
            <w:bottom w:val="none" w:sz="0" w:space="0" w:color="auto"/>
            <w:right w:val="none" w:sz="0" w:space="0" w:color="auto"/>
          </w:divBdr>
        </w:div>
        <w:div w:id="274027106">
          <w:marLeft w:val="0"/>
          <w:marRight w:val="0"/>
          <w:marTop w:val="0"/>
          <w:marBottom w:val="0"/>
          <w:divBdr>
            <w:top w:val="none" w:sz="0" w:space="0" w:color="auto"/>
            <w:left w:val="none" w:sz="0" w:space="0" w:color="auto"/>
            <w:bottom w:val="none" w:sz="0" w:space="0" w:color="auto"/>
            <w:right w:val="none" w:sz="0" w:space="0" w:color="auto"/>
          </w:divBdr>
        </w:div>
        <w:div w:id="360133639">
          <w:marLeft w:val="0"/>
          <w:marRight w:val="0"/>
          <w:marTop w:val="0"/>
          <w:marBottom w:val="0"/>
          <w:divBdr>
            <w:top w:val="none" w:sz="0" w:space="0" w:color="auto"/>
            <w:left w:val="none" w:sz="0" w:space="0" w:color="auto"/>
            <w:bottom w:val="none" w:sz="0" w:space="0" w:color="auto"/>
            <w:right w:val="none" w:sz="0" w:space="0" w:color="auto"/>
          </w:divBdr>
        </w:div>
        <w:div w:id="435446763">
          <w:marLeft w:val="0"/>
          <w:marRight w:val="0"/>
          <w:marTop w:val="0"/>
          <w:marBottom w:val="0"/>
          <w:divBdr>
            <w:top w:val="none" w:sz="0" w:space="0" w:color="auto"/>
            <w:left w:val="none" w:sz="0" w:space="0" w:color="auto"/>
            <w:bottom w:val="none" w:sz="0" w:space="0" w:color="auto"/>
            <w:right w:val="none" w:sz="0" w:space="0" w:color="auto"/>
          </w:divBdr>
        </w:div>
        <w:div w:id="476841340">
          <w:marLeft w:val="0"/>
          <w:marRight w:val="0"/>
          <w:marTop w:val="0"/>
          <w:marBottom w:val="0"/>
          <w:divBdr>
            <w:top w:val="none" w:sz="0" w:space="0" w:color="auto"/>
            <w:left w:val="none" w:sz="0" w:space="0" w:color="auto"/>
            <w:bottom w:val="none" w:sz="0" w:space="0" w:color="auto"/>
            <w:right w:val="none" w:sz="0" w:space="0" w:color="auto"/>
          </w:divBdr>
        </w:div>
        <w:div w:id="482281354">
          <w:marLeft w:val="0"/>
          <w:marRight w:val="0"/>
          <w:marTop w:val="0"/>
          <w:marBottom w:val="0"/>
          <w:divBdr>
            <w:top w:val="none" w:sz="0" w:space="0" w:color="auto"/>
            <w:left w:val="none" w:sz="0" w:space="0" w:color="auto"/>
            <w:bottom w:val="none" w:sz="0" w:space="0" w:color="auto"/>
            <w:right w:val="none" w:sz="0" w:space="0" w:color="auto"/>
          </w:divBdr>
        </w:div>
        <w:div w:id="491989431">
          <w:marLeft w:val="0"/>
          <w:marRight w:val="0"/>
          <w:marTop w:val="0"/>
          <w:marBottom w:val="0"/>
          <w:divBdr>
            <w:top w:val="none" w:sz="0" w:space="0" w:color="auto"/>
            <w:left w:val="none" w:sz="0" w:space="0" w:color="auto"/>
            <w:bottom w:val="none" w:sz="0" w:space="0" w:color="auto"/>
            <w:right w:val="none" w:sz="0" w:space="0" w:color="auto"/>
          </w:divBdr>
        </w:div>
        <w:div w:id="574517064">
          <w:marLeft w:val="0"/>
          <w:marRight w:val="0"/>
          <w:marTop w:val="0"/>
          <w:marBottom w:val="0"/>
          <w:divBdr>
            <w:top w:val="none" w:sz="0" w:space="0" w:color="auto"/>
            <w:left w:val="none" w:sz="0" w:space="0" w:color="auto"/>
            <w:bottom w:val="none" w:sz="0" w:space="0" w:color="auto"/>
            <w:right w:val="none" w:sz="0" w:space="0" w:color="auto"/>
          </w:divBdr>
        </w:div>
        <w:div w:id="700321673">
          <w:marLeft w:val="0"/>
          <w:marRight w:val="0"/>
          <w:marTop w:val="0"/>
          <w:marBottom w:val="0"/>
          <w:divBdr>
            <w:top w:val="none" w:sz="0" w:space="0" w:color="auto"/>
            <w:left w:val="none" w:sz="0" w:space="0" w:color="auto"/>
            <w:bottom w:val="none" w:sz="0" w:space="0" w:color="auto"/>
            <w:right w:val="none" w:sz="0" w:space="0" w:color="auto"/>
          </w:divBdr>
        </w:div>
        <w:div w:id="718162781">
          <w:marLeft w:val="0"/>
          <w:marRight w:val="0"/>
          <w:marTop w:val="0"/>
          <w:marBottom w:val="0"/>
          <w:divBdr>
            <w:top w:val="none" w:sz="0" w:space="0" w:color="auto"/>
            <w:left w:val="none" w:sz="0" w:space="0" w:color="auto"/>
            <w:bottom w:val="none" w:sz="0" w:space="0" w:color="auto"/>
            <w:right w:val="none" w:sz="0" w:space="0" w:color="auto"/>
          </w:divBdr>
        </w:div>
        <w:div w:id="805970162">
          <w:marLeft w:val="0"/>
          <w:marRight w:val="0"/>
          <w:marTop w:val="0"/>
          <w:marBottom w:val="0"/>
          <w:divBdr>
            <w:top w:val="none" w:sz="0" w:space="0" w:color="auto"/>
            <w:left w:val="none" w:sz="0" w:space="0" w:color="auto"/>
            <w:bottom w:val="none" w:sz="0" w:space="0" w:color="auto"/>
            <w:right w:val="none" w:sz="0" w:space="0" w:color="auto"/>
          </w:divBdr>
        </w:div>
        <w:div w:id="817653299">
          <w:marLeft w:val="0"/>
          <w:marRight w:val="0"/>
          <w:marTop w:val="0"/>
          <w:marBottom w:val="0"/>
          <w:divBdr>
            <w:top w:val="none" w:sz="0" w:space="0" w:color="auto"/>
            <w:left w:val="none" w:sz="0" w:space="0" w:color="auto"/>
            <w:bottom w:val="none" w:sz="0" w:space="0" w:color="auto"/>
            <w:right w:val="none" w:sz="0" w:space="0" w:color="auto"/>
          </w:divBdr>
        </w:div>
        <w:div w:id="839008927">
          <w:marLeft w:val="0"/>
          <w:marRight w:val="0"/>
          <w:marTop w:val="0"/>
          <w:marBottom w:val="0"/>
          <w:divBdr>
            <w:top w:val="none" w:sz="0" w:space="0" w:color="auto"/>
            <w:left w:val="none" w:sz="0" w:space="0" w:color="auto"/>
            <w:bottom w:val="none" w:sz="0" w:space="0" w:color="auto"/>
            <w:right w:val="none" w:sz="0" w:space="0" w:color="auto"/>
          </w:divBdr>
        </w:div>
        <w:div w:id="1016035858">
          <w:marLeft w:val="0"/>
          <w:marRight w:val="0"/>
          <w:marTop w:val="0"/>
          <w:marBottom w:val="0"/>
          <w:divBdr>
            <w:top w:val="none" w:sz="0" w:space="0" w:color="auto"/>
            <w:left w:val="none" w:sz="0" w:space="0" w:color="auto"/>
            <w:bottom w:val="none" w:sz="0" w:space="0" w:color="auto"/>
            <w:right w:val="none" w:sz="0" w:space="0" w:color="auto"/>
          </w:divBdr>
        </w:div>
        <w:div w:id="1069688868">
          <w:marLeft w:val="0"/>
          <w:marRight w:val="0"/>
          <w:marTop w:val="0"/>
          <w:marBottom w:val="0"/>
          <w:divBdr>
            <w:top w:val="none" w:sz="0" w:space="0" w:color="auto"/>
            <w:left w:val="none" w:sz="0" w:space="0" w:color="auto"/>
            <w:bottom w:val="none" w:sz="0" w:space="0" w:color="auto"/>
            <w:right w:val="none" w:sz="0" w:space="0" w:color="auto"/>
          </w:divBdr>
        </w:div>
        <w:div w:id="1102259989">
          <w:marLeft w:val="0"/>
          <w:marRight w:val="0"/>
          <w:marTop w:val="0"/>
          <w:marBottom w:val="0"/>
          <w:divBdr>
            <w:top w:val="none" w:sz="0" w:space="0" w:color="auto"/>
            <w:left w:val="none" w:sz="0" w:space="0" w:color="auto"/>
            <w:bottom w:val="none" w:sz="0" w:space="0" w:color="auto"/>
            <w:right w:val="none" w:sz="0" w:space="0" w:color="auto"/>
          </w:divBdr>
        </w:div>
        <w:div w:id="1134713366">
          <w:marLeft w:val="0"/>
          <w:marRight w:val="0"/>
          <w:marTop w:val="0"/>
          <w:marBottom w:val="0"/>
          <w:divBdr>
            <w:top w:val="none" w:sz="0" w:space="0" w:color="auto"/>
            <w:left w:val="none" w:sz="0" w:space="0" w:color="auto"/>
            <w:bottom w:val="none" w:sz="0" w:space="0" w:color="auto"/>
            <w:right w:val="none" w:sz="0" w:space="0" w:color="auto"/>
          </w:divBdr>
        </w:div>
        <w:div w:id="1305617883">
          <w:marLeft w:val="0"/>
          <w:marRight w:val="0"/>
          <w:marTop w:val="0"/>
          <w:marBottom w:val="0"/>
          <w:divBdr>
            <w:top w:val="none" w:sz="0" w:space="0" w:color="auto"/>
            <w:left w:val="none" w:sz="0" w:space="0" w:color="auto"/>
            <w:bottom w:val="none" w:sz="0" w:space="0" w:color="auto"/>
            <w:right w:val="none" w:sz="0" w:space="0" w:color="auto"/>
          </w:divBdr>
        </w:div>
        <w:div w:id="1333217182">
          <w:marLeft w:val="0"/>
          <w:marRight w:val="0"/>
          <w:marTop w:val="0"/>
          <w:marBottom w:val="0"/>
          <w:divBdr>
            <w:top w:val="none" w:sz="0" w:space="0" w:color="auto"/>
            <w:left w:val="none" w:sz="0" w:space="0" w:color="auto"/>
            <w:bottom w:val="none" w:sz="0" w:space="0" w:color="auto"/>
            <w:right w:val="none" w:sz="0" w:space="0" w:color="auto"/>
          </w:divBdr>
        </w:div>
        <w:div w:id="1377198872">
          <w:marLeft w:val="0"/>
          <w:marRight w:val="0"/>
          <w:marTop w:val="0"/>
          <w:marBottom w:val="0"/>
          <w:divBdr>
            <w:top w:val="none" w:sz="0" w:space="0" w:color="auto"/>
            <w:left w:val="none" w:sz="0" w:space="0" w:color="auto"/>
            <w:bottom w:val="none" w:sz="0" w:space="0" w:color="auto"/>
            <w:right w:val="none" w:sz="0" w:space="0" w:color="auto"/>
          </w:divBdr>
        </w:div>
        <w:div w:id="1442719319">
          <w:marLeft w:val="0"/>
          <w:marRight w:val="0"/>
          <w:marTop w:val="0"/>
          <w:marBottom w:val="0"/>
          <w:divBdr>
            <w:top w:val="none" w:sz="0" w:space="0" w:color="auto"/>
            <w:left w:val="none" w:sz="0" w:space="0" w:color="auto"/>
            <w:bottom w:val="none" w:sz="0" w:space="0" w:color="auto"/>
            <w:right w:val="none" w:sz="0" w:space="0" w:color="auto"/>
          </w:divBdr>
        </w:div>
        <w:div w:id="1506171993">
          <w:marLeft w:val="0"/>
          <w:marRight w:val="0"/>
          <w:marTop w:val="0"/>
          <w:marBottom w:val="0"/>
          <w:divBdr>
            <w:top w:val="none" w:sz="0" w:space="0" w:color="auto"/>
            <w:left w:val="none" w:sz="0" w:space="0" w:color="auto"/>
            <w:bottom w:val="none" w:sz="0" w:space="0" w:color="auto"/>
            <w:right w:val="none" w:sz="0" w:space="0" w:color="auto"/>
          </w:divBdr>
        </w:div>
        <w:div w:id="1601639891">
          <w:marLeft w:val="0"/>
          <w:marRight w:val="0"/>
          <w:marTop w:val="0"/>
          <w:marBottom w:val="0"/>
          <w:divBdr>
            <w:top w:val="none" w:sz="0" w:space="0" w:color="auto"/>
            <w:left w:val="none" w:sz="0" w:space="0" w:color="auto"/>
            <w:bottom w:val="none" w:sz="0" w:space="0" w:color="auto"/>
            <w:right w:val="none" w:sz="0" w:space="0" w:color="auto"/>
          </w:divBdr>
        </w:div>
        <w:div w:id="1629772479">
          <w:marLeft w:val="0"/>
          <w:marRight w:val="0"/>
          <w:marTop w:val="0"/>
          <w:marBottom w:val="0"/>
          <w:divBdr>
            <w:top w:val="none" w:sz="0" w:space="0" w:color="auto"/>
            <w:left w:val="none" w:sz="0" w:space="0" w:color="auto"/>
            <w:bottom w:val="none" w:sz="0" w:space="0" w:color="auto"/>
            <w:right w:val="none" w:sz="0" w:space="0" w:color="auto"/>
          </w:divBdr>
        </w:div>
        <w:div w:id="1649552507">
          <w:marLeft w:val="0"/>
          <w:marRight w:val="0"/>
          <w:marTop w:val="0"/>
          <w:marBottom w:val="0"/>
          <w:divBdr>
            <w:top w:val="none" w:sz="0" w:space="0" w:color="auto"/>
            <w:left w:val="none" w:sz="0" w:space="0" w:color="auto"/>
            <w:bottom w:val="none" w:sz="0" w:space="0" w:color="auto"/>
            <w:right w:val="none" w:sz="0" w:space="0" w:color="auto"/>
          </w:divBdr>
        </w:div>
        <w:div w:id="1670140074">
          <w:marLeft w:val="0"/>
          <w:marRight w:val="0"/>
          <w:marTop w:val="0"/>
          <w:marBottom w:val="0"/>
          <w:divBdr>
            <w:top w:val="none" w:sz="0" w:space="0" w:color="auto"/>
            <w:left w:val="none" w:sz="0" w:space="0" w:color="auto"/>
            <w:bottom w:val="none" w:sz="0" w:space="0" w:color="auto"/>
            <w:right w:val="none" w:sz="0" w:space="0" w:color="auto"/>
          </w:divBdr>
        </w:div>
        <w:div w:id="1681737771">
          <w:marLeft w:val="0"/>
          <w:marRight w:val="0"/>
          <w:marTop w:val="0"/>
          <w:marBottom w:val="0"/>
          <w:divBdr>
            <w:top w:val="none" w:sz="0" w:space="0" w:color="auto"/>
            <w:left w:val="none" w:sz="0" w:space="0" w:color="auto"/>
            <w:bottom w:val="none" w:sz="0" w:space="0" w:color="auto"/>
            <w:right w:val="none" w:sz="0" w:space="0" w:color="auto"/>
          </w:divBdr>
        </w:div>
        <w:div w:id="1683434740">
          <w:marLeft w:val="0"/>
          <w:marRight w:val="0"/>
          <w:marTop w:val="0"/>
          <w:marBottom w:val="0"/>
          <w:divBdr>
            <w:top w:val="none" w:sz="0" w:space="0" w:color="auto"/>
            <w:left w:val="none" w:sz="0" w:space="0" w:color="auto"/>
            <w:bottom w:val="none" w:sz="0" w:space="0" w:color="auto"/>
            <w:right w:val="none" w:sz="0" w:space="0" w:color="auto"/>
          </w:divBdr>
        </w:div>
        <w:div w:id="1741173336">
          <w:marLeft w:val="0"/>
          <w:marRight w:val="0"/>
          <w:marTop w:val="0"/>
          <w:marBottom w:val="0"/>
          <w:divBdr>
            <w:top w:val="none" w:sz="0" w:space="0" w:color="auto"/>
            <w:left w:val="none" w:sz="0" w:space="0" w:color="auto"/>
            <w:bottom w:val="none" w:sz="0" w:space="0" w:color="auto"/>
            <w:right w:val="none" w:sz="0" w:space="0" w:color="auto"/>
          </w:divBdr>
        </w:div>
        <w:div w:id="1999074397">
          <w:marLeft w:val="0"/>
          <w:marRight w:val="0"/>
          <w:marTop w:val="0"/>
          <w:marBottom w:val="0"/>
          <w:divBdr>
            <w:top w:val="none" w:sz="0" w:space="0" w:color="auto"/>
            <w:left w:val="none" w:sz="0" w:space="0" w:color="auto"/>
            <w:bottom w:val="none" w:sz="0" w:space="0" w:color="auto"/>
            <w:right w:val="none" w:sz="0" w:space="0" w:color="auto"/>
          </w:divBdr>
        </w:div>
        <w:div w:id="2013871315">
          <w:marLeft w:val="0"/>
          <w:marRight w:val="0"/>
          <w:marTop w:val="0"/>
          <w:marBottom w:val="0"/>
          <w:divBdr>
            <w:top w:val="none" w:sz="0" w:space="0" w:color="auto"/>
            <w:left w:val="none" w:sz="0" w:space="0" w:color="auto"/>
            <w:bottom w:val="none" w:sz="0" w:space="0" w:color="auto"/>
            <w:right w:val="none" w:sz="0" w:space="0" w:color="auto"/>
          </w:divBdr>
        </w:div>
        <w:div w:id="2036728766">
          <w:marLeft w:val="0"/>
          <w:marRight w:val="0"/>
          <w:marTop w:val="0"/>
          <w:marBottom w:val="0"/>
          <w:divBdr>
            <w:top w:val="none" w:sz="0" w:space="0" w:color="auto"/>
            <w:left w:val="none" w:sz="0" w:space="0" w:color="auto"/>
            <w:bottom w:val="none" w:sz="0" w:space="0" w:color="auto"/>
            <w:right w:val="none" w:sz="0" w:space="0" w:color="auto"/>
          </w:divBdr>
        </w:div>
        <w:div w:id="2039429139">
          <w:marLeft w:val="0"/>
          <w:marRight w:val="0"/>
          <w:marTop w:val="0"/>
          <w:marBottom w:val="0"/>
          <w:divBdr>
            <w:top w:val="none" w:sz="0" w:space="0" w:color="auto"/>
            <w:left w:val="none" w:sz="0" w:space="0" w:color="auto"/>
            <w:bottom w:val="none" w:sz="0" w:space="0" w:color="auto"/>
            <w:right w:val="none" w:sz="0" w:space="0" w:color="auto"/>
          </w:divBdr>
        </w:div>
      </w:divsChild>
    </w:div>
    <w:div w:id="1995835742">
      <w:bodyDiv w:val="1"/>
      <w:marLeft w:val="0"/>
      <w:marRight w:val="0"/>
      <w:marTop w:val="0"/>
      <w:marBottom w:val="0"/>
      <w:divBdr>
        <w:top w:val="none" w:sz="0" w:space="0" w:color="auto"/>
        <w:left w:val="none" w:sz="0" w:space="0" w:color="auto"/>
        <w:bottom w:val="none" w:sz="0" w:space="0" w:color="auto"/>
        <w:right w:val="none" w:sz="0" w:space="0" w:color="auto"/>
      </w:divBdr>
    </w:div>
    <w:div w:id="2000647573">
      <w:bodyDiv w:val="1"/>
      <w:marLeft w:val="0"/>
      <w:marRight w:val="0"/>
      <w:marTop w:val="0"/>
      <w:marBottom w:val="0"/>
      <w:divBdr>
        <w:top w:val="none" w:sz="0" w:space="0" w:color="auto"/>
        <w:left w:val="none" w:sz="0" w:space="0" w:color="auto"/>
        <w:bottom w:val="none" w:sz="0" w:space="0" w:color="auto"/>
        <w:right w:val="none" w:sz="0" w:space="0" w:color="auto"/>
      </w:divBdr>
    </w:div>
    <w:div w:id="2000956772">
      <w:bodyDiv w:val="1"/>
      <w:marLeft w:val="0"/>
      <w:marRight w:val="0"/>
      <w:marTop w:val="0"/>
      <w:marBottom w:val="0"/>
      <w:divBdr>
        <w:top w:val="none" w:sz="0" w:space="0" w:color="auto"/>
        <w:left w:val="none" w:sz="0" w:space="0" w:color="auto"/>
        <w:bottom w:val="none" w:sz="0" w:space="0" w:color="auto"/>
        <w:right w:val="none" w:sz="0" w:space="0" w:color="auto"/>
      </w:divBdr>
      <w:divsChild>
        <w:div w:id="545525180">
          <w:marLeft w:val="547"/>
          <w:marRight w:val="0"/>
          <w:marTop w:val="0"/>
          <w:marBottom w:val="0"/>
          <w:divBdr>
            <w:top w:val="none" w:sz="0" w:space="0" w:color="auto"/>
            <w:left w:val="none" w:sz="0" w:space="0" w:color="auto"/>
            <w:bottom w:val="none" w:sz="0" w:space="0" w:color="auto"/>
            <w:right w:val="none" w:sz="0" w:space="0" w:color="auto"/>
          </w:divBdr>
        </w:div>
      </w:divsChild>
    </w:div>
    <w:div w:id="2002616000">
      <w:bodyDiv w:val="1"/>
      <w:marLeft w:val="0"/>
      <w:marRight w:val="0"/>
      <w:marTop w:val="0"/>
      <w:marBottom w:val="0"/>
      <w:divBdr>
        <w:top w:val="none" w:sz="0" w:space="0" w:color="auto"/>
        <w:left w:val="none" w:sz="0" w:space="0" w:color="auto"/>
        <w:bottom w:val="none" w:sz="0" w:space="0" w:color="auto"/>
        <w:right w:val="none" w:sz="0" w:space="0" w:color="auto"/>
      </w:divBdr>
    </w:div>
    <w:div w:id="2007125687">
      <w:bodyDiv w:val="1"/>
      <w:marLeft w:val="0"/>
      <w:marRight w:val="0"/>
      <w:marTop w:val="0"/>
      <w:marBottom w:val="0"/>
      <w:divBdr>
        <w:top w:val="none" w:sz="0" w:space="0" w:color="auto"/>
        <w:left w:val="none" w:sz="0" w:space="0" w:color="auto"/>
        <w:bottom w:val="none" w:sz="0" w:space="0" w:color="auto"/>
        <w:right w:val="none" w:sz="0" w:space="0" w:color="auto"/>
      </w:divBdr>
      <w:divsChild>
        <w:div w:id="595945402">
          <w:marLeft w:val="0"/>
          <w:marRight w:val="0"/>
          <w:marTop w:val="0"/>
          <w:marBottom w:val="0"/>
          <w:divBdr>
            <w:top w:val="none" w:sz="0" w:space="0" w:color="auto"/>
            <w:left w:val="none" w:sz="0" w:space="0" w:color="auto"/>
            <w:bottom w:val="none" w:sz="0" w:space="0" w:color="auto"/>
            <w:right w:val="none" w:sz="0" w:space="0" w:color="auto"/>
          </w:divBdr>
        </w:div>
      </w:divsChild>
    </w:div>
    <w:div w:id="2025470487">
      <w:bodyDiv w:val="1"/>
      <w:marLeft w:val="0"/>
      <w:marRight w:val="0"/>
      <w:marTop w:val="0"/>
      <w:marBottom w:val="0"/>
      <w:divBdr>
        <w:top w:val="none" w:sz="0" w:space="0" w:color="auto"/>
        <w:left w:val="none" w:sz="0" w:space="0" w:color="auto"/>
        <w:bottom w:val="none" w:sz="0" w:space="0" w:color="auto"/>
        <w:right w:val="none" w:sz="0" w:space="0" w:color="auto"/>
      </w:divBdr>
    </w:div>
    <w:div w:id="2030520829">
      <w:bodyDiv w:val="1"/>
      <w:marLeft w:val="0"/>
      <w:marRight w:val="0"/>
      <w:marTop w:val="0"/>
      <w:marBottom w:val="0"/>
      <w:divBdr>
        <w:top w:val="none" w:sz="0" w:space="0" w:color="auto"/>
        <w:left w:val="none" w:sz="0" w:space="0" w:color="auto"/>
        <w:bottom w:val="none" w:sz="0" w:space="0" w:color="auto"/>
        <w:right w:val="none" w:sz="0" w:space="0" w:color="auto"/>
      </w:divBdr>
    </w:div>
    <w:div w:id="2030570522">
      <w:bodyDiv w:val="1"/>
      <w:marLeft w:val="0"/>
      <w:marRight w:val="0"/>
      <w:marTop w:val="0"/>
      <w:marBottom w:val="0"/>
      <w:divBdr>
        <w:top w:val="none" w:sz="0" w:space="0" w:color="auto"/>
        <w:left w:val="none" w:sz="0" w:space="0" w:color="auto"/>
        <w:bottom w:val="none" w:sz="0" w:space="0" w:color="auto"/>
        <w:right w:val="none" w:sz="0" w:space="0" w:color="auto"/>
      </w:divBdr>
    </w:div>
    <w:div w:id="2034453693">
      <w:bodyDiv w:val="1"/>
      <w:marLeft w:val="0"/>
      <w:marRight w:val="0"/>
      <w:marTop w:val="0"/>
      <w:marBottom w:val="0"/>
      <w:divBdr>
        <w:top w:val="none" w:sz="0" w:space="0" w:color="auto"/>
        <w:left w:val="none" w:sz="0" w:space="0" w:color="auto"/>
        <w:bottom w:val="none" w:sz="0" w:space="0" w:color="auto"/>
        <w:right w:val="none" w:sz="0" w:space="0" w:color="auto"/>
      </w:divBdr>
    </w:div>
    <w:div w:id="2034499805">
      <w:bodyDiv w:val="1"/>
      <w:marLeft w:val="0"/>
      <w:marRight w:val="0"/>
      <w:marTop w:val="0"/>
      <w:marBottom w:val="0"/>
      <w:divBdr>
        <w:top w:val="none" w:sz="0" w:space="0" w:color="auto"/>
        <w:left w:val="none" w:sz="0" w:space="0" w:color="auto"/>
        <w:bottom w:val="none" w:sz="0" w:space="0" w:color="auto"/>
        <w:right w:val="none" w:sz="0" w:space="0" w:color="auto"/>
      </w:divBdr>
      <w:divsChild>
        <w:div w:id="511534875">
          <w:marLeft w:val="0"/>
          <w:marRight w:val="0"/>
          <w:marTop w:val="0"/>
          <w:marBottom w:val="0"/>
          <w:divBdr>
            <w:top w:val="none" w:sz="0" w:space="0" w:color="auto"/>
            <w:left w:val="none" w:sz="0" w:space="0" w:color="auto"/>
            <w:bottom w:val="none" w:sz="0" w:space="0" w:color="auto"/>
            <w:right w:val="none" w:sz="0" w:space="0" w:color="auto"/>
          </w:divBdr>
          <w:divsChild>
            <w:div w:id="95639561">
              <w:marLeft w:val="0"/>
              <w:marRight w:val="0"/>
              <w:marTop w:val="0"/>
              <w:marBottom w:val="0"/>
              <w:divBdr>
                <w:top w:val="none" w:sz="0" w:space="0" w:color="auto"/>
                <w:left w:val="none" w:sz="0" w:space="0" w:color="auto"/>
                <w:bottom w:val="none" w:sz="0" w:space="0" w:color="auto"/>
                <w:right w:val="none" w:sz="0" w:space="0" w:color="auto"/>
              </w:divBdr>
            </w:div>
            <w:div w:id="551844183">
              <w:marLeft w:val="0"/>
              <w:marRight w:val="0"/>
              <w:marTop w:val="0"/>
              <w:marBottom w:val="0"/>
              <w:divBdr>
                <w:top w:val="none" w:sz="0" w:space="0" w:color="auto"/>
                <w:left w:val="none" w:sz="0" w:space="0" w:color="auto"/>
                <w:bottom w:val="none" w:sz="0" w:space="0" w:color="auto"/>
                <w:right w:val="none" w:sz="0" w:space="0" w:color="auto"/>
              </w:divBdr>
            </w:div>
            <w:div w:id="1815945446">
              <w:marLeft w:val="0"/>
              <w:marRight w:val="0"/>
              <w:marTop w:val="0"/>
              <w:marBottom w:val="0"/>
              <w:divBdr>
                <w:top w:val="none" w:sz="0" w:space="0" w:color="auto"/>
                <w:left w:val="none" w:sz="0" w:space="0" w:color="auto"/>
                <w:bottom w:val="none" w:sz="0" w:space="0" w:color="auto"/>
                <w:right w:val="none" w:sz="0" w:space="0" w:color="auto"/>
              </w:divBdr>
            </w:div>
          </w:divsChild>
        </w:div>
        <w:div w:id="654721392">
          <w:marLeft w:val="0"/>
          <w:marRight w:val="0"/>
          <w:marTop w:val="0"/>
          <w:marBottom w:val="0"/>
          <w:divBdr>
            <w:top w:val="none" w:sz="0" w:space="0" w:color="auto"/>
            <w:left w:val="none" w:sz="0" w:space="0" w:color="auto"/>
            <w:bottom w:val="none" w:sz="0" w:space="0" w:color="auto"/>
            <w:right w:val="none" w:sz="0" w:space="0" w:color="auto"/>
          </w:divBdr>
          <w:divsChild>
            <w:div w:id="1520378">
              <w:marLeft w:val="0"/>
              <w:marRight w:val="0"/>
              <w:marTop w:val="0"/>
              <w:marBottom w:val="0"/>
              <w:divBdr>
                <w:top w:val="none" w:sz="0" w:space="0" w:color="auto"/>
                <w:left w:val="none" w:sz="0" w:space="0" w:color="auto"/>
                <w:bottom w:val="none" w:sz="0" w:space="0" w:color="auto"/>
                <w:right w:val="none" w:sz="0" w:space="0" w:color="auto"/>
              </w:divBdr>
            </w:div>
            <w:div w:id="1746417778">
              <w:marLeft w:val="0"/>
              <w:marRight w:val="0"/>
              <w:marTop w:val="0"/>
              <w:marBottom w:val="0"/>
              <w:divBdr>
                <w:top w:val="none" w:sz="0" w:space="0" w:color="auto"/>
                <w:left w:val="none" w:sz="0" w:space="0" w:color="auto"/>
                <w:bottom w:val="none" w:sz="0" w:space="0" w:color="auto"/>
                <w:right w:val="none" w:sz="0" w:space="0" w:color="auto"/>
              </w:divBdr>
            </w:div>
          </w:divsChild>
        </w:div>
        <w:div w:id="681863335">
          <w:marLeft w:val="0"/>
          <w:marRight w:val="0"/>
          <w:marTop w:val="0"/>
          <w:marBottom w:val="0"/>
          <w:divBdr>
            <w:top w:val="none" w:sz="0" w:space="0" w:color="auto"/>
            <w:left w:val="none" w:sz="0" w:space="0" w:color="auto"/>
            <w:bottom w:val="none" w:sz="0" w:space="0" w:color="auto"/>
            <w:right w:val="none" w:sz="0" w:space="0" w:color="auto"/>
          </w:divBdr>
          <w:divsChild>
            <w:div w:id="519441670">
              <w:marLeft w:val="0"/>
              <w:marRight w:val="0"/>
              <w:marTop w:val="0"/>
              <w:marBottom w:val="0"/>
              <w:divBdr>
                <w:top w:val="none" w:sz="0" w:space="0" w:color="auto"/>
                <w:left w:val="none" w:sz="0" w:space="0" w:color="auto"/>
                <w:bottom w:val="none" w:sz="0" w:space="0" w:color="auto"/>
                <w:right w:val="none" w:sz="0" w:space="0" w:color="auto"/>
              </w:divBdr>
            </w:div>
            <w:div w:id="549534314">
              <w:marLeft w:val="0"/>
              <w:marRight w:val="0"/>
              <w:marTop w:val="0"/>
              <w:marBottom w:val="0"/>
              <w:divBdr>
                <w:top w:val="none" w:sz="0" w:space="0" w:color="auto"/>
                <w:left w:val="none" w:sz="0" w:space="0" w:color="auto"/>
                <w:bottom w:val="none" w:sz="0" w:space="0" w:color="auto"/>
                <w:right w:val="none" w:sz="0" w:space="0" w:color="auto"/>
              </w:divBdr>
            </w:div>
          </w:divsChild>
        </w:div>
        <w:div w:id="1274632908">
          <w:marLeft w:val="0"/>
          <w:marRight w:val="0"/>
          <w:marTop w:val="0"/>
          <w:marBottom w:val="0"/>
          <w:divBdr>
            <w:top w:val="none" w:sz="0" w:space="0" w:color="auto"/>
            <w:left w:val="none" w:sz="0" w:space="0" w:color="auto"/>
            <w:bottom w:val="none" w:sz="0" w:space="0" w:color="auto"/>
            <w:right w:val="none" w:sz="0" w:space="0" w:color="auto"/>
          </w:divBdr>
          <w:divsChild>
            <w:div w:id="1705518873">
              <w:marLeft w:val="0"/>
              <w:marRight w:val="0"/>
              <w:marTop w:val="0"/>
              <w:marBottom w:val="0"/>
              <w:divBdr>
                <w:top w:val="none" w:sz="0" w:space="0" w:color="auto"/>
                <w:left w:val="none" w:sz="0" w:space="0" w:color="auto"/>
                <w:bottom w:val="none" w:sz="0" w:space="0" w:color="auto"/>
                <w:right w:val="none" w:sz="0" w:space="0" w:color="auto"/>
              </w:divBdr>
            </w:div>
            <w:div w:id="2042239944">
              <w:marLeft w:val="0"/>
              <w:marRight w:val="0"/>
              <w:marTop w:val="0"/>
              <w:marBottom w:val="0"/>
              <w:divBdr>
                <w:top w:val="none" w:sz="0" w:space="0" w:color="auto"/>
                <w:left w:val="none" w:sz="0" w:space="0" w:color="auto"/>
                <w:bottom w:val="none" w:sz="0" w:space="0" w:color="auto"/>
                <w:right w:val="none" w:sz="0" w:space="0" w:color="auto"/>
              </w:divBdr>
            </w:div>
          </w:divsChild>
        </w:div>
        <w:div w:id="2098943402">
          <w:marLeft w:val="0"/>
          <w:marRight w:val="0"/>
          <w:marTop w:val="0"/>
          <w:marBottom w:val="0"/>
          <w:divBdr>
            <w:top w:val="none" w:sz="0" w:space="0" w:color="auto"/>
            <w:left w:val="none" w:sz="0" w:space="0" w:color="auto"/>
            <w:bottom w:val="none" w:sz="0" w:space="0" w:color="auto"/>
            <w:right w:val="none" w:sz="0" w:space="0" w:color="auto"/>
          </w:divBdr>
          <w:divsChild>
            <w:div w:id="76099408">
              <w:marLeft w:val="0"/>
              <w:marRight w:val="0"/>
              <w:marTop w:val="0"/>
              <w:marBottom w:val="0"/>
              <w:divBdr>
                <w:top w:val="none" w:sz="0" w:space="0" w:color="auto"/>
                <w:left w:val="none" w:sz="0" w:space="0" w:color="auto"/>
                <w:bottom w:val="none" w:sz="0" w:space="0" w:color="auto"/>
                <w:right w:val="none" w:sz="0" w:space="0" w:color="auto"/>
              </w:divBdr>
            </w:div>
            <w:div w:id="46173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83">
      <w:bodyDiv w:val="1"/>
      <w:marLeft w:val="0"/>
      <w:marRight w:val="0"/>
      <w:marTop w:val="0"/>
      <w:marBottom w:val="0"/>
      <w:divBdr>
        <w:top w:val="none" w:sz="0" w:space="0" w:color="auto"/>
        <w:left w:val="none" w:sz="0" w:space="0" w:color="auto"/>
        <w:bottom w:val="none" w:sz="0" w:space="0" w:color="auto"/>
        <w:right w:val="none" w:sz="0" w:space="0" w:color="auto"/>
      </w:divBdr>
    </w:div>
    <w:div w:id="2038240013">
      <w:bodyDiv w:val="1"/>
      <w:marLeft w:val="0"/>
      <w:marRight w:val="0"/>
      <w:marTop w:val="0"/>
      <w:marBottom w:val="0"/>
      <w:divBdr>
        <w:top w:val="none" w:sz="0" w:space="0" w:color="auto"/>
        <w:left w:val="none" w:sz="0" w:space="0" w:color="auto"/>
        <w:bottom w:val="none" w:sz="0" w:space="0" w:color="auto"/>
        <w:right w:val="none" w:sz="0" w:space="0" w:color="auto"/>
      </w:divBdr>
      <w:divsChild>
        <w:div w:id="666900428">
          <w:marLeft w:val="547"/>
          <w:marRight w:val="0"/>
          <w:marTop w:val="0"/>
          <w:marBottom w:val="0"/>
          <w:divBdr>
            <w:top w:val="none" w:sz="0" w:space="0" w:color="auto"/>
            <w:left w:val="none" w:sz="0" w:space="0" w:color="auto"/>
            <w:bottom w:val="none" w:sz="0" w:space="0" w:color="auto"/>
            <w:right w:val="none" w:sz="0" w:space="0" w:color="auto"/>
          </w:divBdr>
        </w:div>
      </w:divsChild>
    </w:div>
    <w:div w:id="2042589605">
      <w:bodyDiv w:val="1"/>
      <w:marLeft w:val="0"/>
      <w:marRight w:val="0"/>
      <w:marTop w:val="0"/>
      <w:marBottom w:val="0"/>
      <w:divBdr>
        <w:top w:val="none" w:sz="0" w:space="0" w:color="auto"/>
        <w:left w:val="none" w:sz="0" w:space="0" w:color="auto"/>
        <w:bottom w:val="none" w:sz="0" w:space="0" w:color="auto"/>
        <w:right w:val="none" w:sz="0" w:space="0" w:color="auto"/>
      </w:divBdr>
    </w:div>
    <w:div w:id="2051298458">
      <w:bodyDiv w:val="1"/>
      <w:marLeft w:val="0"/>
      <w:marRight w:val="0"/>
      <w:marTop w:val="0"/>
      <w:marBottom w:val="0"/>
      <w:divBdr>
        <w:top w:val="none" w:sz="0" w:space="0" w:color="auto"/>
        <w:left w:val="none" w:sz="0" w:space="0" w:color="auto"/>
        <w:bottom w:val="none" w:sz="0" w:space="0" w:color="auto"/>
        <w:right w:val="none" w:sz="0" w:space="0" w:color="auto"/>
      </w:divBdr>
      <w:divsChild>
        <w:div w:id="2068600164">
          <w:marLeft w:val="0"/>
          <w:marRight w:val="0"/>
          <w:marTop w:val="0"/>
          <w:marBottom w:val="0"/>
          <w:divBdr>
            <w:top w:val="none" w:sz="0" w:space="0" w:color="auto"/>
            <w:left w:val="none" w:sz="0" w:space="0" w:color="auto"/>
            <w:bottom w:val="none" w:sz="0" w:space="0" w:color="auto"/>
            <w:right w:val="none" w:sz="0" w:space="0" w:color="auto"/>
          </w:divBdr>
        </w:div>
      </w:divsChild>
    </w:div>
    <w:div w:id="2053115719">
      <w:bodyDiv w:val="1"/>
      <w:marLeft w:val="0"/>
      <w:marRight w:val="0"/>
      <w:marTop w:val="0"/>
      <w:marBottom w:val="0"/>
      <w:divBdr>
        <w:top w:val="none" w:sz="0" w:space="0" w:color="auto"/>
        <w:left w:val="none" w:sz="0" w:space="0" w:color="auto"/>
        <w:bottom w:val="none" w:sz="0" w:space="0" w:color="auto"/>
        <w:right w:val="none" w:sz="0" w:space="0" w:color="auto"/>
      </w:divBdr>
      <w:divsChild>
        <w:div w:id="272708190">
          <w:marLeft w:val="0"/>
          <w:marRight w:val="0"/>
          <w:marTop w:val="0"/>
          <w:marBottom w:val="0"/>
          <w:divBdr>
            <w:top w:val="none" w:sz="0" w:space="0" w:color="auto"/>
            <w:left w:val="none" w:sz="0" w:space="0" w:color="auto"/>
            <w:bottom w:val="none" w:sz="0" w:space="0" w:color="auto"/>
            <w:right w:val="none" w:sz="0" w:space="0" w:color="auto"/>
          </w:divBdr>
        </w:div>
        <w:div w:id="1147698871">
          <w:marLeft w:val="0"/>
          <w:marRight w:val="0"/>
          <w:marTop w:val="0"/>
          <w:marBottom w:val="0"/>
          <w:divBdr>
            <w:top w:val="none" w:sz="0" w:space="0" w:color="auto"/>
            <w:left w:val="none" w:sz="0" w:space="0" w:color="auto"/>
            <w:bottom w:val="none" w:sz="0" w:space="0" w:color="auto"/>
            <w:right w:val="none" w:sz="0" w:space="0" w:color="auto"/>
          </w:divBdr>
        </w:div>
        <w:div w:id="1240404079">
          <w:marLeft w:val="0"/>
          <w:marRight w:val="0"/>
          <w:marTop w:val="0"/>
          <w:marBottom w:val="0"/>
          <w:divBdr>
            <w:top w:val="none" w:sz="0" w:space="0" w:color="auto"/>
            <w:left w:val="none" w:sz="0" w:space="0" w:color="auto"/>
            <w:bottom w:val="none" w:sz="0" w:space="0" w:color="auto"/>
            <w:right w:val="none" w:sz="0" w:space="0" w:color="auto"/>
          </w:divBdr>
        </w:div>
        <w:div w:id="1627851295">
          <w:marLeft w:val="0"/>
          <w:marRight w:val="0"/>
          <w:marTop w:val="0"/>
          <w:marBottom w:val="0"/>
          <w:divBdr>
            <w:top w:val="none" w:sz="0" w:space="0" w:color="auto"/>
            <w:left w:val="none" w:sz="0" w:space="0" w:color="auto"/>
            <w:bottom w:val="none" w:sz="0" w:space="0" w:color="auto"/>
            <w:right w:val="none" w:sz="0" w:space="0" w:color="auto"/>
          </w:divBdr>
        </w:div>
        <w:div w:id="1927380848">
          <w:marLeft w:val="0"/>
          <w:marRight w:val="0"/>
          <w:marTop w:val="0"/>
          <w:marBottom w:val="0"/>
          <w:divBdr>
            <w:top w:val="none" w:sz="0" w:space="0" w:color="auto"/>
            <w:left w:val="none" w:sz="0" w:space="0" w:color="auto"/>
            <w:bottom w:val="none" w:sz="0" w:space="0" w:color="auto"/>
            <w:right w:val="none" w:sz="0" w:space="0" w:color="auto"/>
          </w:divBdr>
        </w:div>
      </w:divsChild>
    </w:div>
    <w:div w:id="2053840467">
      <w:bodyDiv w:val="1"/>
      <w:marLeft w:val="0"/>
      <w:marRight w:val="0"/>
      <w:marTop w:val="0"/>
      <w:marBottom w:val="0"/>
      <w:divBdr>
        <w:top w:val="none" w:sz="0" w:space="0" w:color="auto"/>
        <w:left w:val="none" w:sz="0" w:space="0" w:color="auto"/>
        <w:bottom w:val="none" w:sz="0" w:space="0" w:color="auto"/>
        <w:right w:val="none" w:sz="0" w:space="0" w:color="auto"/>
      </w:divBdr>
    </w:div>
    <w:div w:id="2064477002">
      <w:bodyDiv w:val="1"/>
      <w:marLeft w:val="0"/>
      <w:marRight w:val="0"/>
      <w:marTop w:val="0"/>
      <w:marBottom w:val="0"/>
      <w:divBdr>
        <w:top w:val="none" w:sz="0" w:space="0" w:color="auto"/>
        <w:left w:val="none" w:sz="0" w:space="0" w:color="auto"/>
        <w:bottom w:val="none" w:sz="0" w:space="0" w:color="auto"/>
        <w:right w:val="none" w:sz="0" w:space="0" w:color="auto"/>
      </w:divBdr>
      <w:divsChild>
        <w:div w:id="16391949">
          <w:marLeft w:val="0"/>
          <w:marRight w:val="0"/>
          <w:marTop w:val="0"/>
          <w:marBottom w:val="0"/>
          <w:divBdr>
            <w:top w:val="none" w:sz="0" w:space="0" w:color="auto"/>
            <w:left w:val="none" w:sz="0" w:space="0" w:color="auto"/>
            <w:bottom w:val="none" w:sz="0" w:space="0" w:color="auto"/>
            <w:right w:val="none" w:sz="0" w:space="0" w:color="auto"/>
          </w:divBdr>
        </w:div>
        <w:div w:id="145514829">
          <w:marLeft w:val="0"/>
          <w:marRight w:val="0"/>
          <w:marTop w:val="0"/>
          <w:marBottom w:val="0"/>
          <w:divBdr>
            <w:top w:val="none" w:sz="0" w:space="0" w:color="auto"/>
            <w:left w:val="none" w:sz="0" w:space="0" w:color="auto"/>
            <w:bottom w:val="none" w:sz="0" w:space="0" w:color="auto"/>
            <w:right w:val="none" w:sz="0" w:space="0" w:color="auto"/>
          </w:divBdr>
        </w:div>
        <w:div w:id="201480956">
          <w:marLeft w:val="0"/>
          <w:marRight w:val="0"/>
          <w:marTop w:val="0"/>
          <w:marBottom w:val="0"/>
          <w:divBdr>
            <w:top w:val="none" w:sz="0" w:space="0" w:color="auto"/>
            <w:left w:val="none" w:sz="0" w:space="0" w:color="auto"/>
            <w:bottom w:val="none" w:sz="0" w:space="0" w:color="auto"/>
            <w:right w:val="none" w:sz="0" w:space="0" w:color="auto"/>
          </w:divBdr>
        </w:div>
        <w:div w:id="204298361">
          <w:marLeft w:val="0"/>
          <w:marRight w:val="0"/>
          <w:marTop w:val="0"/>
          <w:marBottom w:val="0"/>
          <w:divBdr>
            <w:top w:val="none" w:sz="0" w:space="0" w:color="auto"/>
            <w:left w:val="none" w:sz="0" w:space="0" w:color="auto"/>
            <w:bottom w:val="none" w:sz="0" w:space="0" w:color="auto"/>
            <w:right w:val="none" w:sz="0" w:space="0" w:color="auto"/>
          </w:divBdr>
        </w:div>
        <w:div w:id="309285541">
          <w:marLeft w:val="0"/>
          <w:marRight w:val="0"/>
          <w:marTop w:val="0"/>
          <w:marBottom w:val="0"/>
          <w:divBdr>
            <w:top w:val="none" w:sz="0" w:space="0" w:color="auto"/>
            <w:left w:val="none" w:sz="0" w:space="0" w:color="auto"/>
            <w:bottom w:val="none" w:sz="0" w:space="0" w:color="auto"/>
            <w:right w:val="none" w:sz="0" w:space="0" w:color="auto"/>
          </w:divBdr>
        </w:div>
        <w:div w:id="371342620">
          <w:marLeft w:val="0"/>
          <w:marRight w:val="0"/>
          <w:marTop w:val="0"/>
          <w:marBottom w:val="0"/>
          <w:divBdr>
            <w:top w:val="none" w:sz="0" w:space="0" w:color="auto"/>
            <w:left w:val="none" w:sz="0" w:space="0" w:color="auto"/>
            <w:bottom w:val="none" w:sz="0" w:space="0" w:color="auto"/>
            <w:right w:val="none" w:sz="0" w:space="0" w:color="auto"/>
          </w:divBdr>
        </w:div>
        <w:div w:id="437869420">
          <w:marLeft w:val="0"/>
          <w:marRight w:val="0"/>
          <w:marTop w:val="0"/>
          <w:marBottom w:val="0"/>
          <w:divBdr>
            <w:top w:val="none" w:sz="0" w:space="0" w:color="auto"/>
            <w:left w:val="none" w:sz="0" w:space="0" w:color="auto"/>
            <w:bottom w:val="none" w:sz="0" w:space="0" w:color="auto"/>
            <w:right w:val="none" w:sz="0" w:space="0" w:color="auto"/>
          </w:divBdr>
        </w:div>
        <w:div w:id="506870261">
          <w:marLeft w:val="0"/>
          <w:marRight w:val="0"/>
          <w:marTop w:val="0"/>
          <w:marBottom w:val="0"/>
          <w:divBdr>
            <w:top w:val="none" w:sz="0" w:space="0" w:color="auto"/>
            <w:left w:val="none" w:sz="0" w:space="0" w:color="auto"/>
            <w:bottom w:val="none" w:sz="0" w:space="0" w:color="auto"/>
            <w:right w:val="none" w:sz="0" w:space="0" w:color="auto"/>
          </w:divBdr>
        </w:div>
        <w:div w:id="685520910">
          <w:marLeft w:val="0"/>
          <w:marRight w:val="0"/>
          <w:marTop w:val="0"/>
          <w:marBottom w:val="0"/>
          <w:divBdr>
            <w:top w:val="none" w:sz="0" w:space="0" w:color="auto"/>
            <w:left w:val="none" w:sz="0" w:space="0" w:color="auto"/>
            <w:bottom w:val="none" w:sz="0" w:space="0" w:color="auto"/>
            <w:right w:val="none" w:sz="0" w:space="0" w:color="auto"/>
          </w:divBdr>
        </w:div>
        <w:div w:id="689187018">
          <w:marLeft w:val="0"/>
          <w:marRight w:val="0"/>
          <w:marTop w:val="0"/>
          <w:marBottom w:val="0"/>
          <w:divBdr>
            <w:top w:val="none" w:sz="0" w:space="0" w:color="auto"/>
            <w:left w:val="none" w:sz="0" w:space="0" w:color="auto"/>
            <w:bottom w:val="none" w:sz="0" w:space="0" w:color="auto"/>
            <w:right w:val="none" w:sz="0" w:space="0" w:color="auto"/>
          </w:divBdr>
        </w:div>
        <w:div w:id="848330733">
          <w:marLeft w:val="0"/>
          <w:marRight w:val="0"/>
          <w:marTop w:val="0"/>
          <w:marBottom w:val="0"/>
          <w:divBdr>
            <w:top w:val="none" w:sz="0" w:space="0" w:color="auto"/>
            <w:left w:val="none" w:sz="0" w:space="0" w:color="auto"/>
            <w:bottom w:val="none" w:sz="0" w:space="0" w:color="auto"/>
            <w:right w:val="none" w:sz="0" w:space="0" w:color="auto"/>
          </w:divBdr>
        </w:div>
        <w:div w:id="861941283">
          <w:marLeft w:val="0"/>
          <w:marRight w:val="0"/>
          <w:marTop w:val="0"/>
          <w:marBottom w:val="0"/>
          <w:divBdr>
            <w:top w:val="none" w:sz="0" w:space="0" w:color="auto"/>
            <w:left w:val="none" w:sz="0" w:space="0" w:color="auto"/>
            <w:bottom w:val="none" w:sz="0" w:space="0" w:color="auto"/>
            <w:right w:val="none" w:sz="0" w:space="0" w:color="auto"/>
          </w:divBdr>
        </w:div>
        <w:div w:id="914514417">
          <w:marLeft w:val="0"/>
          <w:marRight w:val="0"/>
          <w:marTop w:val="0"/>
          <w:marBottom w:val="0"/>
          <w:divBdr>
            <w:top w:val="none" w:sz="0" w:space="0" w:color="auto"/>
            <w:left w:val="none" w:sz="0" w:space="0" w:color="auto"/>
            <w:bottom w:val="none" w:sz="0" w:space="0" w:color="auto"/>
            <w:right w:val="none" w:sz="0" w:space="0" w:color="auto"/>
          </w:divBdr>
        </w:div>
        <w:div w:id="960914106">
          <w:marLeft w:val="0"/>
          <w:marRight w:val="0"/>
          <w:marTop w:val="0"/>
          <w:marBottom w:val="0"/>
          <w:divBdr>
            <w:top w:val="none" w:sz="0" w:space="0" w:color="auto"/>
            <w:left w:val="none" w:sz="0" w:space="0" w:color="auto"/>
            <w:bottom w:val="none" w:sz="0" w:space="0" w:color="auto"/>
            <w:right w:val="none" w:sz="0" w:space="0" w:color="auto"/>
          </w:divBdr>
        </w:div>
        <w:div w:id="1181823313">
          <w:marLeft w:val="0"/>
          <w:marRight w:val="0"/>
          <w:marTop w:val="0"/>
          <w:marBottom w:val="0"/>
          <w:divBdr>
            <w:top w:val="none" w:sz="0" w:space="0" w:color="auto"/>
            <w:left w:val="none" w:sz="0" w:space="0" w:color="auto"/>
            <w:bottom w:val="none" w:sz="0" w:space="0" w:color="auto"/>
            <w:right w:val="none" w:sz="0" w:space="0" w:color="auto"/>
          </w:divBdr>
        </w:div>
        <w:div w:id="1296763220">
          <w:marLeft w:val="0"/>
          <w:marRight w:val="0"/>
          <w:marTop w:val="0"/>
          <w:marBottom w:val="0"/>
          <w:divBdr>
            <w:top w:val="none" w:sz="0" w:space="0" w:color="auto"/>
            <w:left w:val="none" w:sz="0" w:space="0" w:color="auto"/>
            <w:bottom w:val="none" w:sz="0" w:space="0" w:color="auto"/>
            <w:right w:val="none" w:sz="0" w:space="0" w:color="auto"/>
          </w:divBdr>
        </w:div>
        <w:div w:id="1321468582">
          <w:marLeft w:val="0"/>
          <w:marRight w:val="0"/>
          <w:marTop w:val="0"/>
          <w:marBottom w:val="0"/>
          <w:divBdr>
            <w:top w:val="none" w:sz="0" w:space="0" w:color="auto"/>
            <w:left w:val="none" w:sz="0" w:space="0" w:color="auto"/>
            <w:bottom w:val="none" w:sz="0" w:space="0" w:color="auto"/>
            <w:right w:val="none" w:sz="0" w:space="0" w:color="auto"/>
          </w:divBdr>
        </w:div>
        <w:div w:id="1329482338">
          <w:marLeft w:val="0"/>
          <w:marRight w:val="0"/>
          <w:marTop w:val="0"/>
          <w:marBottom w:val="0"/>
          <w:divBdr>
            <w:top w:val="none" w:sz="0" w:space="0" w:color="auto"/>
            <w:left w:val="none" w:sz="0" w:space="0" w:color="auto"/>
            <w:bottom w:val="none" w:sz="0" w:space="0" w:color="auto"/>
            <w:right w:val="none" w:sz="0" w:space="0" w:color="auto"/>
          </w:divBdr>
        </w:div>
        <w:div w:id="1372875162">
          <w:marLeft w:val="0"/>
          <w:marRight w:val="0"/>
          <w:marTop w:val="0"/>
          <w:marBottom w:val="0"/>
          <w:divBdr>
            <w:top w:val="none" w:sz="0" w:space="0" w:color="auto"/>
            <w:left w:val="none" w:sz="0" w:space="0" w:color="auto"/>
            <w:bottom w:val="none" w:sz="0" w:space="0" w:color="auto"/>
            <w:right w:val="none" w:sz="0" w:space="0" w:color="auto"/>
          </w:divBdr>
        </w:div>
        <w:div w:id="1434782905">
          <w:marLeft w:val="0"/>
          <w:marRight w:val="0"/>
          <w:marTop w:val="0"/>
          <w:marBottom w:val="0"/>
          <w:divBdr>
            <w:top w:val="none" w:sz="0" w:space="0" w:color="auto"/>
            <w:left w:val="none" w:sz="0" w:space="0" w:color="auto"/>
            <w:bottom w:val="none" w:sz="0" w:space="0" w:color="auto"/>
            <w:right w:val="none" w:sz="0" w:space="0" w:color="auto"/>
          </w:divBdr>
        </w:div>
        <w:div w:id="1556503818">
          <w:marLeft w:val="0"/>
          <w:marRight w:val="0"/>
          <w:marTop w:val="0"/>
          <w:marBottom w:val="0"/>
          <w:divBdr>
            <w:top w:val="none" w:sz="0" w:space="0" w:color="auto"/>
            <w:left w:val="none" w:sz="0" w:space="0" w:color="auto"/>
            <w:bottom w:val="none" w:sz="0" w:space="0" w:color="auto"/>
            <w:right w:val="none" w:sz="0" w:space="0" w:color="auto"/>
          </w:divBdr>
        </w:div>
        <w:div w:id="1632203408">
          <w:marLeft w:val="0"/>
          <w:marRight w:val="0"/>
          <w:marTop w:val="0"/>
          <w:marBottom w:val="0"/>
          <w:divBdr>
            <w:top w:val="none" w:sz="0" w:space="0" w:color="auto"/>
            <w:left w:val="none" w:sz="0" w:space="0" w:color="auto"/>
            <w:bottom w:val="none" w:sz="0" w:space="0" w:color="auto"/>
            <w:right w:val="none" w:sz="0" w:space="0" w:color="auto"/>
          </w:divBdr>
        </w:div>
        <w:div w:id="1635019639">
          <w:marLeft w:val="0"/>
          <w:marRight w:val="0"/>
          <w:marTop w:val="0"/>
          <w:marBottom w:val="0"/>
          <w:divBdr>
            <w:top w:val="none" w:sz="0" w:space="0" w:color="auto"/>
            <w:left w:val="none" w:sz="0" w:space="0" w:color="auto"/>
            <w:bottom w:val="none" w:sz="0" w:space="0" w:color="auto"/>
            <w:right w:val="none" w:sz="0" w:space="0" w:color="auto"/>
          </w:divBdr>
        </w:div>
        <w:div w:id="1656907042">
          <w:marLeft w:val="0"/>
          <w:marRight w:val="0"/>
          <w:marTop w:val="0"/>
          <w:marBottom w:val="0"/>
          <w:divBdr>
            <w:top w:val="none" w:sz="0" w:space="0" w:color="auto"/>
            <w:left w:val="none" w:sz="0" w:space="0" w:color="auto"/>
            <w:bottom w:val="none" w:sz="0" w:space="0" w:color="auto"/>
            <w:right w:val="none" w:sz="0" w:space="0" w:color="auto"/>
          </w:divBdr>
        </w:div>
        <w:div w:id="1732000254">
          <w:marLeft w:val="0"/>
          <w:marRight w:val="0"/>
          <w:marTop w:val="0"/>
          <w:marBottom w:val="0"/>
          <w:divBdr>
            <w:top w:val="none" w:sz="0" w:space="0" w:color="auto"/>
            <w:left w:val="none" w:sz="0" w:space="0" w:color="auto"/>
            <w:bottom w:val="none" w:sz="0" w:space="0" w:color="auto"/>
            <w:right w:val="none" w:sz="0" w:space="0" w:color="auto"/>
          </w:divBdr>
        </w:div>
        <w:div w:id="1732069901">
          <w:marLeft w:val="0"/>
          <w:marRight w:val="0"/>
          <w:marTop w:val="0"/>
          <w:marBottom w:val="0"/>
          <w:divBdr>
            <w:top w:val="none" w:sz="0" w:space="0" w:color="auto"/>
            <w:left w:val="none" w:sz="0" w:space="0" w:color="auto"/>
            <w:bottom w:val="none" w:sz="0" w:space="0" w:color="auto"/>
            <w:right w:val="none" w:sz="0" w:space="0" w:color="auto"/>
          </w:divBdr>
        </w:div>
        <w:div w:id="1809858777">
          <w:marLeft w:val="0"/>
          <w:marRight w:val="0"/>
          <w:marTop w:val="0"/>
          <w:marBottom w:val="0"/>
          <w:divBdr>
            <w:top w:val="none" w:sz="0" w:space="0" w:color="auto"/>
            <w:left w:val="none" w:sz="0" w:space="0" w:color="auto"/>
            <w:bottom w:val="none" w:sz="0" w:space="0" w:color="auto"/>
            <w:right w:val="none" w:sz="0" w:space="0" w:color="auto"/>
          </w:divBdr>
        </w:div>
        <w:div w:id="1868326878">
          <w:marLeft w:val="0"/>
          <w:marRight w:val="0"/>
          <w:marTop w:val="0"/>
          <w:marBottom w:val="0"/>
          <w:divBdr>
            <w:top w:val="none" w:sz="0" w:space="0" w:color="auto"/>
            <w:left w:val="none" w:sz="0" w:space="0" w:color="auto"/>
            <w:bottom w:val="none" w:sz="0" w:space="0" w:color="auto"/>
            <w:right w:val="none" w:sz="0" w:space="0" w:color="auto"/>
          </w:divBdr>
        </w:div>
        <w:div w:id="1929267734">
          <w:marLeft w:val="0"/>
          <w:marRight w:val="0"/>
          <w:marTop w:val="0"/>
          <w:marBottom w:val="0"/>
          <w:divBdr>
            <w:top w:val="none" w:sz="0" w:space="0" w:color="auto"/>
            <w:left w:val="none" w:sz="0" w:space="0" w:color="auto"/>
            <w:bottom w:val="none" w:sz="0" w:space="0" w:color="auto"/>
            <w:right w:val="none" w:sz="0" w:space="0" w:color="auto"/>
          </w:divBdr>
        </w:div>
        <w:div w:id="1967807606">
          <w:marLeft w:val="0"/>
          <w:marRight w:val="0"/>
          <w:marTop w:val="0"/>
          <w:marBottom w:val="0"/>
          <w:divBdr>
            <w:top w:val="none" w:sz="0" w:space="0" w:color="auto"/>
            <w:left w:val="none" w:sz="0" w:space="0" w:color="auto"/>
            <w:bottom w:val="none" w:sz="0" w:space="0" w:color="auto"/>
            <w:right w:val="none" w:sz="0" w:space="0" w:color="auto"/>
          </w:divBdr>
        </w:div>
        <w:div w:id="1972904551">
          <w:marLeft w:val="0"/>
          <w:marRight w:val="0"/>
          <w:marTop w:val="0"/>
          <w:marBottom w:val="0"/>
          <w:divBdr>
            <w:top w:val="none" w:sz="0" w:space="0" w:color="auto"/>
            <w:left w:val="none" w:sz="0" w:space="0" w:color="auto"/>
            <w:bottom w:val="none" w:sz="0" w:space="0" w:color="auto"/>
            <w:right w:val="none" w:sz="0" w:space="0" w:color="auto"/>
          </w:divBdr>
        </w:div>
        <w:div w:id="2036728709">
          <w:marLeft w:val="0"/>
          <w:marRight w:val="0"/>
          <w:marTop w:val="0"/>
          <w:marBottom w:val="0"/>
          <w:divBdr>
            <w:top w:val="none" w:sz="0" w:space="0" w:color="auto"/>
            <w:left w:val="none" w:sz="0" w:space="0" w:color="auto"/>
            <w:bottom w:val="none" w:sz="0" w:space="0" w:color="auto"/>
            <w:right w:val="none" w:sz="0" w:space="0" w:color="auto"/>
          </w:divBdr>
        </w:div>
        <w:div w:id="2053260503">
          <w:marLeft w:val="0"/>
          <w:marRight w:val="0"/>
          <w:marTop w:val="0"/>
          <w:marBottom w:val="0"/>
          <w:divBdr>
            <w:top w:val="none" w:sz="0" w:space="0" w:color="auto"/>
            <w:left w:val="none" w:sz="0" w:space="0" w:color="auto"/>
            <w:bottom w:val="none" w:sz="0" w:space="0" w:color="auto"/>
            <w:right w:val="none" w:sz="0" w:space="0" w:color="auto"/>
          </w:divBdr>
        </w:div>
        <w:div w:id="2093356100">
          <w:marLeft w:val="0"/>
          <w:marRight w:val="0"/>
          <w:marTop w:val="0"/>
          <w:marBottom w:val="0"/>
          <w:divBdr>
            <w:top w:val="none" w:sz="0" w:space="0" w:color="auto"/>
            <w:left w:val="none" w:sz="0" w:space="0" w:color="auto"/>
            <w:bottom w:val="none" w:sz="0" w:space="0" w:color="auto"/>
            <w:right w:val="none" w:sz="0" w:space="0" w:color="auto"/>
          </w:divBdr>
        </w:div>
        <w:div w:id="2099909960">
          <w:marLeft w:val="0"/>
          <w:marRight w:val="0"/>
          <w:marTop w:val="0"/>
          <w:marBottom w:val="0"/>
          <w:divBdr>
            <w:top w:val="none" w:sz="0" w:space="0" w:color="auto"/>
            <w:left w:val="none" w:sz="0" w:space="0" w:color="auto"/>
            <w:bottom w:val="none" w:sz="0" w:space="0" w:color="auto"/>
            <w:right w:val="none" w:sz="0" w:space="0" w:color="auto"/>
          </w:divBdr>
        </w:div>
        <w:div w:id="2124225121">
          <w:marLeft w:val="0"/>
          <w:marRight w:val="0"/>
          <w:marTop w:val="0"/>
          <w:marBottom w:val="0"/>
          <w:divBdr>
            <w:top w:val="none" w:sz="0" w:space="0" w:color="auto"/>
            <w:left w:val="none" w:sz="0" w:space="0" w:color="auto"/>
            <w:bottom w:val="none" w:sz="0" w:space="0" w:color="auto"/>
            <w:right w:val="none" w:sz="0" w:space="0" w:color="auto"/>
          </w:divBdr>
        </w:div>
      </w:divsChild>
    </w:div>
    <w:div w:id="2064593502">
      <w:bodyDiv w:val="1"/>
      <w:marLeft w:val="0"/>
      <w:marRight w:val="0"/>
      <w:marTop w:val="0"/>
      <w:marBottom w:val="0"/>
      <w:divBdr>
        <w:top w:val="none" w:sz="0" w:space="0" w:color="auto"/>
        <w:left w:val="none" w:sz="0" w:space="0" w:color="auto"/>
        <w:bottom w:val="none" w:sz="0" w:space="0" w:color="auto"/>
        <w:right w:val="none" w:sz="0" w:space="0" w:color="auto"/>
      </w:divBdr>
    </w:div>
    <w:div w:id="2065828036">
      <w:bodyDiv w:val="1"/>
      <w:marLeft w:val="0"/>
      <w:marRight w:val="0"/>
      <w:marTop w:val="0"/>
      <w:marBottom w:val="0"/>
      <w:divBdr>
        <w:top w:val="none" w:sz="0" w:space="0" w:color="auto"/>
        <w:left w:val="none" w:sz="0" w:space="0" w:color="auto"/>
        <w:bottom w:val="none" w:sz="0" w:space="0" w:color="auto"/>
        <w:right w:val="none" w:sz="0" w:space="0" w:color="auto"/>
      </w:divBdr>
    </w:div>
    <w:div w:id="2067291524">
      <w:bodyDiv w:val="1"/>
      <w:marLeft w:val="0"/>
      <w:marRight w:val="0"/>
      <w:marTop w:val="0"/>
      <w:marBottom w:val="0"/>
      <w:divBdr>
        <w:top w:val="none" w:sz="0" w:space="0" w:color="auto"/>
        <w:left w:val="none" w:sz="0" w:space="0" w:color="auto"/>
        <w:bottom w:val="none" w:sz="0" w:space="0" w:color="auto"/>
        <w:right w:val="none" w:sz="0" w:space="0" w:color="auto"/>
      </w:divBdr>
      <w:divsChild>
        <w:div w:id="1881361350">
          <w:marLeft w:val="0"/>
          <w:marRight w:val="0"/>
          <w:marTop w:val="0"/>
          <w:marBottom w:val="0"/>
          <w:divBdr>
            <w:top w:val="none" w:sz="0" w:space="0" w:color="auto"/>
            <w:left w:val="none" w:sz="0" w:space="0" w:color="auto"/>
            <w:bottom w:val="none" w:sz="0" w:space="0" w:color="auto"/>
            <w:right w:val="none" w:sz="0" w:space="0" w:color="auto"/>
          </w:divBdr>
          <w:divsChild>
            <w:div w:id="1774856701">
              <w:marLeft w:val="0"/>
              <w:marRight w:val="0"/>
              <w:marTop w:val="0"/>
              <w:marBottom w:val="0"/>
              <w:divBdr>
                <w:top w:val="none" w:sz="0" w:space="0" w:color="auto"/>
                <w:left w:val="none" w:sz="0" w:space="0" w:color="auto"/>
                <w:bottom w:val="none" w:sz="0" w:space="0" w:color="auto"/>
                <w:right w:val="none" w:sz="0" w:space="0" w:color="auto"/>
              </w:divBdr>
              <w:divsChild>
                <w:div w:id="325939407">
                  <w:marLeft w:val="0"/>
                  <w:marRight w:val="0"/>
                  <w:marTop w:val="0"/>
                  <w:marBottom w:val="0"/>
                  <w:divBdr>
                    <w:top w:val="none" w:sz="0" w:space="0" w:color="auto"/>
                    <w:left w:val="none" w:sz="0" w:space="0" w:color="auto"/>
                    <w:bottom w:val="none" w:sz="0" w:space="0" w:color="auto"/>
                    <w:right w:val="none" w:sz="0" w:space="0" w:color="auto"/>
                  </w:divBdr>
                  <w:divsChild>
                    <w:div w:id="1048988968">
                      <w:marLeft w:val="0"/>
                      <w:marRight w:val="0"/>
                      <w:marTop w:val="0"/>
                      <w:marBottom w:val="0"/>
                      <w:divBdr>
                        <w:top w:val="none" w:sz="0" w:space="0" w:color="auto"/>
                        <w:left w:val="none" w:sz="0" w:space="0" w:color="auto"/>
                        <w:bottom w:val="none" w:sz="0" w:space="0" w:color="auto"/>
                        <w:right w:val="none" w:sz="0" w:space="0" w:color="auto"/>
                      </w:divBdr>
                      <w:divsChild>
                        <w:div w:id="1184981377">
                          <w:marLeft w:val="0"/>
                          <w:marRight w:val="0"/>
                          <w:marTop w:val="0"/>
                          <w:marBottom w:val="0"/>
                          <w:divBdr>
                            <w:top w:val="none" w:sz="0" w:space="0" w:color="auto"/>
                            <w:left w:val="none" w:sz="0" w:space="0" w:color="auto"/>
                            <w:bottom w:val="none" w:sz="0" w:space="0" w:color="auto"/>
                            <w:right w:val="none" w:sz="0" w:space="0" w:color="auto"/>
                          </w:divBdr>
                          <w:divsChild>
                            <w:div w:id="840388389">
                              <w:marLeft w:val="0"/>
                              <w:marRight w:val="0"/>
                              <w:marTop w:val="0"/>
                              <w:marBottom w:val="0"/>
                              <w:divBdr>
                                <w:top w:val="none" w:sz="0" w:space="0" w:color="auto"/>
                                <w:left w:val="none" w:sz="0" w:space="0" w:color="auto"/>
                                <w:bottom w:val="none" w:sz="0" w:space="0" w:color="auto"/>
                                <w:right w:val="none" w:sz="0" w:space="0" w:color="auto"/>
                              </w:divBdr>
                            </w:div>
                            <w:div w:id="953635554">
                              <w:marLeft w:val="0"/>
                              <w:marRight w:val="0"/>
                              <w:marTop w:val="0"/>
                              <w:marBottom w:val="0"/>
                              <w:divBdr>
                                <w:top w:val="none" w:sz="0" w:space="0" w:color="auto"/>
                                <w:left w:val="none" w:sz="0" w:space="0" w:color="auto"/>
                                <w:bottom w:val="none" w:sz="0" w:space="0" w:color="auto"/>
                                <w:right w:val="none" w:sz="0" w:space="0" w:color="auto"/>
                              </w:divBdr>
                            </w:div>
                            <w:div w:id="173142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8146810">
      <w:bodyDiv w:val="1"/>
      <w:marLeft w:val="0"/>
      <w:marRight w:val="0"/>
      <w:marTop w:val="0"/>
      <w:marBottom w:val="0"/>
      <w:divBdr>
        <w:top w:val="none" w:sz="0" w:space="0" w:color="auto"/>
        <w:left w:val="none" w:sz="0" w:space="0" w:color="auto"/>
        <w:bottom w:val="none" w:sz="0" w:space="0" w:color="auto"/>
        <w:right w:val="none" w:sz="0" w:space="0" w:color="auto"/>
      </w:divBdr>
    </w:div>
    <w:div w:id="2069718368">
      <w:bodyDiv w:val="1"/>
      <w:marLeft w:val="0"/>
      <w:marRight w:val="0"/>
      <w:marTop w:val="0"/>
      <w:marBottom w:val="0"/>
      <w:divBdr>
        <w:top w:val="none" w:sz="0" w:space="0" w:color="auto"/>
        <w:left w:val="none" w:sz="0" w:space="0" w:color="auto"/>
        <w:bottom w:val="none" w:sz="0" w:space="0" w:color="auto"/>
        <w:right w:val="none" w:sz="0" w:space="0" w:color="auto"/>
      </w:divBdr>
      <w:divsChild>
        <w:div w:id="553201734">
          <w:marLeft w:val="547"/>
          <w:marRight w:val="0"/>
          <w:marTop w:val="0"/>
          <w:marBottom w:val="0"/>
          <w:divBdr>
            <w:top w:val="none" w:sz="0" w:space="0" w:color="auto"/>
            <w:left w:val="none" w:sz="0" w:space="0" w:color="auto"/>
            <w:bottom w:val="none" w:sz="0" w:space="0" w:color="auto"/>
            <w:right w:val="none" w:sz="0" w:space="0" w:color="auto"/>
          </w:divBdr>
        </w:div>
      </w:divsChild>
    </w:div>
    <w:div w:id="2075005319">
      <w:bodyDiv w:val="1"/>
      <w:marLeft w:val="0"/>
      <w:marRight w:val="0"/>
      <w:marTop w:val="0"/>
      <w:marBottom w:val="0"/>
      <w:divBdr>
        <w:top w:val="none" w:sz="0" w:space="0" w:color="auto"/>
        <w:left w:val="none" w:sz="0" w:space="0" w:color="auto"/>
        <w:bottom w:val="none" w:sz="0" w:space="0" w:color="auto"/>
        <w:right w:val="none" w:sz="0" w:space="0" w:color="auto"/>
      </w:divBdr>
      <w:divsChild>
        <w:div w:id="426073334">
          <w:marLeft w:val="547"/>
          <w:marRight w:val="0"/>
          <w:marTop w:val="0"/>
          <w:marBottom w:val="0"/>
          <w:divBdr>
            <w:top w:val="none" w:sz="0" w:space="0" w:color="auto"/>
            <w:left w:val="none" w:sz="0" w:space="0" w:color="auto"/>
            <w:bottom w:val="none" w:sz="0" w:space="0" w:color="auto"/>
            <w:right w:val="none" w:sz="0" w:space="0" w:color="auto"/>
          </w:divBdr>
        </w:div>
      </w:divsChild>
    </w:div>
    <w:div w:id="2075464643">
      <w:bodyDiv w:val="1"/>
      <w:marLeft w:val="0"/>
      <w:marRight w:val="0"/>
      <w:marTop w:val="0"/>
      <w:marBottom w:val="0"/>
      <w:divBdr>
        <w:top w:val="none" w:sz="0" w:space="0" w:color="auto"/>
        <w:left w:val="none" w:sz="0" w:space="0" w:color="auto"/>
        <w:bottom w:val="none" w:sz="0" w:space="0" w:color="auto"/>
        <w:right w:val="none" w:sz="0" w:space="0" w:color="auto"/>
      </w:divBdr>
    </w:div>
    <w:div w:id="2081713821">
      <w:bodyDiv w:val="1"/>
      <w:marLeft w:val="0"/>
      <w:marRight w:val="0"/>
      <w:marTop w:val="0"/>
      <w:marBottom w:val="0"/>
      <w:divBdr>
        <w:top w:val="none" w:sz="0" w:space="0" w:color="auto"/>
        <w:left w:val="none" w:sz="0" w:space="0" w:color="auto"/>
        <w:bottom w:val="none" w:sz="0" w:space="0" w:color="auto"/>
        <w:right w:val="none" w:sz="0" w:space="0" w:color="auto"/>
      </w:divBdr>
    </w:div>
    <w:div w:id="2085566205">
      <w:bodyDiv w:val="1"/>
      <w:marLeft w:val="0"/>
      <w:marRight w:val="0"/>
      <w:marTop w:val="0"/>
      <w:marBottom w:val="0"/>
      <w:divBdr>
        <w:top w:val="none" w:sz="0" w:space="0" w:color="auto"/>
        <w:left w:val="none" w:sz="0" w:space="0" w:color="auto"/>
        <w:bottom w:val="none" w:sz="0" w:space="0" w:color="auto"/>
        <w:right w:val="none" w:sz="0" w:space="0" w:color="auto"/>
      </w:divBdr>
      <w:divsChild>
        <w:div w:id="32582268">
          <w:marLeft w:val="0"/>
          <w:marRight w:val="0"/>
          <w:marTop w:val="0"/>
          <w:marBottom w:val="0"/>
          <w:divBdr>
            <w:top w:val="none" w:sz="0" w:space="0" w:color="auto"/>
            <w:left w:val="none" w:sz="0" w:space="0" w:color="auto"/>
            <w:bottom w:val="none" w:sz="0" w:space="0" w:color="auto"/>
            <w:right w:val="none" w:sz="0" w:space="0" w:color="auto"/>
          </w:divBdr>
        </w:div>
        <w:div w:id="65762685">
          <w:marLeft w:val="0"/>
          <w:marRight w:val="0"/>
          <w:marTop w:val="0"/>
          <w:marBottom w:val="0"/>
          <w:divBdr>
            <w:top w:val="none" w:sz="0" w:space="0" w:color="auto"/>
            <w:left w:val="none" w:sz="0" w:space="0" w:color="auto"/>
            <w:bottom w:val="none" w:sz="0" w:space="0" w:color="auto"/>
            <w:right w:val="none" w:sz="0" w:space="0" w:color="auto"/>
          </w:divBdr>
        </w:div>
        <w:div w:id="73356799">
          <w:marLeft w:val="0"/>
          <w:marRight w:val="0"/>
          <w:marTop w:val="0"/>
          <w:marBottom w:val="0"/>
          <w:divBdr>
            <w:top w:val="none" w:sz="0" w:space="0" w:color="auto"/>
            <w:left w:val="none" w:sz="0" w:space="0" w:color="auto"/>
            <w:bottom w:val="none" w:sz="0" w:space="0" w:color="auto"/>
            <w:right w:val="none" w:sz="0" w:space="0" w:color="auto"/>
          </w:divBdr>
        </w:div>
        <w:div w:id="150413860">
          <w:marLeft w:val="0"/>
          <w:marRight w:val="0"/>
          <w:marTop w:val="0"/>
          <w:marBottom w:val="0"/>
          <w:divBdr>
            <w:top w:val="none" w:sz="0" w:space="0" w:color="auto"/>
            <w:left w:val="none" w:sz="0" w:space="0" w:color="auto"/>
            <w:bottom w:val="none" w:sz="0" w:space="0" w:color="auto"/>
            <w:right w:val="none" w:sz="0" w:space="0" w:color="auto"/>
          </w:divBdr>
        </w:div>
        <w:div w:id="174654468">
          <w:marLeft w:val="0"/>
          <w:marRight w:val="0"/>
          <w:marTop w:val="0"/>
          <w:marBottom w:val="0"/>
          <w:divBdr>
            <w:top w:val="none" w:sz="0" w:space="0" w:color="auto"/>
            <w:left w:val="none" w:sz="0" w:space="0" w:color="auto"/>
            <w:bottom w:val="none" w:sz="0" w:space="0" w:color="auto"/>
            <w:right w:val="none" w:sz="0" w:space="0" w:color="auto"/>
          </w:divBdr>
        </w:div>
        <w:div w:id="358118496">
          <w:marLeft w:val="0"/>
          <w:marRight w:val="0"/>
          <w:marTop w:val="0"/>
          <w:marBottom w:val="0"/>
          <w:divBdr>
            <w:top w:val="none" w:sz="0" w:space="0" w:color="auto"/>
            <w:left w:val="none" w:sz="0" w:space="0" w:color="auto"/>
            <w:bottom w:val="none" w:sz="0" w:space="0" w:color="auto"/>
            <w:right w:val="none" w:sz="0" w:space="0" w:color="auto"/>
          </w:divBdr>
        </w:div>
        <w:div w:id="402291130">
          <w:marLeft w:val="0"/>
          <w:marRight w:val="0"/>
          <w:marTop w:val="0"/>
          <w:marBottom w:val="0"/>
          <w:divBdr>
            <w:top w:val="none" w:sz="0" w:space="0" w:color="auto"/>
            <w:left w:val="none" w:sz="0" w:space="0" w:color="auto"/>
            <w:bottom w:val="none" w:sz="0" w:space="0" w:color="auto"/>
            <w:right w:val="none" w:sz="0" w:space="0" w:color="auto"/>
          </w:divBdr>
        </w:div>
        <w:div w:id="479347295">
          <w:marLeft w:val="0"/>
          <w:marRight w:val="0"/>
          <w:marTop w:val="0"/>
          <w:marBottom w:val="0"/>
          <w:divBdr>
            <w:top w:val="none" w:sz="0" w:space="0" w:color="auto"/>
            <w:left w:val="none" w:sz="0" w:space="0" w:color="auto"/>
            <w:bottom w:val="none" w:sz="0" w:space="0" w:color="auto"/>
            <w:right w:val="none" w:sz="0" w:space="0" w:color="auto"/>
          </w:divBdr>
        </w:div>
        <w:div w:id="611018445">
          <w:marLeft w:val="0"/>
          <w:marRight w:val="0"/>
          <w:marTop w:val="0"/>
          <w:marBottom w:val="0"/>
          <w:divBdr>
            <w:top w:val="none" w:sz="0" w:space="0" w:color="auto"/>
            <w:left w:val="none" w:sz="0" w:space="0" w:color="auto"/>
            <w:bottom w:val="none" w:sz="0" w:space="0" w:color="auto"/>
            <w:right w:val="none" w:sz="0" w:space="0" w:color="auto"/>
          </w:divBdr>
        </w:div>
        <w:div w:id="628627854">
          <w:marLeft w:val="0"/>
          <w:marRight w:val="0"/>
          <w:marTop w:val="0"/>
          <w:marBottom w:val="0"/>
          <w:divBdr>
            <w:top w:val="none" w:sz="0" w:space="0" w:color="auto"/>
            <w:left w:val="none" w:sz="0" w:space="0" w:color="auto"/>
            <w:bottom w:val="none" w:sz="0" w:space="0" w:color="auto"/>
            <w:right w:val="none" w:sz="0" w:space="0" w:color="auto"/>
          </w:divBdr>
        </w:div>
        <w:div w:id="743458329">
          <w:marLeft w:val="0"/>
          <w:marRight w:val="0"/>
          <w:marTop w:val="0"/>
          <w:marBottom w:val="0"/>
          <w:divBdr>
            <w:top w:val="none" w:sz="0" w:space="0" w:color="auto"/>
            <w:left w:val="none" w:sz="0" w:space="0" w:color="auto"/>
            <w:bottom w:val="none" w:sz="0" w:space="0" w:color="auto"/>
            <w:right w:val="none" w:sz="0" w:space="0" w:color="auto"/>
          </w:divBdr>
        </w:div>
        <w:div w:id="835655969">
          <w:marLeft w:val="0"/>
          <w:marRight w:val="0"/>
          <w:marTop w:val="0"/>
          <w:marBottom w:val="0"/>
          <w:divBdr>
            <w:top w:val="none" w:sz="0" w:space="0" w:color="auto"/>
            <w:left w:val="none" w:sz="0" w:space="0" w:color="auto"/>
            <w:bottom w:val="none" w:sz="0" w:space="0" w:color="auto"/>
            <w:right w:val="none" w:sz="0" w:space="0" w:color="auto"/>
          </w:divBdr>
        </w:div>
        <w:div w:id="955016732">
          <w:marLeft w:val="0"/>
          <w:marRight w:val="0"/>
          <w:marTop w:val="0"/>
          <w:marBottom w:val="0"/>
          <w:divBdr>
            <w:top w:val="none" w:sz="0" w:space="0" w:color="auto"/>
            <w:left w:val="none" w:sz="0" w:space="0" w:color="auto"/>
            <w:bottom w:val="none" w:sz="0" w:space="0" w:color="auto"/>
            <w:right w:val="none" w:sz="0" w:space="0" w:color="auto"/>
          </w:divBdr>
        </w:div>
        <w:div w:id="967472529">
          <w:marLeft w:val="0"/>
          <w:marRight w:val="0"/>
          <w:marTop w:val="0"/>
          <w:marBottom w:val="0"/>
          <w:divBdr>
            <w:top w:val="none" w:sz="0" w:space="0" w:color="auto"/>
            <w:left w:val="none" w:sz="0" w:space="0" w:color="auto"/>
            <w:bottom w:val="none" w:sz="0" w:space="0" w:color="auto"/>
            <w:right w:val="none" w:sz="0" w:space="0" w:color="auto"/>
          </w:divBdr>
        </w:div>
        <w:div w:id="1057120586">
          <w:marLeft w:val="0"/>
          <w:marRight w:val="0"/>
          <w:marTop w:val="0"/>
          <w:marBottom w:val="0"/>
          <w:divBdr>
            <w:top w:val="none" w:sz="0" w:space="0" w:color="auto"/>
            <w:left w:val="none" w:sz="0" w:space="0" w:color="auto"/>
            <w:bottom w:val="none" w:sz="0" w:space="0" w:color="auto"/>
            <w:right w:val="none" w:sz="0" w:space="0" w:color="auto"/>
          </w:divBdr>
        </w:div>
        <w:div w:id="1082992780">
          <w:marLeft w:val="0"/>
          <w:marRight w:val="0"/>
          <w:marTop w:val="0"/>
          <w:marBottom w:val="0"/>
          <w:divBdr>
            <w:top w:val="none" w:sz="0" w:space="0" w:color="auto"/>
            <w:left w:val="none" w:sz="0" w:space="0" w:color="auto"/>
            <w:bottom w:val="none" w:sz="0" w:space="0" w:color="auto"/>
            <w:right w:val="none" w:sz="0" w:space="0" w:color="auto"/>
          </w:divBdr>
        </w:div>
        <w:div w:id="1221281933">
          <w:marLeft w:val="0"/>
          <w:marRight w:val="0"/>
          <w:marTop w:val="0"/>
          <w:marBottom w:val="0"/>
          <w:divBdr>
            <w:top w:val="none" w:sz="0" w:space="0" w:color="auto"/>
            <w:left w:val="none" w:sz="0" w:space="0" w:color="auto"/>
            <w:bottom w:val="none" w:sz="0" w:space="0" w:color="auto"/>
            <w:right w:val="none" w:sz="0" w:space="0" w:color="auto"/>
          </w:divBdr>
        </w:div>
        <w:div w:id="1228490548">
          <w:marLeft w:val="0"/>
          <w:marRight w:val="0"/>
          <w:marTop w:val="0"/>
          <w:marBottom w:val="0"/>
          <w:divBdr>
            <w:top w:val="none" w:sz="0" w:space="0" w:color="auto"/>
            <w:left w:val="none" w:sz="0" w:space="0" w:color="auto"/>
            <w:bottom w:val="none" w:sz="0" w:space="0" w:color="auto"/>
            <w:right w:val="none" w:sz="0" w:space="0" w:color="auto"/>
          </w:divBdr>
        </w:div>
        <w:div w:id="1463381205">
          <w:marLeft w:val="0"/>
          <w:marRight w:val="0"/>
          <w:marTop w:val="0"/>
          <w:marBottom w:val="0"/>
          <w:divBdr>
            <w:top w:val="none" w:sz="0" w:space="0" w:color="auto"/>
            <w:left w:val="none" w:sz="0" w:space="0" w:color="auto"/>
            <w:bottom w:val="none" w:sz="0" w:space="0" w:color="auto"/>
            <w:right w:val="none" w:sz="0" w:space="0" w:color="auto"/>
          </w:divBdr>
        </w:div>
        <w:div w:id="1507675101">
          <w:marLeft w:val="0"/>
          <w:marRight w:val="0"/>
          <w:marTop w:val="0"/>
          <w:marBottom w:val="0"/>
          <w:divBdr>
            <w:top w:val="none" w:sz="0" w:space="0" w:color="auto"/>
            <w:left w:val="none" w:sz="0" w:space="0" w:color="auto"/>
            <w:bottom w:val="none" w:sz="0" w:space="0" w:color="auto"/>
            <w:right w:val="none" w:sz="0" w:space="0" w:color="auto"/>
          </w:divBdr>
        </w:div>
        <w:div w:id="1575505915">
          <w:marLeft w:val="0"/>
          <w:marRight w:val="0"/>
          <w:marTop w:val="0"/>
          <w:marBottom w:val="0"/>
          <w:divBdr>
            <w:top w:val="none" w:sz="0" w:space="0" w:color="auto"/>
            <w:left w:val="none" w:sz="0" w:space="0" w:color="auto"/>
            <w:bottom w:val="none" w:sz="0" w:space="0" w:color="auto"/>
            <w:right w:val="none" w:sz="0" w:space="0" w:color="auto"/>
          </w:divBdr>
        </w:div>
        <w:div w:id="1605380640">
          <w:marLeft w:val="0"/>
          <w:marRight w:val="0"/>
          <w:marTop w:val="0"/>
          <w:marBottom w:val="0"/>
          <w:divBdr>
            <w:top w:val="none" w:sz="0" w:space="0" w:color="auto"/>
            <w:left w:val="none" w:sz="0" w:space="0" w:color="auto"/>
            <w:bottom w:val="none" w:sz="0" w:space="0" w:color="auto"/>
            <w:right w:val="none" w:sz="0" w:space="0" w:color="auto"/>
          </w:divBdr>
        </w:div>
        <w:div w:id="1799911033">
          <w:marLeft w:val="0"/>
          <w:marRight w:val="0"/>
          <w:marTop w:val="0"/>
          <w:marBottom w:val="0"/>
          <w:divBdr>
            <w:top w:val="none" w:sz="0" w:space="0" w:color="auto"/>
            <w:left w:val="none" w:sz="0" w:space="0" w:color="auto"/>
            <w:bottom w:val="none" w:sz="0" w:space="0" w:color="auto"/>
            <w:right w:val="none" w:sz="0" w:space="0" w:color="auto"/>
          </w:divBdr>
        </w:div>
        <w:div w:id="1819610403">
          <w:marLeft w:val="0"/>
          <w:marRight w:val="0"/>
          <w:marTop w:val="0"/>
          <w:marBottom w:val="0"/>
          <w:divBdr>
            <w:top w:val="none" w:sz="0" w:space="0" w:color="auto"/>
            <w:left w:val="none" w:sz="0" w:space="0" w:color="auto"/>
            <w:bottom w:val="none" w:sz="0" w:space="0" w:color="auto"/>
            <w:right w:val="none" w:sz="0" w:space="0" w:color="auto"/>
          </w:divBdr>
        </w:div>
        <w:div w:id="1850177237">
          <w:marLeft w:val="0"/>
          <w:marRight w:val="0"/>
          <w:marTop w:val="0"/>
          <w:marBottom w:val="0"/>
          <w:divBdr>
            <w:top w:val="none" w:sz="0" w:space="0" w:color="auto"/>
            <w:left w:val="none" w:sz="0" w:space="0" w:color="auto"/>
            <w:bottom w:val="none" w:sz="0" w:space="0" w:color="auto"/>
            <w:right w:val="none" w:sz="0" w:space="0" w:color="auto"/>
          </w:divBdr>
        </w:div>
        <w:div w:id="2001807304">
          <w:marLeft w:val="0"/>
          <w:marRight w:val="0"/>
          <w:marTop w:val="0"/>
          <w:marBottom w:val="0"/>
          <w:divBdr>
            <w:top w:val="none" w:sz="0" w:space="0" w:color="auto"/>
            <w:left w:val="none" w:sz="0" w:space="0" w:color="auto"/>
            <w:bottom w:val="none" w:sz="0" w:space="0" w:color="auto"/>
            <w:right w:val="none" w:sz="0" w:space="0" w:color="auto"/>
          </w:divBdr>
        </w:div>
        <w:div w:id="2031683431">
          <w:marLeft w:val="0"/>
          <w:marRight w:val="0"/>
          <w:marTop w:val="0"/>
          <w:marBottom w:val="0"/>
          <w:divBdr>
            <w:top w:val="none" w:sz="0" w:space="0" w:color="auto"/>
            <w:left w:val="none" w:sz="0" w:space="0" w:color="auto"/>
            <w:bottom w:val="none" w:sz="0" w:space="0" w:color="auto"/>
            <w:right w:val="none" w:sz="0" w:space="0" w:color="auto"/>
          </w:divBdr>
        </w:div>
        <w:div w:id="2039577091">
          <w:marLeft w:val="0"/>
          <w:marRight w:val="0"/>
          <w:marTop w:val="0"/>
          <w:marBottom w:val="0"/>
          <w:divBdr>
            <w:top w:val="none" w:sz="0" w:space="0" w:color="auto"/>
            <w:left w:val="none" w:sz="0" w:space="0" w:color="auto"/>
            <w:bottom w:val="none" w:sz="0" w:space="0" w:color="auto"/>
            <w:right w:val="none" w:sz="0" w:space="0" w:color="auto"/>
          </w:divBdr>
        </w:div>
        <w:div w:id="2089497040">
          <w:marLeft w:val="0"/>
          <w:marRight w:val="0"/>
          <w:marTop w:val="0"/>
          <w:marBottom w:val="0"/>
          <w:divBdr>
            <w:top w:val="none" w:sz="0" w:space="0" w:color="auto"/>
            <w:left w:val="none" w:sz="0" w:space="0" w:color="auto"/>
            <w:bottom w:val="none" w:sz="0" w:space="0" w:color="auto"/>
            <w:right w:val="none" w:sz="0" w:space="0" w:color="auto"/>
          </w:divBdr>
        </w:div>
      </w:divsChild>
    </w:div>
    <w:div w:id="2087342195">
      <w:bodyDiv w:val="1"/>
      <w:marLeft w:val="0"/>
      <w:marRight w:val="0"/>
      <w:marTop w:val="0"/>
      <w:marBottom w:val="0"/>
      <w:divBdr>
        <w:top w:val="none" w:sz="0" w:space="0" w:color="auto"/>
        <w:left w:val="none" w:sz="0" w:space="0" w:color="auto"/>
        <w:bottom w:val="none" w:sz="0" w:space="0" w:color="auto"/>
        <w:right w:val="none" w:sz="0" w:space="0" w:color="auto"/>
      </w:divBdr>
      <w:divsChild>
        <w:div w:id="1539126469">
          <w:marLeft w:val="0"/>
          <w:marRight w:val="0"/>
          <w:marTop w:val="0"/>
          <w:marBottom w:val="0"/>
          <w:divBdr>
            <w:top w:val="none" w:sz="0" w:space="0" w:color="auto"/>
            <w:left w:val="none" w:sz="0" w:space="0" w:color="auto"/>
            <w:bottom w:val="none" w:sz="0" w:space="0" w:color="auto"/>
            <w:right w:val="none" w:sz="0" w:space="0" w:color="auto"/>
          </w:divBdr>
        </w:div>
      </w:divsChild>
    </w:div>
    <w:div w:id="2089378199">
      <w:bodyDiv w:val="1"/>
      <w:marLeft w:val="0"/>
      <w:marRight w:val="0"/>
      <w:marTop w:val="0"/>
      <w:marBottom w:val="0"/>
      <w:divBdr>
        <w:top w:val="none" w:sz="0" w:space="0" w:color="auto"/>
        <w:left w:val="none" w:sz="0" w:space="0" w:color="auto"/>
        <w:bottom w:val="none" w:sz="0" w:space="0" w:color="auto"/>
        <w:right w:val="none" w:sz="0" w:space="0" w:color="auto"/>
      </w:divBdr>
      <w:divsChild>
        <w:div w:id="1074006211">
          <w:marLeft w:val="547"/>
          <w:marRight w:val="0"/>
          <w:marTop w:val="0"/>
          <w:marBottom w:val="0"/>
          <w:divBdr>
            <w:top w:val="none" w:sz="0" w:space="0" w:color="auto"/>
            <w:left w:val="none" w:sz="0" w:space="0" w:color="auto"/>
            <w:bottom w:val="none" w:sz="0" w:space="0" w:color="auto"/>
            <w:right w:val="none" w:sz="0" w:space="0" w:color="auto"/>
          </w:divBdr>
        </w:div>
        <w:div w:id="2053725225">
          <w:marLeft w:val="547"/>
          <w:marRight w:val="0"/>
          <w:marTop w:val="0"/>
          <w:marBottom w:val="0"/>
          <w:divBdr>
            <w:top w:val="none" w:sz="0" w:space="0" w:color="auto"/>
            <w:left w:val="none" w:sz="0" w:space="0" w:color="auto"/>
            <w:bottom w:val="none" w:sz="0" w:space="0" w:color="auto"/>
            <w:right w:val="none" w:sz="0" w:space="0" w:color="auto"/>
          </w:divBdr>
        </w:div>
        <w:div w:id="460466807">
          <w:marLeft w:val="547"/>
          <w:marRight w:val="0"/>
          <w:marTop w:val="0"/>
          <w:marBottom w:val="0"/>
          <w:divBdr>
            <w:top w:val="none" w:sz="0" w:space="0" w:color="auto"/>
            <w:left w:val="none" w:sz="0" w:space="0" w:color="auto"/>
            <w:bottom w:val="none" w:sz="0" w:space="0" w:color="auto"/>
            <w:right w:val="none" w:sz="0" w:space="0" w:color="auto"/>
          </w:divBdr>
        </w:div>
        <w:div w:id="711417207">
          <w:marLeft w:val="547"/>
          <w:marRight w:val="0"/>
          <w:marTop w:val="0"/>
          <w:marBottom w:val="0"/>
          <w:divBdr>
            <w:top w:val="none" w:sz="0" w:space="0" w:color="auto"/>
            <w:left w:val="none" w:sz="0" w:space="0" w:color="auto"/>
            <w:bottom w:val="none" w:sz="0" w:space="0" w:color="auto"/>
            <w:right w:val="none" w:sz="0" w:space="0" w:color="auto"/>
          </w:divBdr>
        </w:div>
        <w:div w:id="1621187439">
          <w:marLeft w:val="547"/>
          <w:marRight w:val="0"/>
          <w:marTop w:val="0"/>
          <w:marBottom w:val="0"/>
          <w:divBdr>
            <w:top w:val="none" w:sz="0" w:space="0" w:color="auto"/>
            <w:left w:val="none" w:sz="0" w:space="0" w:color="auto"/>
            <w:bottom w:val="none" w:sz="0" w:space="0" w:color="auto"/>
            <w:right w:val="none" w:sz="0" w:space="0" w:color="auto"/>
          </w:divBdr>
        </w:div>
        <w:div w:id="601257593">
          <w:marLeft w:val="547"/>
          <w:marRight w:val="0"/>
          <w:marTop w:val="0"/>
          <w:marBottom w:val="0"/>
          <w:divBdr>
            <w:top w:val="none" w:sz="0" w:space="0" w:color="auto"/>
            <w:left w:val="none" w:sz="0" w:space="0" w:color="auto"/>
            <w:bottom w:val="none" w:sz="0" w:space="0" w:color="auto"/>
            <w:right w:val="none" w:sz="0" w:space="0" w:color="auto"/>
          </w:divBdr>
        </w:div>
        <w:div w:id="1505978412">
          <w:marLeft w:val="547"/>
          <w:marRight w:val="0"/>
          <w:marTop w:val="0"/>
          <w:marBottom w:val="0"/>
          <w:divBdr>
            <w:top w:val="none" w:sz="0" w:space="0" w:color="auto"/>
            <w:left w:val="none" w:sz="0" w:space="0" w:color="auto"/>
            <w:bottom w:val="none" w:sz="0" w:space="0" w:color="auto"/>
            <w:right w:val="none" w:sz="0" w:space="0" w:color="auto"/>
          </w:divBdr>
        </w:div>
        <w:div w:id="312217944">
          <w:marLeft w:val="547"/>
          <w:marRight w:val="0"/>
          <w:marTop w:val="0"/>
          <w:marBottom w:val="0"/>
          <w:divBdr>
            <w:top w:val="none" w:sz="0" w:space="0" w:color="auto"/>
            <w:left w:val="none" w:sz="0" w:space="0" w:color="auto"/>
            <w:bottom w:val="none" w:sz="0" w:space="0" w:color="auto"/>
            <w:right w:val="none" w:sz="0" w:space="0" w:color="auto"/>
          </w:divBdr>
        </w:div>
      </w:divsChild>
    </w:div>
    <w:div w:id="2089881258">
      <w:bodyDiv w:val="1"/>
      <w:marLeft w:val="0"/>
      <w:marRight w:val="0"/>
      <w:marTop w:val="0"/>
      <w:marBottom w:val="0"/>
      <w:divBdr>
        <w:top w:val="none" w:sz="0" w:space="0" w:color="auto"/>
        <w:left w:val="none" w:sz="0" w:space="0" w:color="auto"/>
        <w:bottom w:val="none" w:sz="0" w:space="0" w:color="auto"/>
        <w:right w:val="none" w:sz="0" w:space="0" w:color="auto"/>
      </w:divBdr>
    </w:div>
    <w:div w:id="2095472548">
      <w:bodyDiv w:val="1"/>
      <w:marLeft w:val="0"/>
      <w:marRight w:val="0"/>
      <w:marTop w:val="0"/>
      <w:marBottom w:val="0"/>
      <w:divBdr>
        <w:top w:val="none" w:sz="0" w:space="0" w:color="auto"/>
        <w:left w:val="none" w:sz="0" w:space="0" w:color="auto"/>
        <w:bottom w:val="none" w:sz="0" w:space="0" w:color="auto"/>
        <w:right w:val="none" w:sz="0" w:space="0" w:color="auto"/>
      </w:divBdr>
      <w:divsChild>
        <w:div w:id="1031567361">
          <w:marLeft w:val="720"/>
          <w:marRight w:val="0"/>
          <w:marTop w:val="0"/>
          <w:marBottom w:val="0"/>
          <w:divBdr>
            <w:top w:val="none" w:sz="0" w:space="0" w:color="auto"/>
            <w:left w:val="none" w:sz="0" w:space="0" w:color="auto"/>
            <w:bottom w:val="none" w:sz="0" w:space="0" w:color="auto"/>
            <w:right w:val="none" w:sz="0" w:space="0" w:color="auto"/>
          </w:divBdr>
        </w:div>
        <w:div w:id="1629622193">
          <w:marLeft w:val="720"/>
          <w:marRight w:val="0"/>
          <w:marTop w:val="0"/>
          <w:marBottom w:val="0"/>
          <w:divBdr>
            <w:top w:val="none" w:sz="0" w:space="0" w:color="auto"/>
            <w:left w:val="none" w:sz="0" w:space="0" w:color="auto"/>
            <w:bottom w:val="none" w:sz="0" w:space="0" w:color="auto"/>
            <w:right w:val="none" w:sz="0" w:space="0" w:color="auto"/>
          </w:divBdr>
        </w:div>
      </w:divsChild>
    </w:div>
    <w:div w:id="2099208055">
      <w:bodyDiv w:val="1"/>
      <w:marLeft w:val="0"/>
      <w:marRight w:val="0"/>
      <w:marTop w:val="0"/>
      <w:marBottom w:val="0"/>
      <w:divBdr>
        <w:top w:val="none" w:sz="0" w:space="0" w:color="auto"/>
        <w:left w:val="none" w:sz="0" w:space="0" w:color="auto"/>
        <w:bottom w:val="none" w:sz="0" w:space="0" w:color="auto"/>
        <w:right w:val="none" w:sz="0" w:space="0" w:color="auto"/>
      </w:divBdr>
      <w:divsChild>
        <w:div w:id="1196431988">
          <w:marLeft w:val="0"/>
          <w:marRight w:val="0"/>
          <w:marTop w:val="0"/>
          <w:marBottom w:val="0"/>
          <w:divBdr>
            <w:top w:val="none" w:sz="0" w:space="0" w:color="auto"/>
            <w:left w:val="none" w:sz="0" w:space="0" w:color="auto"/>
            <w:bottom w:val="none" w:sz="0" w:space="0" w:color="auto"/>
            <w:right w:val="none" w:sz="0" w:space="0" w:color="auto"/>
          </w:divBdr>
        </w:div>
        <w:div w:id="1833134711">
          <w:marLeft w:val="0"/>
          <w:marRight w:val="0"/>
          <w:marTop w:val="0"/>
          <w:marBottom w:val="0"/>
          <w:divBdr>
            <w:top w:val="none" w:sz="0" w:space="0" w:color="auto"/>
            <w:left w:val="none" w:sz="0" w:space="0" w:color="auto"/>
            <w:bottom w:val="none" w:sz="0" w:space="0" w:color="auto"/>
            <w:right w:val="none" w:sz="0" w:space="0" w:color="auto"/>
          </w:divBdr>
        </w:div>
        <w:div w:id="1931159845">
          <w:marLeft w:val="0"/>
          <w:marRight w:val="0"/>
          <w:marTop w:val="0"/>
          <w:marBottom w:val="0"/>
          <w:divBdr>
            <w:top w:val="none" w:sz="0" w:space="0" w:color="auto"/>
            <w:left w:val="none" w:sz="0" w:space="0" w:color="auto"/>
            <w:bottom w:val="none" w:sz="0" w:space="0" w:color="auto"/>
            <w:right w:val="none" w:sz="0" w:space="0" w:color="auto"/>
          </w:divBdr>
        </w:div>
        <w:div w:id="360477186">
          <w:marLeft w:val="0"/>
          <w:marRight w:val="0"/>
          <w:marTop w:val="0"/>
          <w:marBottom w:val="0"/>
          <w:divBdr>
            <w:top w:val="none" w:sz="0" w:space="0" w:color="auto"/>
            <w:left w:val="none" w:sz="0" w:space="0" w:color="auto"/>
            <w:bottom w:val="none" w:sz="0" w:space="0" w:color="auto"/>
            <w:right w:val="none" w:sz="0" w:space="0" w:color="auto"/>
          </w:divBdr>
        </w:div>
        <w:div w:id="1395271377">
          <w:marLeft w:val="0"/>
          <w:marRight w:val="0"/>
          <w:marTop w:val="0"/>
          <w:marBottom w:val="0"/>
          <w:divBdr>
            <w:top w:val="none" w:sz="0" w:space="0" w:color="auto"/>
            <w:left w:val="none" w:sz="0" w:space="0" w:color="auto"/>
            <w:bottom w:val="none" w:sz="0" w:space="0" w:color="auto"/>
            <w:right w:val="none" w:sz="0" w:space="0" w:color="auto"/>
          </w:divBdr>
        </w:div>
        <w:div w:id="659430576">
          <w:marLeft w:val="0"/>
          <w:marRight w:val="0"/>
          <w:marTop w:val="0"/>
          <w:marBottom w:val="0"/>
          <w:divBdr>
            <w:top w:val="none" w:sz="0" w:space="0" w:color="auto"/>
            <w:left w:val="none" w:sz="0" w:space="0" w:color="auto"/>
            <w:bottom w:val="none" w:sz="0" w:space="0" w:color="auto"/>
            <w:right w:val="none" w:sz="0" w:space="0" w:color="auto"/>
          </w:divBdr>
        </w:div>
        <w:div w:id="575013733">
          <w:marLeft w:val="0"/>
          <w:marRight w:val="0"/>
          <w:marTop w:val="0"/>
          <w:marBottom w:val="0"/>
          <w:divBdr>
            <w:top w:val="none" w:sz="0" w:space="0" w:color="auto"/>
            <w:left w:val="none" w:sz="0" w:space="0" w:color="auto"/>
            <w:bottom w:val="none" w:sz="0" w:space="0" w:color="auto"/>
            <w:right w:val="none" w:sz="0" w:space="0" w:color="auto"/>
          </w:divBdr>
        </w:div>
        <w:div w:id="1262880417">
          <w:marLeft w:val="0"/>
          <w:marRight w:val="0"/>
          <w:marTop w:val="0"/>
          <w:marBottom w:val="0"/>
          <w:divBdr>
            <w:top w:val="none" w:sz="0" w:space="0" w:color="auto"/>
            <w:left w:val="none" w:sz="0" w:space="0" w:color="auto"/>
            <w:bottom w:val="none" w:sz="0" w:space="0" w:color="auto"/>
            <w:right w:val="none" w:sz="0" w:space="0" w:color="auto"/>
          </w:divBdr>
        </w:div>
        <w:div w:id="1564214397">
          <w:marLeft w:val="0"/>
          <w:marRight w:val="0"/>
          <w:marTop w:val="0"/>
          <w:marBottom w:val="0"/>
          <w:divBdr>
            <w:top w:val="none" w:sz="0" w:space="0" w:color="auto"/>
            <w:left w:val="none" w:sz="0" w:space="0" w:color="auto"/>
            <w:bottom w:val="none" w:sz="0" w:space="0" w:color="auto"/>
            <w:right w:val="none" w:sz="0" w:space="0" w:color="auto"/>
          </w:divBdr>
        </w:div>
        <w:div w:id="647318177">
          <w:marLeft w:val="0"/>
          <w:marRight w:val="0"/>
          <w:marTop w:val="0"/>
          <w:marBottom w:val="0"/>
          <w:divBdr>
            <w:top w:val="none" w:sz="0" w:space="0" w:color="auto"/>
            <w:left w:val="none" w:sz="0" w:space="0" w:color="auto"/>
            <w:bottom w:val="none" w:sz="0" w:space="0" w:color="auto"/>
            <w:right w:val="none" w:sz="0" w:space="0" w:color="auto"/>
          </w:divBdr>
        </w:div>
        <w:div w:id="591935764">
          <w:marLeft w:val="0"/>
          <w:marRight w:val="0"/>
          <w:marTop w:val="0"/>
          <w:marBottom w:val="0"/>
          <w:divBdr>
            <w:top w:val="none" w:sz="0" w:space="0" w:color="auto"/>
            <w:left w:val="none" w:sz="0" w:space="0" w:color="auto"/>
            <w:bottom w:val="none" w:sz="0" w:space="0" w:color="auto"/>
            <w:right w:val="none" w:sz="0" w:space="0" w:color="auto"/>
          </w:divBdr>
        </w:div>
        <w:div w:id="1154222004">
          <w:marLeft w:val="0"/>
          <w:marRight w:val="0"/>
          <w:marTop w:val="0"/>
          <w:marBottom w:val="0"/>
          <w:divBdr>
            <w:top w:val="none" w:sz="0" w:space="0" w:color="auto"/>
            <w:left w:val="none" w:sz="0" w:space="0" w:color="auto"/>
            <w:bottom w:val="none" w:sz="0" w:space="0" w:color="auto"/>
            <w:right w:val="none" w:sz="0" w:space="0" w:color="auto"/>
          </w:divBdr>
        </w:div>
        <w:div w:id="115105931">
          <w:marLeft w:val="0"/>
          <w:marRight w:val="0"/>
          <w:marTop w:val="0"/>
          <w:marBottom w:val="0"/>
          <w:divBdr>
            <w:top w:val="none" w:sz="0" w:space="0" w:color="auto"/>
            <w:left w:val="none" w:sz="0" w:space="0" w:color="auto"/>
            <w:bottom w:val="none" w:sz="0" w:space="0" w:color="auto"/>
            <w:right w:val="none" w:sz="0" w:space="0" w:color="auto"/>
          </w:divBdr>
        </w:div>
        <w:div w:id="1338387991">
          <w:marLeft w:val="0"/>
          <w:marRight w:val="0"/>
          <w:marTop w:val="0"/>
          <w:marBottom w:val="0"/>
          <w:divBdr>
            <w:top w:val="none" w:sz="0" w:space="0" w:color="auto"/>
            <w:left w:val="none" w:sz="0" w:space="0" w:color="auto"/>
            <w:bottom w:val="none" w:sz="0" w:space="0" w:color="auto"/>
            <w:right w:val="none" w:sz="0" w:space="0" w:color="auto"/>
          </w:divBdr>
        </w:div>
        <w:div w:id="1153833130">
          <w:marLeft w:val="0"/>
          <w:marRight w:val="0"/>
          <w:marTop w:val="0"/>
          <w:marBottom w:val="0"/>
          <w:divBdr>
            <w:top w:val="none" w:sz="0" w:space="0" w:color="auto"/>
            <w:left w:val="none" w:sz="0" w:space="0" w:color="auto"/>
            <w:bottom w:val="none" w:sz="0" w:space="0" w:color="auto"/>
            <w:right w:val="none" w:sz="0" w:space="0" w:color="auto"/>
          </w:divBdr>
        </w:div>
        <w:div w:id="1162503175">
          <w:marLeft w:val="0"/>
          <w:marRight w:val="0"/>
          <w:marTop w:val="0"/>
          <w:marBottom w:val="0"/>
          <w:divBdr>
            <w:top w:val="none" w:sz="0" w:space="0" w:color="auto"/>
            <w:left w:val="none" w:sz="0" w:space="0" w:color="auto"/>
            <w:bottom w:val="none" w:sz="0" w:space="0" w:color="auto"/>
            <w:right w:val="none" w:sz="0" w:space="0" w:color="auto"/>
          </w:divBdr>
        </w:div>
      </w:divsChild>
    </w:div>
    <w:div w:id="2102556049">
      <w:bodyDiv w:val="1"/>
      <w:marLeft w:val="0"/>
      <w:marRight w:val="0"/>
      <w:marTop w:val="0"/>
      <w:marBottom w:val="0"/>
      <w:divBdr>
        <w:top w:val="none" w:sz="0" w:space="0" w:color="auto"/>
        <w:left w:val="none" w:sz="0" w:space="0" w:color="auto"/>
        <w:bottom w:val="none" w:sz="0" w:space="0" w:color="auto"/>
        <w:right w:val="none" w:sz="0" w:space="0" w:color="auto"/>
      </w:divBdr>
    </w:div>
    <w:div w:id="2103723818">
      <w:bodyDiv w:val="1"/>
      <w:marLeft w:val="0"/>
      <w:marRight w:val="0"/>
      <w:marTop w:val="0"/>
      <w:marBottom w:val="0"/>
      <w:divBdr>
        <w:top w:val="none" w:sz="0" w:space="0" w:color="auto"/>
        <w:left w:val="none" w:sz="0" w:space="0" w:color="auto"/>
        <w:bottom w:val="none" w:sz="0" w:space="0" w:color="auto"/>
        <w:right w:val="none" w:sz="0" w:space="0" w:color="auto"/>
      </w:divBdr>
    </w:div>
    <w:div w:id="2103842804">
      <w:bodyDiv w:val="1"/>
      <w:marLeft w:val="0"/>
      <w:marRight w:val="0"/>
      <w:marTop w:val="0"/>
      <w:marBottom w:val="0"/>
      <w:divBdr>
        <w:top w:val="none" w:sz="0" w:space="0" w:color="auto"/>
        <w:left w:val="none" w:sz="0" w:space="0" w:color="auto"/>
        <w:bottom w:val="none" w:sz="0" w:space="0" w:color="auto"/>
        <w:right w:val="none" w:sz="0" w:space="0" w:color="auto"/>
      </w:divBdr>
      <w:divsChild>
        <w:div w:id="402334879">
          <w:marLeft w:val="547"/>
          <w:marRight w:val="0"/>
          <w:marTop w:val="0"/>
          <w:marBottom w:val="0"/>
          <w:divBdr>
            <w:top w:val="none" w:sz="0" w:space="0" w:color="auto"/>
            <w:left w:val="none" w:sz="0" w:space="0" w:color="auto"/>
            <w:bottom w:val="none" w:sz="0" w:space="0" w:color="auto"/>
            <w:right w:val="none" w:sz="0" w:space="0" w:color="auto"/>
          </w:divBdr>
        </w:div>
      </w:divsChild>
    </w:div>
    <w:div w:id="2106000221">
      <w:bodyDiv w:val="1"/>
      <w:marLeft w:val="0"/>
      <w:marRight w:val="0"/>
      <w:marTop w:val="0"/>
      <w:marBottom w:val="0"/>
      <w:divBdr>
        <w:top w:val="none" w:sz="0" w:space="0" w:color="auto"/>
        <w:left w:val="none" w:sz="0" w:space="0" w:color="auto"/>
        <w:bottom w:val="none" w:sz="0" w:space="0" w:color="auto"/>
        <w:right w:val="none" w:sz="0" w:space="0" w:color="auto"/>
      </w:divBdr>
    </w:div>
    <w:div w:id="2112122512">
      <w:bodyDiv w:val="1"/>
      <w:marLeft w:val="0"/>
      <w:marRight w:val="0"/>
      <w:marTop w:val="0"/>
      <w:marBottom w:val="0"/>
      <w:divBdr>
        <w:top w:val="none" w:sz="0" w:space="0" w:color="auto"/>
        <w:left w:val="none" w:sz="0" w:space="0" w:color="auto"/>
        <w:bottom w:val="none" w:sz="0" w:space="0" w:color="auto"/>
        <w:right w:val="none" w:sz="0" w:space="0" w:color="auto"/>
      </w:divBdr>
      <w:divsChild>
        <w:div w:id="109206193">
          <w:marLeft w:val="0"/>
          <w:marRight w:val="0"/>
          <w:marTop w:val="0"/>
          <w:marBottom w:val="0"/>
          <w:divBdr>
            <w:top w:val="none" w:sz="0" w:space="0" w:color="auto"/>
            <w:left w:val="none" w:sz="0" w:space="0" w:color="auto"/>
            <w:bottom w:val="none" w:sz="0" w:space="0" w:color="auto"/>
            <w:right w:val="none" w:sz="0" w:space="0" w:color="auto"/>
          </w:divBdr>
        </w:div>
        <w:div w:id="1627197354">
          <w:marLeft w:val="0"/>
          <w:marRight w:val="0"/>
          <w:marTop w:val="0"/>
          <w:marBottom w:val="0"/>
          <w:divBdr>
            <w:top w:val="none" w:sz="0" w:space="0" w:color="auto"/>
            <w:left w:val="none" w:sz="0" w:space="0" w:color="auto"/>
            <w:bottom w:val="none" w:sz="0" w:space="0" w:color="auto"/>
            <w:right w:val="none" w:sz="0" w:space="0" w:color="auto"/>
          </w:divBdr>
        </w:div>
        <w:div w:id="1790658563">
          <w:marLeft w:val="0"/>
          <w:marRight w:val="0"/>
          <w:marTop w:val="0"/>
          <w:marBottom w:val="0"/>
          <w:divBdr>
            <w:top w:val="none" w:sz="0" w:space="0" w:color="auto"/>
            <w:left w:val="none" w:sz="0" w:space="0" w:color="auto"/>
            <w:bottom w:val="none" w:sz="0" w:space="0" w:color="auto"/>
            <w:right w:val="none" w:sz="0" w:space="0" w:color="auto"/>
          </w:divBdr>
        </w:div>
        <w:div w:id="912205362">
          <w:marLeft w:val="0"/>
          <w:marRight w:val="0"/>
          <w:marTop w:val="0"/>
          <w:marBottom w:val="0"/>
          <w:divBdr>
            <w:top w:val="none" w:sz="0" w:space="0" w:color="auto"/>
            <w:left w:val="none" w:sz="0" w:space="0" w:color="auto"/>
            <w:bottom w:val="none" w:sz="0" w:space="0" w:color="auto"/>
            <w:right w:val="none" w:sz="0" w:space="0" w:color="auto"/>
          </w:divBdr>
        </w:div>
        <w:div w:id="1790271699">
          <w:marLeft w:val="0"/>
          <w:marRight w:val="0"/>
          <w:marTop w:val="0"/>
          <w:marBottom w:val="0"/>
          <w:divBdr>
            <w:top w:val="none" w:sz="0" w:space="0" w:color="auto"/>
            <w:left w:val="none" w:sz="0" w:space="0" w:color="auto"/>
            <w:bottom w:val="none" w:sz="0" w:space="0" w:color="auto"/>
            <w:right w:val="none" w:sz="0" w:space="0" w:color="auto"/>
          </w:divBdr>
        </w:div>
        <w:div w:id="561524701">
          <w:marLeft w:val="0"/>
          <w:marRight w:val="0"/>
          <w:marTop w:val="0"/>
          <w:marBottom w:val="0"/>
          <w:divBdr>
            <w:top w:val="none" w:sz="0" w:space="0" w:color="auto"/>
            <w:left w:val="none" w:sz="0" w:space="0" w:color="auto"/>
            <w:bottom w:val="none" w:sz="0" w:space="0" w:color="auto"/>
            <w:right w:val="none" w:sz="0" w:space="0" w:color="auto"/>
          </w:divBdr>
        </w:div>
        <w:div w:id="1322201391">
          <w:marLeft w:val="0"/>
          <w:marRight w:val="0"/>
          <w:marTop w:val="0"/>
          <w:marBottom w:val="0"/>
          <w:divBdr>
            <w:top w:val="none" w:sz="0" w:space="0" w:color="auto"/>
            <w:left w:val="none" w:sz="0" w:space="0" w:color="auto"/>
            <w:bottom w:val="none" w:sz="0" w:space="0" w:color="auto"/>
            <w:right w:val="none" w:sz="0" w:space="0" w:color="auto"/>
          </w:divBdr>
        </w:div>
        <w:div w:id="2032029019">
          <w:marLeft w:val="0"/>
          <w:marRight w:val="0"/>
          <w:marTop w:val="0"/>
          <w:marBottom w:val="0"/>
          <w:divBdr>
            <w:top w:val="none" w:sz="0" w:space="0" w:color="auto"/>
            <w:left w:val="none" w:sz="0" w:space="0" w:color="auto"/>
            <w:bottom w:val="none" w:sz="0" w:space="0" w:color="auto"/>
            <w:right w:val="none" w:sz="0" w:space="0" w:color="auto"/>
          </w:divBdr>
        </w:div>
        <w:div w:id="685404148">
          <w:marLeft w:val="0"/>
          <w:marRight w:val="0"/>
          <w:marTop w:val="0"/>
          <w:marBottom w:val="0"/>
          <w:divBdr>
            <w:top w:val="none" w:sz="0" w:space="0" w:color="auto"/>
            <w:left w:val="none" w:sz="0" w:space="0" w:color="auto"/>
            <w:bottom w:val="none" w:sz="0" w:space="0" w:color="auto"/>
            <w:right w:val="none" w:sz="0" w:space="0" w:color="auto"/>
          </w:divBdr>
        </w:div>
      </w:divsChild>
    </w:div>
    <w:div w:id="2122068229">
      <w:bodyDiv w:val="1"/>
      <w:marLeft w:val="0"/>
      <w:marRight w:val="0"/>
      <w:marTop w:val="0"/>
      <w:marBottom w:val="0"/>
      <w:divBdr>
        <w:top w:val="none" w:sz="0" w:space="0" w:color="auto"/>
        <w:left w:val="none" w:sz="0" w:space="0" w:color="auto"/>
        <w:bottom w:val="none" w:sz="0" w:space="0" w:color="auto"/>
        <w:right w:val="none" w:sz="0" w:space="0" w:color="auto"/>
      </w:divBdr>
    </w:div>
    <w:div w:id="2131508866">
      <w:bodyDiv w:val="1"/>
      <w:marLeft w:val="0"/>
      <w:marRight w:val="0"/>
      <w:marTop w:val="0"/>
      <w:marBottom w:val="0"/>
      <w:divBdr>
        <w:top w:val="none" w:sz="0" w:space="0" w:color="auto"/>
        <w:left w:val="none" w:sz="0" w:space="0" w:color="auto"/>
        <w:bottom w:val="none" w:sz="0" w:space="0" w:color="auto"/>
        <w:right w:val="none" w:sz="0" w:space="0" w:color="auto"/>
      </w:divBdr>
    </w:div>
    <w:div w:id="2134664642">
      <w:bodyDiv w:val="1"/>
      <w:marLeft w:val="0"/>
      <w:marRight w:val="0"/>
      <w:marTop w:val="0"/>
      <w:marBottom w:val="0"/>
      <w:divBdr>
        <w:top w:val="none" w:sz="0" w:space="0" w:color="auto"/>
        <w:left w:val="none" w:sz="0" w:space="0" w:color="auto"/>
        <w:bottom w:val="none" w:sz="0" w:space="0" w:color="auto"/>
        <w:right w:val="none" w:sz="0" w:space="0" w:color="auto"/>
      </w:divBdr>
    </w:div>
    <w:div w:id="2137212866">
      <w:bodyDiv w:val="1"/>
      <w:marLeft w:val="0"/>
      <w:marRight w:val="0"/>
      <w:marTop w:val="0"/>
      <w:marBottom w:val="0"/>
      <w:divBdr>
        <w:top w:val="none" w:sz="0" w:space="0" w:color="auto"/>
        <w:left w:val="none" w:sz="0" w:space="0" w:color="auto"/>
        <w:bottom w:val="none" w:sz="0" w:space="0" w:color="auto"/>
        <w:right w:val="none" w:sz="0" w:space="0" w:color="auto"/>
      </w:divBdr>
    </w:div>
    <w:div w:id="2137790062">
      <w:bodyDiv w:val="1"/>
      <w:marLeft w:val="0"/>
      <w:marRight w:val="0"/>
      <w:marTop w:val="0"/>
      <w:marBottom w:val="0"/>
      <w:divBdr>
        <w:top w:val="none" w:sz="0" w:space="0" w:color="auto"/>
        <w:left w:val="none" w:sz="0" w:space="0" w:color="auto"/>
        <w:bottom w:val="none" w:sz="0" w:space="0" w:color="auto"/>
        <w:right w:val="none" w:sz="0" w:space="0" w:color="auto"/>
      </w:divBdr>
    </w:div>
    <w:div w:id="2140609622">
      <w:bodyDiv w:val="1"/>
      <w:marLeft w:val="0"/>
      <w:marRight w:val="0"/>
      <w:marTop w:val="0"/>
      <w:marBottom w:val="0"/>
      <w:divBdr>
        <w:top w:val="none" w:sz="0" w:space="0" w:color="auto"/>
        <w:left w:val="none" w:sz="0" w:space="0" w:color="auto"/>
        <w:bottom w:val="none" w:sz="0" w:space="0" w:color="auto"/>
        <w:right w:val="none" w:sz="0" w:space="0" w:color="auto"/>
      </w:divBdr>
    </w:div>
    <w:div w:id="2144763854">
      <w:bodyDiv w:val="1"/>
      <w:marLeft w:val="0"/>
      <w:marRight w:val="0"/>
      <w:marTop w:val="0"/>
      <w:marBottom w:val="0"/>
      <w:divBdr>
        <w:top w:val="none" w:sz="0" w:space="0" w:color="auto"/>
        <w:left w:val="none" w:sz="0" w:space="0" w:color="auto"/>
        <w:bottom w:val="none" w:sz="0" w:space="0" w:color="auto"/>
        <w:right w:val="none" w:sz="0" w:space="0" w:color="auto"/>
      </w:divBdr>
    </w:div>
    <w:div w:id="2144881158">
      <w:bodyDiv w:val="1"/>
      <w:marLeft w:val="0"/>
      <w:marRight w:val="0"/>
      <w:marTop w:val="0"/>
      <w:marBottom w:val="0"/>
      <w:divBdr>
        <w:top w:val="none" w:sz="0" w:space="0" w:color="auto"/>
        <w:left w:val="none" w:sz="0" w:space="0" w:color="auto"/>
        <w:bottom w:val="none" w:sz="0" w:space="0" w:color="auto"/>
        <w:right w:val="none" w:sz="0" w:space="0" w:color="auto"/>
      </w:divBdr>
      <w:divsChild>
        <w:div w:id="2067220545">
          <w:marLeft w:val="0"/>
          <w:marRight w:val="0"/>
          <w:marTop w:val="0"/>
          <w:marBottom w:val="0"/>
          <w:divBdr>
            <w:top w:val="none" w:sz="0" w:space="0" w:color="auto"/>
            <w:left w:val="none" w:sz="0" w:space="0" w:color="auto"/>
            <w:bottom w:val="none" w:sz="0" w:space="0" w:color="auto"/>
            <w:right w:val="none" w:sz="0" w:space="0" w:color="auto"/>
          </w:divBdr>
        </w:div>
        <w:div w:id="2082831652">
          <w:marLeft w:val="0"/>
          <w:marRight w:val="0"/>
          <w:marTop w:val="0"/>
          <w:marBottom w:val="0"/>
          <w:divBdr>
            <w:top w:val="none" w:sz="0" w:space="0" w:color="auto"/>
            <w:left w:val="none" w:sz="0" w:space="0" w:color="auto"/>
            <w:bottom w:val="none" w:sz="0" w:space="0" w:color="auto"/>
            <w:right w:val="none" w:sz="0" w:space="0" w:color="auto"/>
          </w:divBdr>
        </w:div>
        <w:div w:id="2142116912">
          <w:marLeft w:val="0"/>
          <w:marRight w:val="0"/>
          <w:marTop w:val="0"/>
          <w:marBottom w:val="0"/>
          <w:divBdr>
            <w:top w:val="none" w:sz="0" w:space="0" w:color="auto"/>
            <w:left w:val="none" w:sz="0" w:space="0" w:color="auto"/>
            <w:bottom w:val="none" w:sz="0" w:space="0" w:color="auto"/>
            <w:right w:val="none" w:sz="0" w:space="0" w:color="auto"/>
          </w:divBdr>
        </w:div>
      </w:divsChild>
    </w:div>
    <w:div w:id="2147359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2.xml"/><Relationship Id="rId117" Type="http://schemas.openxmlformats.org/officeDocument/2006/relationships/image" Target="media/image47.jpeg"/><Relationship Id="rId21" Type="http://schemas.openxmlformats.org/officeDocument/2006/relationships/diagramQuickStyle" Target="diagrams/quickStyle1.xml"/><Relationship Id="rId42" Type="http://schemas.openxmlformats.org/officeDocument/2006/relationships/hyperlink" Target="http://ec.europa.eu/europe2020/europe-2020-in-a-nutshell/targets/index_pl.htm" TargetMode="External"/><Relationship Id="rId47" Type="http://schemas.openxmlformats.org/officeDocument/2006/relationships/diagramColors" Target="diagrams/colors4.xml"/><Relationship Id="rId63" Type="http://schemas.openxmlformats.org/officeDocument/2006/relationships/image" Target="media/image28.png"/><Relationship Id="rId68" Type="http://schemas.openxmlformats.org/officeDocument/2006/relationships/chart" Target="charts/chart16.xml"/><Relationship Id="rId84" Type="http://schemas.openxmlformats.org/officeDocument/2006/relationships/image" Target="media/image35.jpeg"/><Relationship Id="rId89" Type="http://schemas.openxmlformats.org/officeDocument/2006/relationships/image" Target="media/image37.jpeg"/><Relationship Id="rId112" Type="http://schemas.openxmlformats.org/officeDocument/2006/relationships/chart" Target="charts/chart44.xml"/><Relationship Id="rId16" Type="http://schemas.openxmlformats.org/officeDocument/2006/relationships/image" Target="media/image5.jpeg"/><Relationship Id="rId107" Type="http://schemas.openxmlformats.org/officeDocument/2006/relationships/chart" Target="charts/chart41.xml"/><Relationship Id="rId11" Type="http://schemas.openxmlformats.org/officeDocument/2006/relationships/image" Target="media/image3.jpeg"/><Relationship Id="rId32" Type="http://schemas.openxmlformats.org/officeDocument/2006/relationships/diagramData" Target="diagrams/data3.xml"/><Relationship Id="rId37" Type="http://schemas.openxmlformats.org/officeDocument/2006/relationships/image" Target="media/image19.png"/><Relationship Id="rId53" Type="http://schemas.openxmlformats.org/officeDocument/2006/relationships/image" Target="media/image22.emf"/><Relationship Id="rId58" Type="http://schemas.openxmlformats.org/officeDocument/2006/relationships/chart" Target="charts/chart11.xml"/><Relationship Id="rId74" Type="http://schemas.openxmlformats.org/officeDocument/2006/relationships/image" Target="media/image31.jpeg"/><Relationship Id="rId79" Type="http://schemas.openxmlformats.org/officeDocument/2006/relationships/image" Target="media/image33.jpeg"/><Relationship Id="rId102" Type="http://schemas.openxmlformats.org/officeDocument/2006/relationships/chart" Target="charts/chart38.xml"/><Relationship Id="rId123"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image" Target="media/image27.png"/><Relationship Id="rId82" Type="http://schemas.openxmlformats.org/officeDocument/2006/relationships/chart" Target="charts/chart25.xml"/><Relationship Id="rId90" Type="http://schemas.openxmlformats.org/officeDocument/2006/relationships/chart" Target="charts/chart30.xml"/><Relationship Id="rId95" Type="http://schemas.openxmlformats.org/officeDocument/2006/relationships/chart" Target="charts/chart33.xml"/><Relationship Id="rId19" Type="http://schemas.openxmlformats.org/officeDocument/2006/relationships/diagramData" Target="diagrams/data1.xml"/><Relationship Id="rId14" Type="http://schemas.openxmlformats.org/officeDocument/2006/relationships/chart" Target="charts/chart2.xml"/><Relationship Id="rId22" Type="http://schemas.openxmlformats.org/officeDocument/2006/relationships/diagramColors" Target="diagrams/colors1.xml"/><Relationship Id="rId27" Type="http://schemas.openxmlformats.org/officeDocument/2006/relationships/diagramColors" Target="diagrams/colors2.xml"/><Relationship Id="rId30" Type="http://schemas.openxmlformats.org/officeDocument/2006/relationships/image" Target="media/image18.jpg"/><Relationship Id="rId35" Type="http://schemas.openxmlformats.org/officeDocument/2006/relationships/diagramColors" Target="diagrams/colors3.xml"/><Relationship Id="rId43" Type="http://schemas.openxmlformats.org/officeDocument/2006/relationships/image" Target="media/image21.jpeg"/><Relationship Id="rId48" Type="http://schemas.microsoft.com/office/2007/relationships/diagramDrawing" Target="diagrams/drawing4.xml"/><Relationship Id="rId56" Type="http://schemas.openxmlformats.org/officeDocument/2006/relationships/image" Target="media/image24.png"/><Relationship Id="rId64" Type="http://schemas.openxmlformats.org/officeDocument/2006/relationships/chart" Target="charts/chart13.xml"/><Relationship Id="rId69" Type="http://schemas.openxmlformats.org/officeDocument/2006/relationships/chart" Target="charts/chart17.xml"/><Relationship Id="rId77" Type="http://schemas.openxmlformats.org/officeDocument/2006/relationships/chart" Target="charts/chart22.xml"/><Relationship Id="rId100" Type="http://schemas.openxmlformats.org/officeDocument/2006/relationships/image" Target="media/image41.jpeg"/><Relationship Id="rId105" Type="http://schemas.openxmlformats.org/officeDocument/2006/relationships/image" Target="media/image43.jpeg"/><Relationship Id="rId113" Type="http://schemas.openxmlformats.org/officeDocument/2006/relationships/image" Target="media/image46.jpeg"/><Relationship Id="rId118" Type="http://schemas.openxmlformats.org/officeDocument/2006/relationships/image" Target="media/image48.jpeg"/><Relationship Id="rId8" Type="http://schemas.openxmlformats.org/officeDocument/2006/relationships/endnotes" Target="endnotes.xml"/><Relationship Id="rId51" Type="http://schemas.openxmlformats.org/officeDocument/2006/relationships/footer" Target="footer1.xml"/><Relationship Id="rId72" Type="http://schemas.openxmlformats.org/officeDocument/2006/relationships/chart" Target="charts/chart19.xml"/><Relationship Id="rId80" Type="http://schemas.openxmlformats.org/officeDocument/2006/relationships/chart" Target="charts/chart24.xml"/><Relationship Id="rId85" Type="http://schemas.openxmlformats.org/officeDocument/2006/relationships/chart" Target="charts/chart27.xml"/><Relationship Id="rId93" Type="http://schemas.openxmlformats.org/officeDocument/2006/relationships/chart" Target="charts/chart32.xml"/><Relationship Id="rId98" Type="http://schemas.openxmlformats.org/officeDocument/2006/relationships/image" Target="media/image40.jpeg"/><Relationship Id="rId121"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diagramLayout" Target="diagrams/layout2.xml"/><Relationship Id="rId33" Type="http://schemas.openxmlformats.org/officeDocument/2006/relationships/diagramLayout" Target="diagrams/layout3.xml"/><Relationship Id="rId38" Type="http://schemas.openxmlformats.org/officeDocument/2006/relationships/chart" Target="charts/chart6.xml"/><Relationship Id="rId46" Type="http://schemas.openxmlformats.org/officeDocument/2006/relationships/diagramQuickStyle" Target="diagrams/quickStyle4.xml"/><Relationship Id="rId59" Type="http://schemas.openxmlformats.org/officeDocument/2006/relationships/image" Target="media/image25.png"/><Relationship Id="rId67" Type="http://schemas.openxmlformats.org/officeDocument/2006/relationships/chart" Target="charts/chart15.xml"/><Relationship Id="rId103" Type="http://schemas.openxmlformats.org/officeDocument/2006/relationships/image" Target="media/image42.jpeg"/><Relationship Id="rId108" Type="http://schemas.openxmlformats.org/officeDocument/2006/relationships/image" Target="media/image44.jpeg"/><Relationship Id="rId116" Type="http://schemas.openxmlformats.org/officeDocument/2006/relationships/chart" Target="charts/chart47.xml"/><Relationship Id="rId124" Type="http://schemas.openxmlformats.org/officeDocument/2006/relationships/fontTable" Target="fontTable.xml"/><Relationship Id="rId20" Type="http://schemas.openxmlformats.org/officeDocument/2006/relationships/diagramLayout" Target="diagrams/layout1.xml"/><Relationship Id="rId41" Type="http://schemas.openxmlformats.org/officeDocument/2006/relationships/image" Target="media/image20.jpeg"/><Relationship Id="rId54" Type="http://schemas.openxmlformats.org/officeDocument/2006/relationships/chart" Target="charts/chart9.xml"/><Relationship Id="rId62" Type="http://schemas.openxmlformats.org/officeDocument/2006/relationships/chart" Target="charts/chart12.xml"/><Relationship Id="rId70" Type="http://schemas.openxmlformats.org/officeDocument/2006/relationships/chart" Target="charts/chart18.xml"/><Relationship Id="rId75" Type="http://schemas.openxmlformats.org/officeDocument/2006/relationships/chart" Target="charts/chart21.xml"/><Relationship Id="rId83" Type="http://schemas.openxmlformats.org/officeDocument/2006/relationships/chart" Target="charts/chart26.xml"/><Relationship Id="rId88" Type="http://schemas.openxmlformats.org/officeDocument/2006/relationships/chart" Target="charts/chart29.xml"/><Relationship Id="rId91" Type="http://schemas.openxmlformats.org/officeDocument/2006/relationships/image" Target="media/image38.jpeg"/><Relationship Id="rId96" Type="http://schemas.openxmlformats.org/officeDocument/2006/relationships/chart" Target="charts/chart34.xml"/><Relationship Id="rId111" Type="http://schemas.openxmlformats.org/officeDocument/2006/relationships/chart" Target="charts/chart4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3.xml"/><Relationship Id="rId23" Type="http://schemas.microsoft.com/office/2007/relationships/diagramDrawing" Target="diagrams/drawing1.xml"/><Relationship Id="rId28" Type="http://schemas.microsoft.com/office/2007/relationships/diagramDrawing" Target="diagrams/drawing2.xml"/><Relationship Id="rId36" Type="http://schemas.microsoft.com/office/2007/relationships/diagramDrawing" Target="diagrams/drawing3.xml"/><Relationship Id="rId49" Type="http://schemas.openxmlformats.org/officeDocument/2006/relationships/header" Target="header1.xml"/><Relationship Id="rId57" Type="http://schemas.openxmlformats.org/officeDocument/2006/relationships/chart" Target="charts/chart10.xml"/><Relationship Id="rId106" Type="http://schemas.openxmlformats.org/officeDocument/2006/relationships/chart" Target="charts/chart40.xml"/><Relationship Id="rId114" Type="http://schemas.openxmlformats.org/officeDocument/2006/relationships/chart" Target="charts/chart45.xml"/><Relationship Id="rId119"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chart" Target="charts/chart5.xml"/><Relationship Id="rId44" Type="http://schemas.openxmlformats.org/officeDocument/2006/relationships/diagramData" Target="diagrams/data4.xml"/><Relationship Id="rId52" Type="http://schemas.openxmlformats.org/officeDocument/2006/relationships/header" Target="header3.xml"/><Relationship Id="rId60" Type="http://schemas.openxmlformats.org/officeDocument/2006/relationships/image" Target="media/image26.png"/><Relationship Id="rId65" Type="http://schemas.openxmlformats.org/officeDocument/2006/relationships/image" Target="media/image29.png"/><Relationship Id="rId73" Type="http://schemas.openxmlformats.org/officeDocument/2006/relationships/chart" Target="charts/chart20.xml"/><Relationship Id="rId78" Type="http://schemas.openxmlformats.org/officeDocument/2006/relationships/chart" Target="charts/chart23.xml"/><Relationship Id="rId81" Type="http://schemas.openxmlformats.org/officeDocument/2006/relationships/image" Target="media/image34.jpeg"/><Relationship Id="rId86" Type="http://schemas.openxmlformats.org/officeDocument/2006/relationships/image" Target="media/image36.png"/><Relationship Id="rId94" Type="http://schemas.openxmlformats.org/officeDocument/2006/relationships/image" Target="media/image39.jpeg"/><Relationship Id="rId99" Type="http://schemas.openxmlformats.org/officeDocument/2006/relationships/chart" Target="charts/chart36.xml"/><Relationship Id="rId101" Type="http://schemas.openxmlformats.org/officeDocument/2006/relationships/chart" Target="charts/chart37.xml"/><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chart" Target="charts/chart4.xml"/><Relationship Id="rId39" Type="http://schemas.openxmlformats.org/officeDocument/2006/relationships/chart" Target="charts/chart7.xml"/><Relationship Id="rId109" Type="http://schemas.openxmlformats.org/officeDocument/2006/relationships/chart" Target="charts/chart42.xml"/><Relationship Id="rId34" Type="http://schemas.openxmlformats.org/officeDocument/2006/relationships/diagramQuickStyle" Target="diagrams/quickStyle3.xml"/><Relationship Id="rId50" Type="http://schemas.openxmlformats.org/officeDocument/2006/relationships/header" Target="header2.xml"/><Relationship Id="rId55" Type="http://schemas.openxmlformats.org/officeDocument/2006/relationships/image" Target="media/image23.png"/><Relationship Id="rId76" Type="http://schemas.openxmlformats.org/officeDocument/2006/relationships/image" Target="media/image32.jpeg"/><Relationship Id="rId97" Type="http://schemas.openxmlformats.org/officeDocument/2006/relationships/chart" Target="charts/chart35.xml"/><Relationship Id="rId104" Type="http://schemas.openxmlformats.org/officeDocument/2006/relationships/chart" Target="charts/chart39.xml"/><Relationship Id="rId120" Type="http://schemas.openxmlformats.org/officeDocument/2006/relationships/header" Target="header4.xml"/><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jpeg"/><Relationship Id="rId92" Type="http://schemas.openxmlformats.org/officeDocument/2006/relationships/chart" Target="charts/chart31.xml"/><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diagramData" Target="diagrams/data2.xml"/><Relationship Id="rId40" Type="http://schemas.openxmlformats.org/officeDocument/2006/relationships/chart" Target="charts/chart8.xml"/><Relationship Id="rId45" Type="http://schemas.openxmlformats.org/officeDocument/2006/relationships/diagramLayout" Target="diagrams/layout4.xml"/><Relationship Id="rId66" Type="http://schemas.openxmlformats.org/officeDocument/2006/relationships/chart" Target="charts/chart14.xml"/><Relationship Id="rId87" Type="http://schemas.openxmlformats.org/officeDocument/2006/relationships/chart" Target="charts/chart28.xml"/><Relationship Id="rId110" Type="http://schemas.openxmlformats.org/officeDocument/2006/relationships/image" Target="media/image45.jpeg"/><Relationship Id="rId115" Type="http://schemas.openxmlformats.org/officeDocument/2006/relationships/chart" Target="charts/chart4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umws\root\Common\RR\RRF\!Zesp&#243;&#322;%20ds%20monitoringu\Perspektywa%202007-2013\Sprawozdanie%20ko&#324;cowe\GRZESIU\Wykres%20alokacja%20priorytety.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siejdam\Desktop\demografia%20%202015\Ludno&#347;&#263;%20wg%20wojew&#243;dztw%202015.xlsx" TargetMode="External"/><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oleObject" Target="file:///\\umws\root\DFS\SP_ZASOB\_STRATEGIE%20I%20PROGRAMY\depopulacja%20-dysk\diagnoza%20-%20uaktualnione\demografia%20%202015\ludno&#347;&#263;%20grupy%20wiekowe%20-%20piramida.xlsx" TargetMode="External"/><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umws\root\DFS\SP_ZASOB\_STRATEGIE%20I%20PROGRAMY\depopulacja%20-dysk\stare%20elementy\diagnoza\prognozy\demografia_prognozy_2015.xlsx" TargetMode="External"/></Relationships>
</file>

<file path=word/charts/_rels/chart13.xml.rels><?xml version="1.0" encoding="UTF-8" standalone="yes"?>
<Relationships xmlns="http://schemas.openxmlformats.org/package/2006/relationships"><Relationship Id="rId2" Type="http://schemas.openxmlformats.org/officeDocument/2006/relationships/oleObject" Target="file:///\\umws\root\DFS\SP_ZASOB\_STRATEGIE%20I%20PROGRAMY\depopulacja%20-dysk\diagnoza%20-%20uaktualnione\badanie%20systuacja%20spo&#322;.%20gosp%20os%20do%2030%20r&#380;\pracuj&#261;cy%20wg%20sekcji%20wojew&#243;dztwa.xlsx" TargetMode="External"/><Relationship Id="rId1" Type="http://schemas.openxmlformats.org/officeDocument/2006/relationships/themeOverride" Target="../theme/themeOverride8.xm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oniorp\Desktop\pkb%20na%201%20m_rach.%20szacunki_woj2014_2015.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oniorp\Desktop\pkb%20na%201%20m_rach.%20szacunki_woj2014_2015.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oniorp\Desktop\pkb_szacun_woj_2014_2015.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oniorp\Desktop\pkb_podreg_2000_2014.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koniorp\Desktop\pkb_podreg_2000_2014.xlsx" TargetMode="External"/></Relationships>
</file>

<file path=word/charts/_rels/chart19.xml.rels><?xml version="1.0" encoding="UTF-8" standalone="yes"?>
<Relationships xmlns="http://schemas.openxmlformats.org/package/2006/relationships"><Relationship Id="rId3" Type="http://schemas.openxmlformats.org/officeDocument/2006/relationships/package" Target="../embeddings/Arkusz_programu_Microsoft_Excel5.xlsx"/><Relationship Id="rId2" Type="http://schemas.microsoft.com/office/2011/relationships/chartColorStyle" Target="colors9.xml"/><Relationship Id="rId1" Type="http://schemas.microsoft.com/office/2011/relationships/chartStyle" Target="style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Arkusz_programu_Microsoft_Excel1.xlsx"/></Relationships>
</file>

<file path=word/charts/_rels/chart20.xml.rels><?xml version="1.0" encoding="UTF-8" standalone="yes"?>
<Relationships xmlns="http://schemas.openxmlformats.org/package/2006/relationships"><Relationship Id="rId3" Type="http://schemas.openxmlformats.org/officeDocument/2006/relationships/package" Target="../embeddings/Arkusz_programu_Microsoft_Excel6.xlsx"/><Relationship Id="rId2" Type="http://schemas.microsoft.com/office/2011/relationships/chartColorStyle" Target="colors10.xml"/><Relationship Id="rId1" Type="http://schemas.microsoft.com/office/2011/relationships/chartStyle" Target="style10.xml"/></Relationships>
</file>

<file path=word/charts/_rels/chart21.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Piotr\analiza\wska&#378;niki.xlsx" TargetMode="External"/><Relationship Id="rId2" Type="http://schemas.microsoft.com/office/2011/relationships/chartColorStyle" Target="colors11.xml"/><Relationship Id="rId1" Type="http://schemas.microsoft.com/office/2011/relationships/chartStyle" Target="style1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Arkusz_programu_Microsoft_Excel7.xlsx"/><Relationship Id="rId2" Type="http://schemas.microsoft.com/office/2011/relationships/chartColorStyle" Target="colors12.xml"/><Relationship Id="rId1" Type="http://schemas.microsoft.com/office/2011/relationships/chartStyle" Target="style1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Arkusz_programu_Microsoft_Excel8.xlsx"/><Relationship Id="rId2" Type="http://schemas.microsoft.com/office/2011/relationships/chartColorStyle" Target="colors13.xml"/><Relationship Id="rId1" Type="http://schemas.microsoft.com/office/2011/relationships/chartStyle" Target="style13.xml"/></Relationships>
</file>

<file path=word/charts/_rels/chart24.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Piotr\analiza\wska&#378;niki.xlsx" TargetMode="External"/><Relationship Id="rId2" Type="http://schemas.microsoft.com/office/2011/relationships/chartColorStyle" Target="colors14.xml"/><Relationship Id="rId1" Type="http://schemas.microsoft.com/office/2011/relationships/chartStyle" Target="style1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Arkusz_programu_Microsoft_Excel9.xlsx"/><Relationship Id="rId2" Type="http://schemas.microsoft.com/office/2011/relationships/chartColorStyle" Target="colors15.xml"/><Relationship Id="rId1" Type="http://schemas.microsoft.com/office/2011/relationships/chartStyle" Target="style1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Arkusz_programu_Microsoft_Excel10.xlsx"/><Relationship Id="rId2" Type="http://schemas.microsoft.com/office/2011/relationships/chartColorStyle" Target="colors16.xml"/><Relationship Id="rId1" Type="http://schemas.microsoft.com/office/2011/relationships/chartStyle" Target="style16.xml"/></Relationships>
</file>

<file path=word/charts/_rels/chart27.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Piotr\analiza\wska&#378;niki.xlsx" TargetMode="External"/><Relationship Id="rId2" Type="http://schemas.microsoft.com/office/2011/relationships/chartColorStyle" Target="colors17.xml"/><Relationship Id="rId1" Type="http://schemas.microsoft.com/office/2011/relationships/chartStyle" Target="style1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Arkusz_programu_Microsoft_Excel11.xlsx"/><Relationship Id="rId2" Type="http://schemas.microsoft.com/office/2011/relationships/chartColorStyle" Target="colors18.xml"/><Relationship Id="rId1" Type="http://schemas.microsoft.com/office/2011/relationships/chartStyle" Target="style18.xml"/></Relationships>
</file>

<file path=word/charts/_rels/chart29.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MAGDA\Priorytety.xlsx" TargetMode="External"/><Relationship Id="rId2" Type="http://schemas.microsoft.com/office/2011/relationships/chartColorStyle" Target="colors19.xml"/><Relationship Id="rId1" Type="http://schemas.microsoft.com/office/2011/relationships/chartStyle" Target="style19.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Arkusz_programu_Microsoft_Excel2.xlsx"/></Relationships>
</file>

<file path=word/charts/_rels/chart30.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Piotr\analiza\wska&#378;niki.xlsx" TargetMode="External"/><Relationship Id="rId2" Type="http://schemas.microsoft.com/office/2011/relationships/chartColorStyle" Target="colors20.xml"/><Relationship Id="rId1" Type="http://schemas.microsoft.com/office/2011/relationships/chartStyle" Target="style2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Arkusz_programu_Microsoft_Excel12.xlsx"/><Relationship Id="rId2" Type="http://schemas.microsoft.com/office/2011/relationships/chartColorStyle" Target="colors21.xml"/><Relationship Id="rId1" Type="http://schemas.microsoft.com/office/2011/relationships/chartStyle" Target="style2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Arkusz_programu_Microsoft_Excel13.xlsx"/><Relationship Id="rId2" Type="http://schemas.microsoft.com/office/2011/relationships/chartColorStyle" Target="colors22.xml"/><Relationship Id="rId1" Type="http://schemas.microsoft.com/office/2011/relationships/chartStyle" Target="style22.xml"/></Relationships>
</file>

<file path=word/charts/_rels/chart33.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Piotr\analiza\wska&#378;niki.xlsx" TargetMode="External"/><Relationship Id="rId2" Type="http://schemas.microsoft.com/office/2011/relationships/chartColorStyle" Target="colors23.xml"/><Relationship Id="rId1" Type="http://schemas.microsoft.com/office/2011/relationships/chartStyle" Target="style23.xml"/></Relationships>
</file>

<file path=word/charts/_rels/chart34.xml.rels><?xml version="1.0" encoding="UTF-8" standalone="yes"?>
<Relationships xmlns="http://schemas.openxmlformats.org/package/2006/relationships"><Relationship Id="rId3" Type="http://schemas.openxmlformats.org/officeDocument/2006/relationships/package" Target="../embeddings/Arkusz_programu_Microsoft_Excel14.xlsx"/><Relationship Id="rId2" Type="http://schemas.microsoft.com/office/2011/relationships/chartColorStyle" Target="colors24.xml"/><Relationship Id="rId1" Type="http://schemas.microsoft.com/office/2011/relationships/chartStyle" Target="style24.xml"/></Relationships>
</file>

<file path=word/charts/_rels/chart35.xml.rels><?xml version="1.0" encoding="UTF-8" standalone="yes"?>
<Relationships xmlns="http://schemas.openxmlformats.org/package/2006/relationships"><Relationship Id="rId3" Type="http://schemas.openxmlformats.org/officeDocument/2006/relationships/package" Target="../embeddings/Arkusz_programu_Microsoft_Excel15.xlsx"/><Relationship Id="rId2" Type="http://schemas.microsoft.com/office/2011/relationships/chartColorStyle" Target="colors25.xml"/><Relationship Id="rId1" Type="http://schemas.microsoft.com/office/2011/relationships/chartStyle" Target="style25.xml"/></Relationships>
</file>

<file path=word/charts/_rels/chart36.xml.rels><?xml version="1.0" encoding="UTF-8" standalone="yes"?>
<Relationships xmlns="http://schemas.openxmlformats.org/package/2006/relationships"><Relationship Id="rId3" Type="http://schemas.openxmlformats.org/officeDocument/2006/relationships/oleObject" Target="file:///\\umws\root\home\wilkg\Sprawozdawczo&#347;&#263;\Sprawozdanie%20ko&#324;cowe\wska&#378;niki.xlsx" TargetMode="External"/><Relationship Id="rId2" Type="http://schemas.microsoft.com/office/2011/relationships/chartColorStyle" Target="colors26.xml"/><Relationship Id="rId1" Type="http://schemas.microsoft.com/office/2011/relationships/chartStyle" Target="style2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Arkusz_programu_Microsoft_Excel16.xlsx"/><Relationship Id="rId2" Type="http://schemas.microsoft.com/office/2011/relationships/chartColorStyle" Target="colors27.xml"/><Relationship Id="rId1" Type="http://schemas.microsoft.com/office/2011/relationships/chartStyle" Target="style2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Arkusz_programu_Microsoft_Excel17.xlsx"/><Relationship Id="rId2" Type="http://schemas.microsoft.com/office/2011/relationships/chartColorStyle" Target="colors28.xml"/><Relationship Id="rId1" Type="http://schemas.microsoft.com/office/2011/relationships/chartStyle" Target="style28.xml"/></Relationships>
</file>

<file path=word/charts/_rels/chart39.xml.rels><?xml version="1.0" encoding="UTF-8" standalone="yes"?>
<Relationships xmlns="http://schemas.openxmlformats.org/package/2006/relationships"><Relationship Id="rId3" Type="http://schemas.openxmlformats.org/officeDocument/2006/relationships/oleObject" Target="file:///\\umws\root\home\wilkg\Sprawozdawczo&#347;&#263;\Sprawozdanie%20ko&#324;cowe\wska&#378;niki.xlsx" TargetMode="External"/><Relationship Id="rId2" Type="http://schemas.microsoft.com/office/2011/relationships/chartColorStyle" Target="colors29.xml"/><Relationship Id="rId1" Type="http://schemas.microsoft.com/office/2011/relationships/chartStyle" Target="style29.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umws\root\Common\RR\RRF\!Zesp&#243;&#322;%20ds%20monitoringu\Perspektywa%202007-2013\Sprawozdanie%20ko&#324;cowe\MARTYNA\Kontraktacja.xlsx" TargetMode="External"/></Relationships>
</file>

<file path=word/charts/_rels/chart40.xml.rels><?xml version="1.0" encoding="UTF-8" standalone="yes"?>
<Relationships xmlns="http://schemas.openxmlformats.org/package/2006/relationships"><Relationship Id="rId3" Type="http://schemas.openxmlformats.org/officeDocument/2006/relationships/package" Target="../embeddings/Arkusz_programu_Microsoft_Excel18.xlsx"/><Relationship Id="rId2" Type="http://schemas.microsoft.com/office/2011/relationships/chartColorStyle" Target="colors30.xml"/><Relationship Id="rId1" Type="http://schemas.microsoft.com/office/2011/relationships/chartStyle" Target="style30.xml"/></Relationships>
</file>

<file path=word/charts/_rels/chart41.xml.rels><?xml version="1.0" encoding="UTF-8" standalone="yes"?>
<Relationships xmlns="http://schemas.openxmlformats.org/package/2006/relationships"><Relationship Id="rId3" Type="http://schemas.openxmlformats.org/officeDocument/2006/relationships/package" Target="../embeddings/Arkusz_programu_Microsoft_Excel19.xlsx"/><Relationship Id="rId2" Type="http://schemas.microsoft.com/office/2011/relationships/chartColorStyle" Target="colors31.xml"/><Relationship Id="rId1" Type="http://schemas.microsoft.com/office/2011/relationships/chartStyle" Target="style31.xml"/></Relationships>
</file>

<file path=word/charts/_rels/chart42.xml.rels><?xml version="1.0" encoding="UTF-8" standalone="yes"?>
<Relationships xmlns="http://schemas.openxmlformats.org/package/2006/relationships"><Relationship Id="rId3" Type="http://schemas.openxmlformats.org/officeDocument/2006/relationships/oleObject" Target="file:///\\umws\root\home\wilkg\Sprawozdawczo&#347;&#263;\Sprawozdanie%20ko&#324;cowe\wska&#378;niki.xlsx" TargetMode="External"/><Relationship Id="rId2" Type="http://schemas.microsoft.com/office/2011/relationships/chartColorStyle" Target="colors32.xml"/><Relationship Id="rId1" Type="http://schemas.microsoft.com/office/2011/relationships/chartStyle" Target="style32.xml"/></Relationships>
</file>

<file path=word/charts/_rels/chart43.xml.rels><?xml version="1.0" encoding="UTF-8" standalone="yes"?>
<Relationships xmlns="http://schemas.openxmlformats.org/package/2006/relationships"><Relationship Id="rId3" Type="http://schemas.openxmlformats.org/officeDocument/2006/relationships/oleObject" Target="file:///\\umws\root\Common\RR\RRF\!Zesp&#243;&#322;%20ds%20monitoringu\Perspektywa%202007-2013\Sprawozdanie%20ko&#324;cowe\MARTYNA\Priorytety%20VI%20-%20X.xlsx" TargetMode="External"/><Relationship Id="rId2" Type="http://schemas.microsoft.com/office/2011/relationships/chartColorStyle" Target="colors33.xml"/><Relationship Id="rId1" Type="http://schemas.microsoft.com/office/2011/relationships/chartStyle" Target="style33.xml"/></Relationships>
</file>

<file path=word/charts/_rels/chart44.xml.rels><?xml version="1.0" encoding="UTF-8" standalone="yes"?>
<Relationships xmlns="http://schemas.openxmlformats.org/package/2006/relationships"><Relationship Id="rId3" Type="http://schemas.openxmlformats.org/officeDocument/2006/relationships/package" Target="../embeddings/Arkusz_programu_Microsoft_Excel20.xlsx"/><Relationship Id="rId2" Type="http://schemas.microsoft.com/office/2011/relationships/chartColorStyle" Target="colors34.xml"/><Relationship Id="rId1" Type="http://schemas.microsoft.com/office/2011/relationships/chartStyle" Target="style34.xml"/></Relationships>
</file>

<file path=word/charts/_rels/chart45.xml.rels><?xml version="1.0" encoding="UTF-8" standalone="yes"?>
<Relationships xmlns="http://schemas.openxmlformats.org/package/2006/relationships"><Relationship Id="rId3" Type="http://schemas.openxmlformats.org/officeDocument/2006/relationships/oleObject" Target="file:///\\umws\root\home\wilkg\Sprawozdawczo&#347;&#263;\Sprawozdanie%20ko&#324;cowe\wska&#378;niki.xlsx" TargetMode="External"/><Relationship Id="rId2" Type="http://schemas.microsoft.com/office/2011/relationships/chartColorStyle" Target="colors35.xml"/><Relationship Id="rId1" Type="http://schemas.microsoft.com/office/2011/relationships/chartStyle" Target="style35.xml"/></Relationships>
</file>

<file path=word/charts/_rels/chart46.xml.rels><?xml version="1.0" encoding="UTF-8" standalone="yes"?>
<Relationships xmlns="http://schemas.openxmlformats.org/package/2006/relationships"><Relationship Id="rId3" Type="http://schemas.openxmlformats.org/officeDocument/2006/relationships/package" Target="../embeddings/Arkusz_programu_Microsoft_Excel21.xlsx"/><Relationship Id="rId2" Type="http://schemas.microsoft.com/office/2011/relationships/chartColorStyle" Target="colors36.xml"/><Relationship Id="rId1" Type="http://schemas.microsoft.com/office/2011/relationships/chartStyle" Target="style36.xml"/></Relationships>
</file>

<file path=word/charts/_rels/chart47.xml.rels><?xml version="1.0" encoding="UTF-8" standalone="yes"?>
<Relationships xmlns="http://schemas.openxmlformats.org/package/2006/relationships"><Relationship Id="rId3" Type="http://schemas.openxmlformats.org/officeDocument/2006/relationships/oleObject" Target="file:///\\umws\root\home\wilkg\Sprawozdawczo&#347;&#263;\Sprawozdanie%20ko&#324;cowe\wska&#378;niki.xlsx" TargetMode="External"/><Relationship Id="rId2" Type="http://schemas.microsoft.com/office/2011/relationships/chartColorStyle" Target="colors37.xml"/><Relationship Id="rId1" Type="http://schemas.microsoft.com/office/2011/relationships/chartStyle" Target="style37.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urdam\AppData\Local\Microsoft\Windows\Temporary%20Internet%20Files\Content.Outlook\O4EZ0JJI\Wykres%20alokacja%20priorytety.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Arkusz_programu_Microsoft_Excel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Arkusz_programu_Microsoft_Excel4.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2" Type="http://schemas.openxmlformats.org/officeDocument/2006/relationships/oleObject" Target="file:///\\umws\root\DFS\SP_ZASOB\_STRATEGIE%20I%20PROGRAMY\depopulacja%20-dysk\diagnoza%20-%20uaktualnione\demografia%20%202015\Ludno&#347;&#263;%20wg%20wojew&#243;dztw%202015.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33458374780778"/>
          <c:y val="3.4188034188034191E-2"/>
          <c:w val="0.87334172269562194"/>
          <c:h val="0.89124221010835181"/>
        </c:manualLayout>
      </c:layout>
      <c:barChart>
        <c:barDir val="col"/>
        <c:grouping val="clustered"/>
        <c:varyColors val="0"/>
        <c:ser>
          <c:idx val="0"/>
          <c:order val="0"/>
          <c:spPr>
            <a:gradFill rotWithShape="1">
              <a:gsLst>
                <a:gs pos="0">
                  <a:schemeClr val="accent6">
                    <a:shade val="76000"/>
                    <a:satMod val="103000"/>
                    <a:lumMod val="102000"/>
                    <a:tint val="94000"/>
                  </a:schemeClr>
                </a:gs>
                <a:gs pos="50000">
                  <a:schemeClr val="accent6">
                    <a:shade val="76000"/>
                    <a:satMod val="110000"/>
                    <a:lumMod val="100000"/>
                    <a:shade val="100000"/>
                  </a:schemeClr>
                </a:gs>
                <a:gs pos="100000">
                  <a:schemeClr val="accent6">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4577572964669721E-2"/>
                  <c:y val="-5.7651325621222607E-17"/>
                </c:manualLayout>
              </c:layout>
              <c:tx>
                <c:rich>
                  <a:bodyPr/>
                  <a:lstStyle/>
                  <a:p>
                    <a:r>
                      <a:rPr lang="en-US"/>
                      <a:t>17% allocation</a:t>
                    </a:r>
                  </a:p>
                </c:rich>
              </c:tx>
              <c:dLblPos val="outEnd"/>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0-95DA-4238-A453-06AF854EE875}"/>
                </c:ext>
                <c:ext xmlns:c15="http://schemas.microsoft.com/office/drawing/2012/chart" uri="{CE6537A1-D6FC-4f65-9D91-7224C49458BB}">
                  <c15:layout/>
                </c:ext>
              </c:extLst>
            </c:dLbl>
            <c:dLbl>
              <c:idx val="1"/>
              <c:layout/>
              <c:tx>
                <c:rich>
                  <a:bodyPr/>
                  <a:lstStyle/>
                  <a:p>
                    <a:r>
                      <a:rPr lang="en-US"/>
                      <a:t>9% allocation</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1-95DA-4238-A453-06AF854EE875}"/>
                </c:ext>
                <c:ext xmlns:c15="http://schemas.microsoft.com/office/drawing/2012/chart" uri="{CE6537A1-D6FC-4f65-9D91-7224C49458BB}">
                  <c15:layout/>
                </c:ext>
              </c:extLst>
            </c:dLbl>
            <c:dLbl>
              <c:idx val="2"/>
              <c:layout/>
              <c:tx>
                <c:rich>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r>
                      <a:rPr lang="en-US"/>
                      <a:t>6%</a:t>
                    </a:r>
                    <a:r>
                      <a:rPr lang="en-US" sz="1000" b="1" i="0" u="none" strike="noStrike" kern="1200" baseline="0">
                        <a:solidFill>
                          <a:sysClr val="windowText" lastClr="000000">
                            <a:lumMod val="75000"/>
                            <a:lumOff val="25000"/>
                          </a:sysClr>
                        </a:solidFill>
                        <a:latin typeface="Times New Roman" panose="02020603050405020304" pitchFamily="18" charset="0"/>
                        <a:cs typeface="Times New Roman" panose="02020603050405020304" pitchFamily="18" charset="0"/>
                      </a:rPr>
                      <a:t> allocation</a:t>
                    </a:r>
                  </a:p>
                </c:rich>
              </c:tx>
              <c:spPr>
                <a:noFill/>
                <a:ln>
                  <a:noFill/>
                </a:ln>
                <a:effectLst/>
              </c:spPr>
              <c:txPr>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95DA-4238-A453-06AF854EE875}"/>
                </c:ext>
                <c:ext xmlns:c15="http://schemas.microsoft.com/office/drawing/2012/chart" uri="{CE6537A1-D6FC-4f65-9D91-7224C49458BB}">
                  <c15:layout/>
                </c:ext>
              </c:extLst>
            </c:dLbl>
            <c:dLbl>
              <c:idx val="3"/>
              <c:layout/>
              <c:tx>
                <c:rich>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r>
                      <a:rPr lang="en-US"/>
                      <a:t>3%</a:t>
                    </a:r>
                    <a:r>
                      <a:rPr lang="en-US" sz="1000" b="1" i="0" u="none" strike="noStrike" kern="1200" baseline="0">
                        <a:solidFill>
                          <a:sysClr val="windowText" lastClr="000000">
                            <a:lumMod val="75000"/>
                            <a:lumOff val="25000"/>
                          </a:sysClr>
                        </a:solidFill>
                        <a:latin typeface="Times New Roman" panose="02020603050405020304" pitchFamily="18" charset="0"/>
                        <a:cs typeface="Times New Roman" panose="02020603050405020304" pitchFamily="18" charset="0"/>
                      </a:rPr>
                      <a:t> allocation</a:t>
                    </a:r>
                  </a:p>
                </c:rich>
              </c:tx>
              <c:spPr>
                <a:noFill/>
                <a:ln>
                  <a:noFill/>
                </a:ln>
                <a:effectLst/>
              </c:spPr>
              <c:txPr>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3-95DA-4238-A453-06AF854EE875}"/>
                </c:ext>
                <c:ext xmlns:c15="http://schemas.microsoft.com/office/drawing/2012/chart" uri="{CE6537A1-D6FC-4f65-9D91-7224C49458BB}">
                  <c15:layout/>
                </c:ext>
              </c:extLst>
            </c:dLbl>
            <c:dLbl>
              <c:idx val="4"/>
              <c:layout/>
              <c:tx>
                <c:rich>
                  <a:bodyPr/>
                  <a:lstStyle/>
                  <a:p>
                    <a:r>
                      <a:rPr lang="en-US"/>
                      <a:t>10% allocation</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95DA-4238-A453-06AF854EE875}"/>
                </c:ext>
                <c:ext xmlns:c15="http://schemas.microsoft.com/office/drawing/2012/chart" uri="{CE6537A1-D6FC-4f65-9D91-7224C49458BB}">
                  <c15:layout/>
                </c:ext>
              </c:extLst>
            </c:dLbl>
            <c:dLbl>
              <c:idx val="5"/>
              <c:layout/>
              <c:tx>
                <c:rich>
                  <a:bodyPr/>
                  <a:lstStyle/>
                  <a:p>
                    <a:r>
                      <a:rPr lang="en-US"/>
                      <a:t>18% allocation</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95DA-4238-A453-06AF854EE875}"/>
                </c:ext>
                <c:ext xmlns:c15="http://schemas.microsoft.com/office/drawing/2012/chart" uri="{CE6537A1-D6FC-4f65-9D91-7224C49458BB}">
                  <c15:layout/>
                </c:ext>
              </c:extLst>
            </c:dLbl>
            <c:dLbl>
              <c:idx val="6"/>
              <c:layout/>
              <c:tx>
                <c:rich>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r>
                      <a:rPr lang="en-US" sz="1000" b="1" i="0" u="none" strike="noStrike" kern="1200" baseline="0">
                        <a:solidFill>
                          <a:sysClr val="windowText" lastClr="000000">
                            <a:lumMod val="75000"/>
                            <a:lumOff val="25000"/>
                          </a:sysClr>
                        </a:solidFill>
                        <a:latin typeface="Times New Roman" panose="02020603050405020304" pitchFamily="18" charset="0"/>
                        <a:cs typeface="Times New Roman" panose="02020603050405020304" pitchFamily="18" charset="0"/>
                      </a:rPr>
                      <a:t>26% allocation</a:t>
                    </a:r>
                  </a:p>
                </c:rich>
              </c:tx>
              <c:spPr>
                <a:noFill/>
                <a:ln>
                  <a:noFill/>
                </a:ln>
                <a:effectLst/>
              </c:spPr>
              <c:txPr>
                <a:bodyPr rot="0" spcFirstLastPara="1" vertOverflow="ellipsis"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lumMod val="75000"/>
                          <a:lumOff val="25000"/>
                        </a:sysClr>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6-95DA-4238-A453-06AF854EE875}"/>
                </c:ext>
                <c:ext xmlns:c15="http://schemas.microsoft.com/office/drawing/2012/chart" uri="{CE6537A1-D6FC-4f65-9D91-7224C49458BB}">
                  <c15:layout/>
                </c:ext>
              </c:extLst>
            </c:dLbl>
            <c:dLbl>
              <c:idx val="7"/>
              <c:layout/>
              <c:tx>
                <c:rich>
                  <a:bodyPr/>
                  <a:lstStyle/>
                  <a:p>
                    <a:r>
                      <a:rPr lang="en-US"/>
                      <a:t>5% allocation</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7-95DA-4238-A453-06AF854EE875}"/>
                </c:ext>
                <c:ext xmlns:c15="http://schemas.microsoft.com/office/drawing/2012/chart" uri="{CE6537A1-D6FC-4f65-9D91-7224C49458BB}">
                  <c15:layout/>
                </c:ext>
              </c:extLst>
            </c:dLbl>
            <c:dLbl>
              <c:idx val="8"/>
              <c:layout/>
              <c:tx>
                <c:rich>
                  <a:bodyPr/>
                  <a:lstStyle/>
                  <a:p>
                    <a:r>
                      <a:rPr lang="en-US"/>
                      <a:t>3% allocation</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8-95DA-4238-A453-06AF854EE875}"/>
                </c:ext>
                <c:ext xmlns:c15="http://schemas.microsoft.com/office/drawing/2012/chart" uri="{CE6537A1-D6FC-4f65-9D91-7224C49458BB}">
                  <c15:layout/>
                </c:ext>
              </c:extLst>
            </c:dLbl>
            <c:dLbl>
              <c:idx val="9"/>
              <c:layout/>
              <c:tx>
                <c:rich>
                  <a:bodyPr/>
                  <a:lstStyle/>
                  <a:p>
                    <a:r>
                      <a:rPr lang="en-US"/>
                      <a:t>2% allocation</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9-95DA-4238-A453-06AF854EE875}"/>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Arkusz1!$B$3:$B$12</c:f>
              <c:strCache>
                <c:ptCount val="10"/>
                <c:pt idx="0">
                  <c:v>I</c:v>
                </c:pt>
                <c:pt idx="1">
                  <c:v>II</c:v>
                </c:pt>
                <c:pt idx="2">
                  <c:v>III</c:v>
                </c:pt>
                <c:pt idx="3">
                  <c:v>IV</c:v>
                </c:pt>
                <c:pt idx="4">
                  <c:v>V</c:v>
                </c:pt>
                <c:pt idx="5">
                  <c:v>VI</c:v>
                </c:pt>
                <c:pt idx="6">
                  <c:v>VII</c:v>
                </c:pt>
                <c:pt idx="7">
                  <c:v>VIII</c:v>
                </c:pt>
                <c:pt idx="8">
                  <c:v>IX</c:v>
                </c:pt>
                <c:pt idx="9">
                  <c:v>X</c:v>
                </c:pt>
              </c:strCache>
            </c:strRef>
          </c:cat>
          <c:val>
            <c:numRef>
              <c:f>Arkusz1!$C$3:$C$12</c:f>
              <c:numCache>
                <c:formatCode>#,##0\ [$EUR]</c:formatCode>
                <c:ptCount val="10"/>
                <c:pt idx="0">
                  <c:v>296238553</c:v>
                </c:pt>
                <c:pt idx="1">
                  <c:v>150000000</c:v>
                </c:pt>
                <c:pt idx="2">
                  <c:v>110420000</c:v>
                </c:pt>
                <c:pt idx="3">
                  <c:v>53274150</c:v>
                </c:pt>
                <c:pt idx="4">
                  <c:v>180678600</c:v>
                </c:pt>
                <c:pt idx="5">
                  <c:v>312802445</c:v>
                </c:pt>
                <c:pt idx="6">
                  <c:v>460254825</c:v>
                </c:pt>
                <c:pt idx="7">
                  <c:v>82480000</c:v>
                </c:pt>
                <c:pt idx="8">
                  <c:v>57759000</c:v>
                </c:pt>
                <c:pt idx="9">
                  <c:v>43196934</c:v>
                </c:pt>
              </c:numCache>
            </c:numRef>
          </c:val>
          <c:extLst xmlns:c16r2="http://schemas.microsoft.com/office/drawing/2015/06/chart">
            <c:ext xmlns:c16="http://schemas.microsoft.com/office/drawing/2014/chart" uri="{C3380CC4-5D6E-409C-BE32-E72D297353CC}">
              <c16:uniqueId val="{0000000A-95DA-4238-A453-06AF854EE875}"/>
            </c:ext>
          </c:extLst>
        </c:ser>
        <c:ser>
          <c:idx val="1"/>
          <c:order val="1"/>
          <c:spPr>
            <a:gradFill rotWithShape="1">
              <a:gsLst>
                <a:gs pos="0">
                  <a:schemeClr val="accent6">
                    <a:tint val="77000"/>
                    <a:satMod val="103000"/>
                    <a:lumMod val="102000"/>
                    <a:tint val="94000"/>
                  </a:schemeClr>
                </a:gs>
                <a:gs pos="50000">
                  <a:schemeClr val="accent6">
                    <a:tint val="77000"/>
                    <a:satMod val="110000"/>
                    <a:lumMod val="100000"/>
                    <a:shade val="100000"/>
                  </a:schemeClr>
                </a:gs>
                <a:gs pos="100000">
                  <a:schemeClr val="accent6">
                    <a:tint val="77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Arkusz1!$B$3:$B$12</c:f>
              <c:strCache>
                <c:ptCount val="10"/>
                <c:pt idx="0">
                  <c:v>I</c:v>
                </c:pt>
                <c:pt idx="1">
                  <c:v>II</c:v>
                </c:pt>
                <c:pt idx="2">
                  <c:v>III</c:v>
                </c:pt>
                <c:pt idx="3">
                  <c:v>IV</c:v>
                </c:pt>
                <c:pt idx="4">
                  <c:v>V</c:v>
                </c:pt>
                <c:pt idx="5">
                  <c:v>VI</c:v>
                </c:pt>
                <c:pt idx="6">
                  <c:v>VII</c:v>
                </c:pt>
                <c:pt idx="7">
                  <c:v>VIII</c:v>
                </c:pt>
                <c:pt idx="8">
                  <c:v>IX</c:v>
                </c:pt>
                <c:pt idx="9">
                  <c:v>X</c:v>
                </c:pt>
              </c:strCache>
            </c:strRef>
          </c:cat>
          <c:val>
            <c:numRef>
              <c:f>Arkusz1!$D$3:$D$12</c:f>
              <c:numCache>
                <c:formatCode>0%</c:formatCode>
                <c:ptCount val="10"/>
                <c:pt idx="0">
                  <c:v>0</c:v>
                </c:pt>
                <c:pt idx="1">
                  <c:v>0</c:v>
                </c:pt>
                <c:pt idx="2">
                  <c:v>0</c:v>
                </c:pt>
                <c:pt idx="3">
                  <c:v>0</c:v>
                </c:pt>
                <c:pt idx="4">
                  <c:v>0</c:v>
                </c:pt>
                <c:pt idx="5">
                  <c:v>0</c:v>
                </c:pt>
                <c:pt idx="6">
                  <c:v>0</c:v>
                </c:pt>
                <c:pt idx="7">
                  <c:v>0</c:v>
                </c:pt>
                <c:pt idx="8">
                  <c:v>0</c:v>
                </c:pt>
                <c:pt idx="9">
                  <c:v>0</c:v>
                </c:pt>
              </c:numCache>
            </c:numRef>
          </c:val>
          <c:extLst xmlns:c16r2="http://schemas.microsoft.com/office/drawing/2015/06/chart">
            <c:ext xmlns:c16="http://schemas.microsoft.com/office/drawing/2014/chart" uri="{C3380CC4-5D6E-409C-BE32-E72D297353CC}">
              <c16:uniqueId val="{0000000B-95DA-4238-A453-06AF854EE875}"/>
            </c:ext>
          </c:extLst>
        </c:ser>
        <c:dLbls>
          <c:showLegendKey val="0"/>
          <c:showVal val="0"/>
          <c:showCatName val="0"/>
          <c:showSerName val="0"/>
          <c:showPercent val="0"/>
          <c:showBubbleSize val="0"/>
        </c:dLbls>
        <c:gapWidth val="115"/>
        <c:overlap val="-20"/>
        <c:axId val="470756088"/>
        <c:axId val="470754128"/>
      </c:barChart>
      <c:catAx>
        <c:axId val="4707560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crossAx val="470754128"/>
        <c:crosses val="autoZero"/>
        <c:auto val="1"/>
        <c:lblAlgn val="ctr"/>
        <c:lblOffset val="100"/>
        <c:noMultiLvlLbl val="0"/>
      </c:catAx>
      <c:valAx>
        <c:axId val="470754128"/>
        <c:scaling>
          <c:orientation val="minMax"/>
        </c:scaling>
        <c:delete val="0"/>
        <c:axPos val="l"/>
        <c:majorGridlines>
          <c:spPr>
            <a:ln w="9525" cap="flat" cmpd="sng" algn="ctr">
              <a:solidFill>
                <a:schemeClr val="tx1">
                  <a:lumMod val="15000"/>
                  <a:lumOff val="85000"/>
                </a:schemeClr>
              </a:solidFill>
              <a:round/>
            </a:ln>
            <a:effectLst/>
          </c:spPr>
        </c:majorGridlines>
        <c:numFmt formatCode="#,##0\ _z_ł" sourceLinked="0"/>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crossAx val="470756088"/>
        <c:crosses val="autoZero"/>
        <c:crossBetween val="between"/>
        <c:dispUnits>
          <c:builtInUnit val="millions"/>
          <c:dispUnitsLbl>
            <c:layout>
              <c:manualLayout>
                <c:xMode val="edge"/>
                <c:yMode val="edge"/>
                <c:x val="1.3563304586926634E-2"/>
                <c:y val="0.95333011439607773"/>
              </c:manualLayout>
            </c:layout>
            <c:tx>
              <c:rich>
                <a:bodyPr rot="0" spcFirstLastPara="1" vertOverflow="ellipsis"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pl-PL"/>
                    <a:t>million</a:t>
                  </a:r>
                  <a:r>
                    <a:rPr lang="pl-PL" baseline="0"/>
                    <a:t> EUR</a:t>
                  </a:r>
                  <a:endParaRPr lang="pl-PL"/>
                </a:p>
              </c:rich>
            </c:tx>
            <c:spPr>
              <a:noFill/>
              <a:ln>
                <a:noFill/>
              </a:ln>
              <a:effectLst/>
            </c:spPr>
            <c:txPr>
              <a:bodyPr rot="0" spcFirstLastPara="1" vertOverflow="ellipsis"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dispUnitsLbl>
        </c:dispUnits>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962076334885352"/>
          <c:y val="3.4307987989994036E-2"/>
          <c:w val="0.71234522155319102"/>
          <c:h val="0.88755820938334518"/>
        </c:manualLayout>
      </c:layout>
      <c:barChart>
        <c:barDir val="bar"/>
        <c:grouping val="clustered"/>
        <c:varyColors val="0"/>
        <c:ser>
          <c:idx val="0"/>
          <c:order val="0"/>
          <c:invertIfNegative val="0"/>
          <c:dPt>
            <c:idx val="2"/>
            <c:invertIfNegative val="0"/>
            <c:bubble3D val="0"/>
            <c:spPr>
              <a:solidFill>
                <a:srgbClr val="FF0000"/>
              </a:solidFill>
            </c:spPr>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TABLICA!$W$30:$W$46</c:f>
              <c:strCache>
                <c:ptCount val="17"/>
                <c:pt idx="0">
                  <c:v>OPOLSKIE</c:v>
                </c:pt>
                <c:pt idx="1">
                  <c:v>ŁÓDZKIE</c:v>
                </c:pt>
                <c:pt idx="2">
                  <c:v>ŚLĄSKIE</c:v>
                </c:pt>
                <c:pt idx="3">
                  <c:v>ŚWIĘTOKRZYSKIE</c:v>
                </c:pt>
                <c:pt idx="4">
                  <c:v>LUBELSKIE</c:v>
                </c:pt>
                <c:pt idx="5">
                  <c:v>PODLASKIE</c:v>
                </c:pt>
                <c:pt idx="6">
                  <c:v>DOLNOŚLĄSKIE</c:v>
                </c:pt>
                <c:pt idx="7">
                  <c:v>POLSKA</c:v>
                </c:pt>
                <c:pt idx="8">
                  <c:v>ZACHODNIOPOMORSKIE</c:v>
                </c:pt>
                <c:pt idx="9">
                  <c:v>WARMIŃSKO-MAZURSKIE</c:v>
                </c:pt>
                <c:pt idx="10">
                  <c:v>KUJAWSKO-POMORSKIE</c:v>
                </c:pt>
                <c:pt idx="11">
                  <c:v>LUBUSKIE</c:v>
                </c:pt>
                <c:pt idx="12">
                  <c:v>PODKARPACKIE</c:v>
                </c:pt>
                <c:pt idx="13">
                  <c:v>WIELKOPOLSKIE</c:v>
                </c:pt>
                <c:pt idx="14">
                  <c:v>MAŁOPOLSKIE</c:v>
                </c:pt>
                <c:pt idx="15">
                  <c:v>MAZOWIECKIE</c:v>
                </c:pt>
                <c:pt idx="16">
                  <c:v>POMORSKIE</c:v>
                </c:pt>
              </c:strCache>
            </c:strRef>
          </c:cat>
          <c:val>
            <c:numRef>
              <c:f>TABLICA!$X$30:$X$46</c:f>
              <c:numCache>
                <c:formatCode>0.00%</c:formatCode>
                <c:ptCount val="17"/>
                <c:pt idx="0">
                  <c:v>-6.966854038584043E-2</c:v>
                </c:pt>
                <c:pt idx="1">
                  <c:v>-5.1076860550782699E-2</c:v>
                </c:pt>
                <c:pt idx="2">
                  <c:v>-3.9524524768520065E-2</c:v>
                </c:pt>
                <c:pt idx="3">
                  <c:v>-3.4906536675238936E-2</c:v>
                </c:pt>
                <c:pt idx="4">
                  <c:v>-3.0130541202066902E-2</c:v>
                </c:pt>
                <c:pt idx="5">
                  <c:v>-1.807897658191045E-2</c:v>
                </c:pt>
                <c:pt idx="6">
                  <c:v>-2.7429481885656694E-3</c:v>
                </c:pt>
                <c:pt idx="7">
                  <c:v>4.7912431538124911E-3</c:v>
                </c:pt>
                <c:pt idx="8">
                  <c:v>7.3895643826177235E-3</c:v>
                </c:pt>
                <c:pt idx="9">
                  <c:v>8.5232447033571791E-3</c:v>
                </c:pt>
                <c:pt idx="10">
                  <c:v>8.894887700410626E-3</c:v>
                </c:pt>
                <c:pt idx="11">
                  <c:v>9.5223268469526411E-3</c:v>
                </c:pt>
                <c:pt idx="12">
                  <c:v>1.2507048956040661E-2</c:v>
                </c:pt>
                <c:pt idx="13">
                  <c:v>3.8862397453633762E-2</c:v>
                </c:pt>
                <c:pt idx="14">
                  <c:v>4.4432587138553206E-2</c:v>
                </c:pt>
                <c:pt idx="15">
                  <c:v>4.5768043464235693E-2</c:v>
                </c:pt>
                <c:pt idx="16">
                  <c:v>6.2342677108518291E-2</c:v>
                </c:pt>
              </c:numCache>
            </c:numRef>
          </c:val>
        </c:ser>
        <c:dLbls>
          <c:showLegendKey val="0"/>
          <c:showVal val="0"/>
          <c:showCatName val="0"/>
          <c:showSerName val="0"/>
          <c:showPercent val="0"/>
          <c:showBubbleSize val="0"/>
        </c:dLbls>
        <c:gapWidth val="150"/>
        <c:axId val="648304656"/>
        <c:axId val="648305048"/>
      </c:barChart>
      <c:catAx>
        <c:axId val="648304656"/>
        <c:scaling>
          <c:orientation val="minMax"/>
        </c:scaling>
        <c:delete val="0"/>
        <c:axPos val="l"/>
        <c:numFmt formatCode="General" sourceLinked="0"/>
        <c:majorTickMark val="out"/>
        <c:minorTickMark val="none"/>
        <c:tickLblPos val="low"/>
        <c:crossAx val="648305048"/>
        <c:crosses val="autoZero"/>
        <c:auto val="1"/>
        <c:lblAlgn val="ctr"/>
        <c:lblOffset val="100"/>
        <c:noMultiLvlLbl val="0"/>
      </c:catAx>
      <c:valAx>
        <c:axId val="648305048"/>
        <c:scaling>
          <c:orientation val="minMax"/>
        </c:scaling>
        <c:delete val="0"/>
        <c:axPos val="b"/>
        <c:majorGridlines/>
        <c:numFmt formatCode="0.00%" sourceLinked="1"/>
        <c:majorTickMark val="out"/>
        <c:minorTickMark val="none"/>
        <c:tickLblPos val="nextTo"/>
        <c:crossAx val="648304656"/>
        <c:crosses val="autoZero"/>
        <c:crossBetween val="between"/>
      </c:valAx>
    </c:plotArea>
    <c:plotVisOnly val="1"/>
    <c:dispBlanksAs val="gap"/>
    <c:showDLblsOverMax val="0"/>
  </c:chart>
  <c:spPr>
    <a:ln>
      <a:noFill/>
    </a:ln>
  </c:spPr>
  <c:txPr>
    <a:bodyPr/>
    <a:lstStyle/>
    <a:p>
      <a:pPr>
        <a:defRPr b="1">
          <a:latin typeface="Times New Roman" panose="02020603050405020304" pitchFamily="18" charset="0"/>
          <a:cs typeface="Times New Roman" panose="02020603050405020304" pitchFamily="18" charset="0"/>
        </a:defRPr>
      </a:pPr>
      <a:endParaRPr lang="pl-PL"/>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piramida!$C$5</c:f>
              <c:strCache>
                <c:ptCount val="1"/>
                <c:pt idx="0">
                  <c:v>mężczyźni</c:v>
                </c:pt>
              </c:strCache>
            </c:strRef>
          </c:tx>
          <c:spPr>
            <a:ln>
              <a:solidFill>
                <a:schemeClr val="bg1"/>
              </a:solidFill>
            </a:ln>
          </c:spPr>
          <c:invertIfNegative val="0"/>
          <c:cat>
            <c:strRef>
              <c:f>piramida!$B$6:$B$23</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i więcej</c:v>
                </c:pt>
              </c:strCache>
            </c:strRef>
          </c:cat>
          <c:val>
            <c:numRef>
              <c:f>piramida!$C$6:$C$23</c:f>
              <c:numCache>
                <c:formatCode>#,##0</c:formatCode>
                <c:ptCount val="18"/>
                <c:pt idx="0">
                  <c:v>111092</c:v>
                </c:pt>
                <c:pt idx="1">
                  <c:v>117590</c:v>
                </c:pt>
                <c:pt idx="2">
                  <c:v>100233</c:v>
                </c:pt>
                <c:pt idx="3">
                  <c:v>110251</c:v>
                </c:pt>
                <c:pt idx="4">
                  <c:v>135726</c:v>
                </c:pt>
                <c:pt idx="5">
                  <c:v>166896</c:v>
                </c:pt>
                <c:pt idx="6">
                  <c:v>192309</c:v>
                </c:pt>
                <c:pt idx="7">
                  <c:v>185008</c:v>
                </c:pt>
                <c:pt idx="8">
                  <c:v>161753</c:v>
                </c:pt>
                <c:pt idx="9">
                  <c:v>143331</c:v>
                </c:pt>
                <c:pt idx="10">
                  <c:v>150079</c:v>
                </c:pt>
                <c:pt idx="11">
                  <c:v>171151</c:v>
                </c:pt>
                <c:pt idx="12">
                  <c:v>156609</c:v>
                </c:pt>
                <c:pt idx="13">
                  <c:v>116453</c:v>
                </c:pt>
                <c:pt idx="14">
                  <c:v>70266</c:v>
                </c:pt>
                <c:pt idx="15">
                  <c:v>59633</c:v>
                </c:pt>
                <c:pt idx="16">
                  <c:v>35602</c:v>
                </c:pt>
                <c:pt idx="17">
                  <c:v>20990</c:v>
                </c:pt>
              </c:numCache>
            </c:numRef>
          </c:val>
        </c:ser>
        <c:ser>
          <c:idx val="1"/>
          <c:order val="1"/>
          <c:tx>
            <c:strRef>
              <c:f>piramida!$E$5</c:f>
              <c:strCache>
                <c:ptCount val="1"/>
                <c:pt idx="0">
                  <c:v>kobiety</c:v>
                </c:pt>
              </c:strCache>
            </c:strRef>
          </c:tx>
          <c:spPr>
            <a:ln>
              <a:solidFill>
                <a:schemeClr val="bg1"/>
              </a:solidFill>
            </a:ln>
          </c:spPr>
          <c:invertIfNegative val="0"/>
          <c:cat>
            <c:strRef>
              <c:f>piramida!$B$6:$B$23</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i więcej</c:v>
                </c:pt>
              </c:strCache>
            </c:strRef>
          </c:cat>
          <c:val>
            <c:numRef>
              <c:f>piramida!$E$6:$E$23</c:f>
              <c:numCache>
                <c:formatCode>#,##0</c:formatCode>
                <c:ptCount val="18"/>
                <c:pt idx="0">
                  <c:v>-105208</c:v>
                </c:pt>
                <c:pt idx="1">
                  <c:v>-112803</c:v>
                </c:pt>
                <c:pt idx="2">
                  <c:v>-95995</c:v>
                </c:pt>
                <c:pt idx="3">
                  <c:v>-104893</c:v>
                </c:pt>
                <c:pt idx="4">
                  <c:v>-130277</c:v>
                </c:pt>
                <c:pt idx="5">
                  <c:v>-160775</c:v>
                </c:pt>
                <c:pt idx="6">
                  <c:v>-187188</c:v>
                </c:pt>
                <c:pt idx="7">
                  <c:v>-181441</c:v>
                </c:pt>
                <c:pt idx="8">
                  <c:v>-159437</c:v>
                </c:pt>
                <c:pt idx="9">
                  <c:v>-144500</c:v>
                </c:pt>
                <c:pt idx="10">
                  <c:v>-154585</c:v>
                </c:pt>
                <c:pt idx="11">
                  <c:v>-187051</c:v>
                </c:pt>
                <c:pt idx="12">
                  <c:v>-182784</c:v>
                </c:pt>
                <c:pt idx="13">
                  <c:v>-145341</c:v>
                </c:pt>
                <c:pt idx="14">
                  <c:v>-99661</c:v>
                </c:pt>
                <c:pt idx="15">
                  <c:v>-93201</c:v>
                </c:pt>
                <c:pt idx="16">
                  <c:v>-66380</c:v>
                </c:pt>
                <c:pt idx="17">
                  <c:v>-54357</c:v>
                </c:pt>
              </c:numCache>
            </c:numRef>
          </c:val>
        </c:ser>
        <c:dLbls>
          <c:showLegendKey val="0"/>
          <c:showVal val="0"/>
          <c:showCatName val="0"/>
          <c:showSerName val="0"/>
          <c:showPercent val="0"/>
          <c:showBubbleSize val="0"/>
        </c:dLbls>
        <c:gapWidth val="0"/>
        <c:overlap val="100"/>
        <c:axId val="648305440"/>
        <c:axId val="648305832"/>
      </c:barChart>
      <c:catAx>
        <c:axId val="648305440"/>
        <c:scaling>
          <c:orientation val="minMax"/>
        </c:scaling>
        <c:delete val="0"/>
        <c:axPos val="l"/>
        <c:numFmt formatCode="General" sourceLinked="0"/>
        <c:majorTickMark val="out"/>
        <c:minorTickMark val="none"/>
        <c:tickLblPos val="low"/>
        <c:txPr>
          <a:bodyPr/>
          <a:lstStyle/>
          <a:p>
            <a:pPr>
              <a:defRPr b="1">
                <a:latin typeface="Times New Roman" panose="02020603050405020304" pitchFamily="18" charset="0"/>
                <a:cs typeface="Times New Roman" panose="02020603050405020304" pitchFamily="18" charset="0"/>
              </a:defRPr>
            </a:pPr>
            <a:endParaRPr lang="pl-PL"/>
          </a:p>
        </c:txPr>
        <c:crossAx val="648305832"/>
        <c:crosses val="autoZero"/>
        <c:auto val="1"/>
        <c:lblAlgn val="ctr"/>
        <c:lblOffset val="100"/>
        <c:noMultiLvlLbl val="0"/>
      </c:catAx>
      <c:valAx>
        <c:axId val="648305832"/>
        <c:scaling>
          <c:orientation val="minMax"/>
        </c:scaling>
        <c:delete val="0"/>
        <c:axPos val="b"/>
        <c:majorGridlines/>
        <c:numFmt formatCode="#,##0;[Black]#,##0" sourceLinked="0"/>
        <c:majorTickMark val="out"/>
        <c:minorTickMark val="none"/>
        <c:tickLblPos val="nextTo"/>
        <c:txPr>
          <a:bodyPr/>
          <a:lstStyle/>
          <a:p>
            <a:pPr>
              <a:defRPr b="1">
                <a:latin typeface="Times New Roman" panose="02020603050405020304" pitchFamily="18" charset="0"/>
                <a:cs typeface="Times New Roman" panose="02020603050405020304" pitchFamily="18" charset="0"/>
              </a:defRPr>
            </a:pPr>
            <a:endParaRPr lang="pl-PL"/>
          </a:p>
        </c:txPr>
        <c:crossAx val="648305440"/>
        <c:crosses val="autoZero"/>
        <c:crossBetween val="between"/>
      </c:valAx>
    </c:plotArea>
    <c:legend>
      <c:legendPos val="b"/>
      <c:overlay val="0"/>
      <c:txPr>
        <a:bodyPr/>
        <a:lstStyle/>
        <a:p>
          <a:pPr>
            <a:defRPr b="1">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40"/>
    </mc:Choice>
    <mc:Fallback>
      <c:style val="40"/>
    </mc:Fallback>
  </mc:AlternateContent>
  <c:chart>
    <c:autoTitleDeleted val="0"/>
    <c:plotArea>
      <c:layout/>
      <c:barChart>
        <c:barDir val="col"/>
        <c:grouping val="clustered"/>
        <c:varyColors val="0"/>
        <c:ser>
          <c:idx val="0"/>
          <c:order val="0"/>
          <c:invertIfNegative val="0"/>
          <c:dPt>
            <c:idx val="11"/>
            <c:invertIfNegative val="0"/>
            <c:bubble3D val="0"/>
            <c:spPr>
              <a:solidFill>
                <a:schemeClr val="accent6">
                  <a:lumMod val="50000"/>
                </a:schemeClr>
              </a:solidFill>
            </c:spPr>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tabele!$A$67:$A$82</c:f>
              <c:strCache>
                <c:ptCount val="16"/>
                <c:pt idx="0">
                  <c:v> MAZOWIECKIE</c:v>
                </c:pt>
                <c:pt idx="1">
                  <c:v> POMORSKIE</c:v>
                </c:pt>
                <c:pt idx="2">
                  <c:v> MAŁOPOLSKIE </c:v>
                </c:pt>
                <c:pt idx="3">
                  <c:v> WIELKOPOLSKIE</c:v>
                </c:pt>
                <c:pt idx="4">
                  <c:v> PODKARPACKIE </c:v>
                </c:pt>
                <c:pt idx="5">
                  <c:v> LUBUSKIE</c:v>
                </c:pt>
                <c:pt idx="6">
                  <c:v> KUJAWSKO-POMORSKIE</c:v>
                </c:pt>
                <c:pt idx="7">
                  <c:v> DOLNOŚLĄSKIE</c:v>
                </c:pt>
                <c:pt idx="8">
                  <c:v> ZACHODNIOPOMORSKIE</c:v>
                </c:pt>
                <c:pt idx="9">
                  <c:v> WARMIŃSKO-MAZURSKIE</c:v>
                </c:pt>
                <c:pt idx="10">
                  <c:v> PODLASKIE</c:v>
                </c:pt>
                <c:pt idx="11">
                  <c:v> ŚLĄSKIE </c:v>
                </c:pt>
                <c:pt idx="12">
                  <c:v> ŁÓDZKIE</c:v>
                </c:pt>
                <c:pt idx="13">
                  <c:v> LUBELSKIE</c:v>
                </c:pt>
                <c:pt idx="14">
                  <c:v> ŚWIĘTOKRZYSKIE</c:v>
                </c:pt>
                <c:pt idx="15">
                  <c:v> OPOLSKIE</c:v>
                </c:pt>
              </c:strCache>
            </c:strRef>
          </c:cat>
          <c:val>
            <c:numRef>
              <c:f>tabele!$D$67:$D$82</c:f>
              <c:numCache>
                <c:formatCode>0%</c:formatCode>
                <c:ptCount val="16"/>
                <c:pt idx="0">
                  <c:v>-5.6831841684436002E-3</c:v>
                </c:pt>
                <c:pt idx="1">
                  <c:v>-1.8189027217457999E-2</c:v>
                </c:pt>
                <c:pt idx="2">
                  <c:v>-2.763253946933809E-2</c:v>
                </c:pt>
                <c:pt idx="3">
                  <c:v>-5.3922182197165602E-2</c:v>
                </c:pt>
                <c:pt idx="4">
                  <c:v>-0.12093772633464883</c:v>
                </c:pt>
                <c:pt idx="5">
                  <c:v>-0.13695454657073419</c:v>
                </c:pt>
                <c:pt idx="6">
                  <c:v>-0.13767693568720321</c:v>
                </c:pt>
                <c:pt idx="7">
                  <c:v>-0.1407713017701562</c:v>
                </c:pt>
                <c:pt idx="8">
                  <c:v>-0.1503476797768114</c:v>
                </c:pt>
                <c:pt idx="9">
                  <c:v>-0.1609682740896384</c:v>
                </c:pt>
                <c:pt idx="10">
                  <c:v>-0.1736877523553163</c:v>
                </c:pt>
                <c:pt idx="11" formatCode="0.0%">
                  <c:v>-0.19476337984475089</c:v>
                </c:pt>
                <c:pt idx="12">
                  <c:v>-0.19829620031737238</c:v>
                </c:pt>
                <c:pt idx="13">
                  <c:v>-0.20055651985347656</c:v>
                </c:pt>
                <c:pt idx="14">
                  <c:v>-0.22291256853638194</c:v>
                </c:pt>
                <c:pt idx="15">
                  <c:v>-0.25244299510748425</c:v>
                </c:pt>
              </c:numCache>
            </c:numRef>
          </c:val>
        </c:ser>
        <c:dLbls>
          <c:showLegendKey val="0"/>
          <c:showVal val="0"/>
          <c:showCatName val="0"/>
          <c:showSerName val="0"/>
          <c:showPercent val="0"/>
          <c:showBubbleSize val="0"/>
        </c:dLbls>
        <c:gapWidth val="55"/>
        <c:axId val="648306616"/>
        <c:axId val="648307008"/>
      </c:barChart>
      <c:lineChart>
        <c:grouping val="standard"/>
        <c:varyColors val="0"/>
        <c:ser>
          <c:idx val="1"/>
          <c:order val="1"/>
          <c:spPr>
            <a:ln w="57150" cap="flat" cmpd="sng" algn="ctr">
              <a:solidFill>
                <a:schemeClr val="accent6">
                  <a:shade val="50000"/>
                </a:schemeClr>
              </a:solidFill>
              <a:prstDash val="solid"/>
            </a:ln>
            <a:effectLst/>
          </c:spPr>
          <c:marker>
            <c:symbol val="none"/>
          </c:marker>
          <c:cat>
            <c:strRef>
              <c:f>tabele!$A$67:$A$82</c:f>
              <c:strCache>
                <c:ptCount val="16"/>
                <c:pt idx="0">
                  <c:v> MAZOWIECKIE</c:v>
                </c:pt>
                <c:pt idx="1">
                  <c:v> POMORSKIE</c:v>
                </c:pt>
                <c:pt idx="2">
                  <c:v> MAŁOPOLSKIE </c:v>
                </c:pt>
                <c:pt idx="3">
                  <c:v> WIELKOPOLSKIE</c:v>
                </c:pt>
                <c:pt idx="4">
                  <c:v> PODKARPACKIE </c:v>
                </c:pt>
                <c:pt idx="5">
                  <c:v> LUBUSKIE</c:v>
                </c:pt>
                <c:pt idx="6">
                  <c:v> KUJAWSKO-POMORSKIE</c:v>
                </c:pt>
                <c:pt idx="7">
                  <c:v> DOLNOŚLĄSKIE</c:v>
                </c:pt>
                <c:pt idx="8">
                  <c:v> ZACHODNIOPOMORSKIE</c:v>
                </c:pt>
                <c:pt idx="9">
                  <c:v> WARMIŃSKO-MAZURSKIE</c:v>
                </c:pt>
                <c:pt idx="10">
                  <c:v> PODLASKIE</c:v>
                </c:pt>
                <c:pt idx="11">
                  <c:v> ŚLĄSKIE </c:v>
                </c:pt>
                <c:pt idx="12">
                  <c:v> ŁÓDZKIE</c:v>
                </c:pt>
                <c:pt idx="13">
                  <c:v> LUBELSKIE</c:v>
                </c:pt>
                <c:pt idx="14">
                  <c:v> ŚWIĘTOKRZYSKIE</c:v>
                </c:pt>
                <c:pt idx="15">
                  <c:v> OPOLSKIE</c:v>
                </c:pt>
              </c:strCache>
            </c:strRef>
          </c:cat>
          <c:val>
            <c:numRef>
              <c:f>tabele!$F$67:$F$82</c:f>
              <c:numCache>
                <c:formatCode>0%</c:formatCode>
                <c:ptCount val="16"/>
                <c:pt idx="0">
                  <c:v>-0.11672716658967106</c:v>
                </c:pt>
                <c:pt idx="1">
                  <c:v>-0.11672716658967106</c:v>
                </c:pt>
                <c:pt idx="2">
                  <c:v>-0.11672716658967106</c:v>
                </c:pt>
                <c:pt idx="3">
                  <c:v>-0.11672716658967106</c:v>
                </c:pt>
                <c:pt idx="4">
                  <c:v>-0.11672716658967106</c:v>
                </c:pt>
                <c:pt idx="5">
                  <c:v>-0.11672716658967106</c:v>
                </c:pt>
                <c:pt idx="6">
                  <c:v>-0.11672716658967106</c:v>
                </c:pt>
                <c:pt idx="7">
                  <c:v>-0.11672716658967106</c:v>
                </c:pt>
                <c:pt idx="8">
                  <c:v>-0.11672716658967106</c:v>
                </c:pt>
                <c:pt idx="9">
                  <c:v>-0.11672716658967106</c:v>
                </c:pt>
                <c:pt idx="10">
                  <c:v>-0.11672716658967106</c:v>
                </c:pt>
                <c:pt idx="11">
                  <c:v>-0.11672716658967106</c:v>
                </c:pt>
                <c:pt idx="12">
                  <c:v>-0.11672716658967106</c:v>
                </c:pt>
                <c:pt idx="13">
                  <c:v>-0.11672716658967106</c:v>
                </c:pt>
                <c:pt idx="14">
                  <c:v>-0.11672716658967106</c:v>
                </c:pt>
                <c:pt idx="15">
                  <c:v>-0.11672716658967106</c:v>
                </c:pt>
              </c:numCache>
            </c:numRef>
          </c:val>
          <c:smooth val="0"/>
        </c:ser>
        <c:dLbls>
          <c:showLegendKey val="0"/>
          <c:showVal val="0"/>
          <c:showCatName val="0"/>
          <c:showSerName val="0"/>
          <c:showPercent val="0"/>
          <c:showBubbleSize val="0"/>
        </c:dLbls>
        <c:marker val="1"/>
        <c:smooth val="0"/>
        <c:axId val="648306616"/>
        <c:axId val="648307008"/>
      </c:lineChart>
      <c:catAx>
        <c:axId val="648306616"/>
        <c:scaling>
          <c:orientation val="minMax"/>
        </c:scaling>
        <c:delete val="0"/>
        <c:axPos val="b"/>
        <c:numFmt formatCode="General" sourceLinked="0"/>
        <c:majorTickMark val="out"/>
        <c:minorTickMark val="none"/>
        <c:tickLblPos val="low"/>
        <c:txPr>
          <a:bodyPr/>
          <a:lstStyle/>
          <a:p>
            <a:pPr>
              <a:defRPr sz="800" b="1">
                <a:latin typeface="Times New Roman" panose="02020603050405020304" pitchFamily="18" charset="0"/>
                <a:cs typeface="Times New Roman" panose="02020603050405020304" pitchFamily="18" charset="0"/>
              </a:defRPr>
            </a:pPr>
            <a:endParaRPr lang="pl-PL"/>
          </a:p>
        </c:txPr>
        <c:crossAx val="648307008"/>
        <c:crosses val="autoZero"/>
        <c:auto val="0"/>
        <c:lblAlgn val="ctr"/>
        <c:lblOffset val="100"/>
        <c:noMultiLvlLbl val="0"/>
      </c:catAx>
      <c:valAx>
        <c:axId val="648307008"/>
        <c:scaling>
          <c:orientation val="minMax"/>
        </c:scaling>
        <c:delete val="0"/>
        <c:axPos val="l"/>
        <c:majorGridlines/>
        <c:numFmt formatCode="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pl-PL"/>
          </a:p>
        </c:txPr>
        <c:crossAx val="648306616"/>
        <c:crosses val="autoZero"/>
        <c:crossBetween val="between"/>
      </c:valAx>
    </c:plotArea>
    <c:plotVisOnly val="1"/>
    <c:dispBlanksAs val="gap"/>
    <c:showDLblsOverMax val="0"/>
  </c:chart>
  <c:spPr>
    <a:ln>
      <a:noFill/>
    </a:ln>
  </c:sp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barChart>
        <c:barDir val="col"/>
        <c:grouping val="percentStacked"/>
        <c:varyColors val="0"/>
        <c:ser>
          <c:idx val="0"/>
          <c:order val="0"/>
          <c:tx>
            <c:strRef>
              <c:f>TABLICA!$K$1</c:f>
              <c:strCache>
                <c:ptCount val="1"/>
                <c:pt idx="0">
                  <c:v>rolnictwo, leśnictwo, łowiectwo i rybactwo</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(TABLICA!$J$4;TABLICA!$J$8)</c:f>
              <c:strCache>
                <c:ptCount val="2"/>
                <c:pt idx="0">
                  <c:v>POLSKA</c:v>
                </c:pt>
                <c:pt idx="1">
                  <c:v>ŚLĄSKIE</c:v>
                </c:pt>
              </c:strCache>
            </c:strRef>
          </c:cat>
          <c:val>
            <c:numRef>
              <c:f>(TABLICA!$K$4;TABLICA!$K$8)</c:f>
              <c:numCache>
                <c:formatCode>0.0%</c:formatCode>
                <c:ptCount val="2"/>
                <c:pt idx="0">
                  <c:v>0.16473687850108129</c:v>
                </c:pt>
                <c:pt idx="1">
                  <c:v>6.1119823346957917E-2</c:v>
                </c:pt>
              </c:numCache>
            </c:numRef>
          </c:val>
        </c:ser>
        <c:ser>
          <c:idx val="1"/>
          <c:order val="1"/>
          <c:tx>
            <c:strRef>
              <c:f>TABLICA!$L$1</c:f>
              <c:strCache>
                <c:ptCount val="1"/>
                <c:pt idx="0">
                  <c:v>przemysł i budownictwo</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(TABLICA!$J$4;TABLICA!$J$8)</c:f>
              <c:strCache>
                <c:ptCount val="2"/>
                <c:pt idx="0">
                  <c:v>POLSKA</c:v>
                </c:pt>
                <c:pt idx="1">
                  <c:v>ŚLĄSKIE</c:v>
                </c:pt>
              </c:strCache>
            </c:strRef>
          </c:cat>
          <c:val>
            <c:numRef>
              <c:f>(TABLICA!$L$4;TABLICA!$L$8)</c:f>
              <c:numCache>
                <c:formatCode>0.0%</c:formatCode>
                <c:ptCount val="2"/>
                <c:pt idx="0">
                  <c:v>0.26404129708294849</c:v>
                </c:pt>
                <c:pt idx="1">
                  <c:v>0.35088260730703397</c:v>
                </c:pt>
              </c:numCache>
            </c:numRef>
          </c:val>
        </c:ser>
        <c:ser>
          <c:idx val="2"/>
          <c:order val="2"/>
          <c:tx>
            <c:strRef>
              <c:f>TABLICA!$M$1</c:f>
              <c:strCache>
                <c:ptCount val="1"/>
                <c:pt idx="0">
                  <c:v>handel i usługi</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(TABLICA!$J$4;TABLICA!$J$8)</c:f>
              <c:strCache>
                <c:ptCount val="2"/>
                <c:pt idx="0">
                  <c:v>POLSKA</c:v>
                </c:pt>
                <c:pt idx="1">
                  <c:v>ŚLĄSKIE</c:v>
                </c:pt>
              </c:strCache>
            </c:strRef>
          </c:cat>
          <c:val>
            <c:numRef>
              <c:f>(TABLICA!$M$4;TABLICA!$M$8)</c:f>
              <c:numCache>
                <c:formatCode>0.0%</c:formatCode>
                <c:ptCount val="2"/>
                <c:pt idx="0">
                  <c:v>0.24649418733201928</c:v>
                </c:pt>
                <c:pt idx="1">
                  <c:v>0.2584669176269066</c:v>
                </c:pt>
              </c:numCache>
            </c:numRef>
          </c:val>
        </c:ser>
        <c:ser>
          <c:idx val="3"/>
          <c:order val="3"/>
          <c:tx>
            <c:strRef>
              <c:f>TABLICA!$N$1</c:f>
              <c:strCache>
                <c:ptCount val="1"/>
                <c:pt idx="0">
                  <c:v>działalność finansowa i ubezpieczeniowa; obsługa rynku nieruchomości</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(TABLICA!$J$4;TABLICA!$J$8)</c:f>
              <c:strCache>
                <c:ptCount val="2"/>
                <c:pt idx="0">
                  <c:v>POLSKA</c:v>
                </c:pt>
                <c:pt idx="1">
                  <c:v>ŚLĄSKIE</c:v>
                </c:pt>
              </c:strCache>
            </c:strRef>
          </c:cat>
          <c:val>
            <c:numRef>
              <c:f>(TABLICA!$N$4;TABLICA!$N$8)</c:f>
              <c:numCache>
                <c:formatCode>0.0%</c:formatCode>
                <c:ptCount val="2"/>
                <c:pt idx="0">
                  <c:v>3.9042436402689444E-2</c:v>
                </c:pt>
                <c:pt idx="1">
                  <c:v>3.7820473714367052E-2</c:v>
                </c:pt>
              </c:numCache>
            </c:numRef>
          </c:val>
        </c:ser>
        <c:ser>
          <c:idx val="4"/>
          <c:order val="4"/>
          <c:tx>
            <c:strRef>
              <c:f>TABLICA!$O$1</c:f>
              <c:strCache>
                <c:ptCount val="1"/>
                <c:pt idx="0">
                  <c:v>pozostałe usługi</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(TABLICA!$J$4;TABLICA!$J$8)</c:f>
              <c:strCache>
                <c:ptCount val="2"/>
                <c:pt idx="0">
                  <c:v>POLSKA</c:v>
                </c:pt>
                <c:pt idx="1">
                  <c:v>ŚLĄSKIE</c:v>
                </c:pt>
              </c:strCache>
            </c:strRef>
          </c:cat>
          <c:val>
            <c:numRef>
              <c:f>(TABLICA!$O$4;TABLICA!$O$8)</c:f>
              <c:numCache>
                <c:formatCode>0.0%</c:formatCode>
                <c:ptCount val="2"/>
                <c:pt idx="0">
                  <c:v>0.28568520068126152</c:v>
                </c:pt>
                <c:pt idx="1">
                  <c:v>0.29171017800473453</c:v>
                </c:pt>
              </c:numCache>
            </c:numRef>
          </c:val>
        </c:ser>
        <c:dLbls>
          <c:dLblPos val="ctr"/>
          <c:showLegendKey val="0"/>
          <c:showVal val="1"/>
          <c:showCatName val="0"/>
          <c:showSerName val="0"/>
          <c:showPercent val="0"/>
          <c:showBubbleSize val="0"/>
        </c:dLbls>
        <c:gapWidth val="150"/>
        <c:overlap val="100"/>
        <c:axId val="648307792"/>
        <c:axId val="427050808"/>
      </c:barChart>
      <c:catAx>
        <c:axId val="648307792"/>
        <c:scaling>
          <c:orientation val="minMax"/>
        </c:scaling>
        <c:delete val="0"/>
        <c:axPos val="b"/>
        <c:numFmt formatCode="General" sourceLinked="0"/>
        <c:majorTickMark val="out"/>
        <c:minorTickMark val="none"/>
        <c:tickLblPos val="nextTo"/>
        <c:crossAx val="427050808"/>
        <c:crosses val="autoZero"/>
        <c:auto val="1"/>
        <c:lblAlgn val="ctr"/>
        <c:lblOffset val="100"/>
        <c:noMultiLvlLbl val="0"/>
      </c:catAx>
      <c:valAx>
        <c:axId val="427050808"/>
        <c:scaling>
          <c:orientation val="minMax"/>
        </c:scaling>
        <c:delete val="0"/>
        <c:axPos val="l"/>
        <c:majorGridlines/>
        <c:numFmt formatCode="0%" sourceLinked="1"/>
        <c:majorTickMark val="out"/>
        <c:minorTickMark val="none"/>
        <c:tickLblPos val="nextTo"/>
        <c:crossAx val="648307792"/>
        <c:crosses val="autoZero"/>
        <c:crossBetween val="between"/>
      </c:valAx>
    </c:plotArea>
    <c:legend>
      <c:legendPos val="r"/>
      <c:layout>
        <c:manualLayout>
          <c:xMode val="edge"/>
          <c:yMode val="edge"/>
          <c:x val="0.70637821435111314"/>
          <c:y val="8.3984073476200238E-2"/>
          <c:w val="0.28033274910403644"/>
          <c:h val="0.8135723089101371"/>
        </c:manualLayout>
      </c:layout>
      <c:overlay val="0"/>
    </c:legend>
    <c:plotVisOnly val="1"/>
    <c:dispBlanksAs val="gap"/>
    <c:showDLblsOverMax val="0"/>
  </c:chart>
  <c:spPr>
    <a:ln>
      <a:noFill/>
    </a:ln>
  </c:spPr>
  <c:txPr>
    <a:bodyPr/>
    <a:lstStyle/>
    <a:p>
      <a:pPr>
        <a:defRPr sz="900" b="1">
          <a:latin typeface="Times New Roman" panose="02020603050405020304" pitchFamily="18" charset="0"/>
          <a:cs typeface="Times New Roman" panose="02020603050405020304" pitchFamily="18" charset="0"/>
        </a:defRPr>
      </a:pPr>
      <a:endParaRPr lang="pl-PL"/>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612264172550606E-2"/>
          <c:y val="4.366199800246208E-2"/>
          <c:w val="0.90587074916907517"/>
          <c:h val="0.90584850721784782"/>
        </c:manualLayout>
      </c:layout>
      <c:lineChart>
        <c:grouping val="standard"/>
        <c:varyColors val="0"/>
        <c:ser>
          <c:idx val="0"/>
          <c:order val="0"/>
          <c:tx>
            <c:strRef>
              <c:f>'TABLICA - razem z szac. 2015'!$A$4</c:f>
              <c:strCache>
                <c:ptCount val="1"/>
                <c:pt idx="0">
                  <c:v>POLSKA</c:v>
                </c:pt>
              </c:strCache>
            </c:strRef>
          </c:tx>
          <c:spPr>
            <a:ln w="28575" cap="sq" cmpd="sng">
              <a:solidFill>
                <a:schemeClr val="accent6"/>
              </a:solidFill>
              <a:prstDash val="sysDash"/>
              <a:bevel/>
            </a:ln>
          </c:spPr>
          <c:marker>
            <c:symbol val="circle"/>
            <c:size val="5"/>
            <c:spPr>
              <a:solidFill>
                <a:schemeClr val="accent6"/>
              </a:solidFill>
              <a:ln cap="sq">
                <a:solidFill>
                  <a:schemeClr val="accent6"/>
                </a:solidFill>
                <a:prstDash val="lgDash"/>
              </a:ln>
            </c:spPr>
          </c:marker>
          <c:dLbls>
            <c:spPr>
              <a:noFill/>
              <a:ln>
                <a:noFill/>
              </a:ln>
              <a:effectLst/>
            </c:spPr>
            <c:txPr>
              <a:bodyPr/>
              <a:lstStyle/>
              <a:p>
                <a:pPr>
                  <a:defRPr sz="800" b="1" i="0" baseline="0">
                    <a:solidFill>
                      <a:schemeClr val="accent6"/>
                    </a:solidFill>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 - razem z szac. 2015'!$B$2:$Q$2</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strCache>
            </c:strRef>
          </c:cat>
          <c:val>
            <c:numRef>
              <c:f>'TABLICA - razem z szac. 2015'!$B$4:$Q$4</c:f>
              <c:numCache>
                <c:formatCode>#,##0</c:formatCode>
                <c:ptCount val="16"/>
                <c:pt idx="0">
                  <c:v>19527</c:v>
                </c:pt>
                <c:pt idx="1">
                  <c:v>20391</c:v>
                </c:pt>
                <c:pt idx="2">
                  <c:v>21203</c:v>
                </c:pt>
                <c:pt idx="3">
                  <c:v>22148</c:v>
                </c:pt>
                <c:pt idx="4">
                  <c:v>24288</c:v>
                </c:pt>
                <c:pt idx="5">
                  <c:v>25810</c:v>
                </c:pt>
                <c:pt idx="6">
                  <c:v>27935</c:v>
                </c:pt>
                <c:pt idx="7">
                  <c:v>31136</c:v>
                </c:pt>
                <c:pt idx="8">
                  <c:v>33511</c:v>
                </c:pt>
                <c:pt idx="9">
                  <c:v>35388</c:v>
                </c:pt>
                <c:pt idx="10">
                  <c:v>37524</c:v>
                </c:pt>
                <c:pt idx="11">
                  <c:v>40669</c:v>
                </c:pt>
                <c:pt idx="12">
                  <c:v>42285</c:v>
                </c:pt>
                <c:pt idx="13">
                  <c:v>43033</c:v>
                </c:pt>
                <c:pt idx="14">
                  <c:v>44686</c:v>
                </c:pt>
                <c:pt idx="15">
                  <c:v>46764</c:v>
                </c:pt>
              </c:numCache>
            </c:numRef>
          </c:val>
          <c:smooth val="0"/>
        </c:ser>
        <c:ser>
          <c:idx val="1"/>
          <c:order val="1"/>
          <c:tx>
            <c:strRef>
              <c:f>'TABLICA - razem z szac. 2015'!$A$8</c:f>
              <c:strCache>
                <c:ptCount val="1"/>
                <c:pt idx="0">
                  <c:v>ŚLĄSKIE</c:v>
                </c:pt>
              </c:strCache>
            </c:strRef>
          </c:tx>
          <c:spPr>
            <a:ln w="34925" cap="sq">
              <a:solidFill>
                <a:srgbClr val="0070C0"/>
              </a:solidFill>
              <a:prstDash val="sysDash"/>
              <a:round/>
            </a:ln>
          </c:spPr>
          <c:marker>
            <c:symbol val="circle"/>
            <c:size val="5"/>
            <c:spPr>
              <a:solidFill>
                <a:srgbClr val="0070C0"/>
              </a:solidFill>
              <a:ln>
                <a:solidFill>
                  <a:srgbClr val="0070C0"/>
                </a:solidFill>
              </a:ln>
            </c:spPr>
          </c:marker>
          <c:dLbls>
            <c:spPr>
              <a:noFill/>
            </c:spPr>
            <c:txPr>
              <a:bodyPr/>
              <a:lstStyle/>
              <a:p>
                <a:pPr>
                  <a:defRPr sz="800" b="1" baseline="0">
                    <a:solidFill>
                      <a:srgbClr val="0070C0"/>
                    </a:solidFill>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 - razem z szac. 2015'!$B$2:$Q$2</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strCache>
            </c:strRef>
          </c:cat>
          <c:val>
            <c:numRef>
              <c:f>'TABLICA - razem z szac. 2015'!$B$8:$Q$8</c:f>
              <c:numCache>
                <c:formatCode>#,##0</c:formatCode>
                <c:ptCount val="16"/>
                <c:pt idx="0">
                  <c:v>20741</c:v>
                </c:pt>
                <c:pt idx="1">
                  <c:v>21816</c:v>
                </c:pt>
                <c:pt idx="2">
                  <c:v>23022</c:v>
                </c:pt>
                <c:pt idx="3">
                  <c:v>24005</c:v>
                </c:pt>
                <c:pt idx="4">
                  <c:v>27136</c:v>
                </c:pt>
                <c:pt idx="5">
                  <c:v>27824</c:v>
                </c:pt>
                <c:pt idx="6">
                  <c:v>29644</c:v>
                </c:pt>
                <c:pt idx="7">
                  <c:v>32884</c:v>
                </c:pt>
                <c:pt idx="8">
                  <c:v>35939</c:v>
                </c:pt>
                <c:pt idx="9">
                  <c:v>37961</c:v>
                </c:pt>
                <c:pt idx="10">
                  <c:v>40201</c:v>
                </c:pt>
                <c:pt idx="11">
                  <c:v>43693</c:v>
                </c:pt>
                <c:pt idx="12">
                  <c:v>44863</c:v>
                </c:pt>
                <c:pt idx="13">
                  <c:v>44796</c:v>
                </c:pt>
                <c:pt idx="14">
                  <c:v>46499</c:v>
                </c:pt>
                <c:pt idx="15">
                  <c:v>48702</c:v>
                </c:pt>
              </c:numCache>
            </c:numRef>
          </c:val>
          <c:smooth val="0"/>
        </c:ser>
        <c:dLbls>
          <c:showLegendKey val="0"/>
          <c:showVal val="0"/>
          <c:showCatName val="0"/>
          <c:showSerName val="0"/>
          <c:showPercent val="0"/>
          <c:showBubbleSize val="0"/>
        </c:dLbls>
        <c:marker val="1"/>
        <c:smooth val="0"/>
        <c:axId val="427051592"/>
        <c:axId val="427051984"/>
      </c:lineChart>
      <c:catAx>
        <c:axId val="427051592"/>
        <c:scaling>
          <c:orientation val="minMax"/>
        </c:scaling>
        <c:delete val="0"/>
        <c:axPos val="b"/>
        <c:numFmt formatCode="General" sourceLinked="0"/>
        <c:majorTickMark val="out"/>
        <c:minorTickMark val="none"/>
        <c:tickLblPos val="nextTo"/>
        <c:txPr>
          <a:bodyPr/>
          <a:lstStyle/>
          <a:p>
            <a:pPr>
              <a:defRPr sz="1000">
                <a:latin typeface="Times New Roman" panose="02020603050405020304" pitchFamily="18" charset="0"/>
                <a:cs typeface="Times New Roman" panose="02020603050405020304" pitchFamily="18" charset="0"/>
              </a:defRPr>
            </a:pPr>
            <a:endParaRPr lang="pl-PL"/>
          </a:p>
        </c:txPr>
        <c:crossAx val="427051984"/>
        <c:crosses val="autoZero"/>
        <c:auto val="1"/>
        <c:lblAlgn val="ctr"/>
        <c:lblOffset val="100"/>
        <c:noMultiLvlLbl val="0"/>
      </c:catAx>
      <c:valAx>
        <c:axId val="427051984"/>
        <c:scaling>
          <c:orientation val="minMax"/>
          <c:max val="50000"/>
          <c:min val="0"/>
        </c:scaling>
        <c:delete val="0"/>
        <c:axPos val="l"/>
        <c:numFmt formatCode="#,##0\ &quot;zł&quot;" sourceLinked="0"/>
        <c:majorTickMark val="out"/>
        <c:minorTickMark val="none"/>
        <c:tickLblPos val="nextTo"/>
        <c:txPr>
          <a:bodyPr/>
          <a:lstStyle/>
          <a:p>
            <a:pPr>
              <a:defRPr sz="1000">
                <a:latin typeface="Times New Roman" panose="02020603050405020304" pitchFamily="18" charset="0"/>
                <a:cs typeface="Times New Roman" panose="02020603050405020304" pitchFamily="18" charset="0"/>
              </a:defRPr>
            </a:pPr>
            <a:endParaRPr lang="pl-PL"/>
          </a:p>
        </c:txPr>
        <c:crossAx val="427051592"/>
        <c:crosses val="autoZero"/>
        <c:crossBetween val="between"/>
        <c:majorUnit val="5000"/>
      </c:valAx>
    </c:plotArea>
    <c:legend>
      <c:legendPos val="r"/>
      <c:layout>
        <c:manualLayout>
          <c:xMode val="edge"/>
          <c:yMode val="edge"/>
          <c:x val="0.72306110496518516"/>
          <c:y val="0.77300074261775598"/>
          <c:w val="0.26363182558637938"/>
          <c:h val="9.2432583095254692E-2"/>
        </c:manualLayout>
      </c:layout>
      <c:overlay val="0"/>
      <c:txPr>
        <a:bodyPr/>
        <a:lstStyle/>
        <a:p>
          <a:pPr>
            <a:defRPr sz="800"/>
          </a:pPr>
          <a:endParaRPr lang="pl-PL"/>
        </a:p>
      </c:txPr>
    </c:legend>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1459833368689449E-2"/>
          <c:y val="3.5372419888249823E-2"/>
          <c:w val="0.89576100927162239"/>
          <c:h val="0.88481348086517209"/>
        </c:manualLayout>
      </c:layout>
      <c:lineChart>
        <c:grouping val="standard"/>
        <c:varyColors val="0"/>
        <c:ser>
          <c:idx val="0"/>
          <c:order val="0"/>
          <c:tx>
            <c:strRef>
              <c:f>'TABLICA - razem z szac. 2015'!$A$4</c:f>
              <c:strCache>
                <c:ptCount val="1"/>
                <c:pt idx="0">
                  <c:v>POLSKA</c:v>
                </c:pt>
              </c:strCache>
            </c:strRef>
          </c:tx>
          <c:spPr>
            <a:ln cap="sq">
              <a:solidFill>
                <a:schemeClr val="accent6"/>
              </a:solidFill>
              <a:prstDash val="sysDash"/>
              <a:bevel/>
            </a:ln>
          </c:spPr>
          <c:marker>
            <c:symbol val="circle"/>
            <c:size val="5"/>
            <c:spPr>
              <a:solidFill>
                <a:schemeClr val="accent6"/>
              </a:solidFill>
              <a:ln cap="sq">
                <a:solidFill>
                  <a:schemeClr val="accent6"/>
                </a:solidFill>
                <a:prstDash val="sysDash"/>
              </a:ln>
            </c:spPr>
          </c:marker>
          <c:cat>
            <c:strRef>
              <c:f>'TABLICA - razem z szac. 2015'!$R$2:$AG$2</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strCache>
            </c:strRef>
          </c:cat>
          <c:val>
            <c:numRef>
              <c:f>'TABLICA - razem z szac. 2015'!$R$4:$AG$4</c:f>
              <c:numCache>
                <c:formatCode>0.0%</c:formatCode>
                <c:ptCount val="16"/>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numCache>
            </c:numRef>
          </c:val>
          <c:smooth val="0"/>
        </c:ser>
        <c:ser>
          <c:idx val="1"/>
          <c:order val="1"/>
          <c:tx>
            <c:strRef>
              <c:f>'TABLICA - razem z szac. 2015'!$A$8</c:f>
              <c:strCache>
                <c:ptCount val="1"/>
                <c:pt idx="0">
                  <c:v>ŚLĄSKIE</c:v>
                </c:pt>
              </c:strCache>
            </c:strRef>
          </c:tx>
          <c:spPr>
            <a:ln cap="sq">
              <a:solidFill>
                <a:srgbClr val="0070C0"/>
              </a:solidFill>
              <a:prstDash val="sysDash"/>
              <a:bevel/>
            </a:ln>
          </c:spPr>
          <c:marker>
            <c:symbol val="circle"/>
            <c:size val="5"/>
            <c:spPr>
              <a:solidFill>
                <a:srgbClr val="0070C0"/>
              </a:solidFill>
              <a:ln cap="sq">
                <a:solidFill>
                  <a:srgbClr val="0070C0"/>
                </a:solidFill>
                <a:prstDash val="sysDash"/>
                <a:bevel/>
              </a:ln>
            </c:spPr>
          </c:marker>
          <c:dLbls>
            <c:spPr>
              <a:noFill/>
              <a:ln>
                <a:noFill/>
              </a:ln>
              <a:effectLst/>
            </c:spPr>
            <c:txPr>
              <a:bodyPr/>
              <a:lstStyle/>
              <a:p>
                <a:pPr>
                  <a:defRPr sz="800" b="1" i="0" baseline="0">
                    <a:solidFill>
                      <a:srgbClr val="0070C0"/>
                    </a:solidFill>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 - razem z szac. 2015'!$R$2:$AG$2</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strCache>
            </c:strRef>
          </c:cat>
          <c:val>
            <c:numRef>
              <c:f>'TABLICA - razem z szac. 2015'!$R$8:$AG$8</c:f>
              <c:numCache>
                <c:formatCode>0.0%</c:formatCode>
                <c:ptCount val="16"/>
                <c:pt idx="0">
                  <c:v>1.0620000000000001</c:v>
                </c:pt>
                <c:pt idx="1">
                  <c:v>1.07</c:v>
                </c:pt>
                <c:pt idx="2">
                  <c:v>1.0859999999999999</c:v>
                </c:pt>
                <c:pt idx="3">
                  <c:v>1.0840000000000001</c:v>
                </c:pt>
                <c:pt idx="4">
                  <c:v>1.117</c:v>
                </c:pt>
                <c:pt idx="5">
                  <c:v>1.0780000000000001</c:v>
                </c:pt>
                <c:pt idx="6">
                  <c:v>1.0609999999999999</c:v>
                </c:pt>
                <c:pt idx="7">
                  <c:v>1.056</c:v>
                </c:pt>
                <c:pt idx="8">
                  <c:v>1.0720000000000001</c:v>
                </c:pt>
                <c:pt idx="9">
                  <c:v>1.073</c:v>
                </c:pt>
                <c:pt idx="10">
                  <c:v>1.071</c:v>
                </c:pt>
                <c:pt idx="11">
                  <c:v>1.0740000000000001</c:v>
                </c:pt>
                <c:pt idx="12">
                  <c:v>1.0609999999999999</c:v>
                </c:pt>
                <c:pt idx="13">
                  <c:v>1.0409999999999999</c:v>
                </c:pt>
                <c:pt idx="14">
                  <c:v>1.0409999999999999</c:v>
                </c:pt>
                <c:pt idx="15">
                  <c:v>1.0409999999999999</c:v>
                </c:pt>
              </c:numCache>
            </c:numRef>
          </c:val>
          <c:smooth val="0"/>
        </c:ser>
        <c:dLbls>
          <c:showLegendKey val="0"/>
          <c:showVal val="0"/>
          <c:showCatName val="0"/>
          <c:showSerName val="0"/>
          <c:showPercent val="0"/>
          <c:showBubbleSize val="0"/>
        </c:dLbls>
        <c:marker val="1"/>
        <c:smooth val="0"/>
        <c:axId val="427052768"/>
        <c:axId val="427053160"/>
      </c:lineChart>
      <c:catAx>
        <c:axId val="427052768"/>
        <c:scaling>
          <c:orientation val="minMax"/>
        </c:scaling>
        <c:delete val="0"/>
        <c:axPos val="b"/>
        <c:numFmt formatCode="General" sourceLinked="0"/>
        <c:majorTickMark val="out"/>
        <c:minorTickMark val="none"/>
        <c:tickLblPos val="nextTo"/>
        <c:txPr>
          <a:bodyPr/>
          <a:lstStyle/>
          <a:p>
            <a:pPr>
              <a:defRPr sz="900"/>
            </a:pPr>
            <a:endParaRPr lang="pl-PL"/>
          </a:p>
        </c:txPr>
        <c:crossAx val="427053160"/>
        <c:crosses val="autoZero"/>
        <c:auto val="1"/>
        <c:lblAlgn val="ctr"/>
        <c:lblOffset val="100"/>
        <c:noMultiLvlLbl val="0"/>
      </c:catAx>
      <c:valAx>
        <c:axId val="427053160"/>
        <c:scaling>
          <c:orientation val="minMax"/>
        </c:scaling>
        <c:delete val="0"/>
        <c:axPos val="l"/>
        <c:numFmt formatCode="0.0%" sourceLinked="0"/>
        <c:majorTickMark val="out"/>
        <c:minorTickMark val="none"/>
        <c:tickLblPos val="nextTo"/>
        <c:txPr>
          <a:bodyPr/>
          <a:lstStyle/>
          <a:p>
            <a:pPr>
              <a:defRPr sz="900" b="1">
                <a:latin typeface="Times New Roman" panose="02020603050405020304" pitchFamily="18" charset="0"/>
                <a:cs typeface="Times New Roman" panose="02020603050405020304" pitchFamily="18" charset="0"/>
              </a:defRPr>
            </a:pPr>
            <a:endParaRPr lang="pl-PL"/>
          </a:p>
        </c:txPr>
        <c:crossAx val="427052768"/>
        <c:crosses val="autoZero"/>
        <c:crossBetween val="between"/>
      </c:valAx>
    </c:plotArea>
    <c:legend>
      <c:legendPos val="r"/>
      <c:layout>
        <c:manualLayout>
          <c:xMode val="edge"/>
          <c:yMode val="edge"/>
          <c:x val="0.67155086021770793"/>
          <c:y val="0.77499898472576312"/>
          <c:w val="0.30381455091489157"/>
          <c:h val="0.11522364710566144"/>
        </c:manualLayout>
      </c:layout>
      <c:overlay val="0"/>
      <c:txPr>
        <a:bodyPr/>
        <a:lstStyle/>
        <a:p>
          <a:pPr>
            <a:defRPr sz="800"/>
          </a:pPr>
          <a:endParaRPr lang="pl-PL"/>
        </a:p>
      </c:txPr>
    </c:legend>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610421346234541"/>
          <c:y val="4.223498372927819E-2"/>
          <c:w val="0.81804276816495114"/>
          <c:h val="0.8624662723992006"/>
        </c:manualLayout>
      </c:layout>
      <c:lineChart>
        <c:grouping val="standard"/>
        <c:varyColors val="0"/>
        <c:ser>
          <c:idx val="0"/>
          <c:order val="0"/>
          <c:tx>
            <c:strRef>
              <c:f>'TABLICA (2)'!$A$22</c:f>
              <c:strCache>
                <c:ptCount val="1"/>
                <c:pt idx="0">
                  <c:v>PKB ogółem (udział w PKB kraju)</c:v>
                </c:pt>
              </c:strCache>
            </c:strRef>
          </c:tx>
          <c:spPr>
            <a:ln cap="sq">
              <a:solidFill>
                <a:srgbClr val="0070C0"/>
              </a:solidFill>
              <a:prstDash val="sysDash"/>
              <a:bevel/>
            </a:ln>
          </c:spPr>
          <c:marker>
            <c:symbol val="circle"/>
            <c:size val="5"/>
            <c:spPr>
              <a:solidFill>
                <a:srgbClr val="0070C0"/>
              </a:solidFill>
              <a:ln cap="sq">
                <a:solidFill>
                  <a:srgbClr val="0070C0"/>
                </a:solidFill>
                <a:prstDash val="sysDash"/>
              </a:ln>
            </c:spPr>
          </c:marker>
          <c:dLbls>
            <c:dLbl>
              <c:idx val="4"/>
              <c:layout>
                <c:manualLayout>
                  <c:x val="-4.2534903006830944E-2"/>
                  <c:y val="7.1968812721939168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0%" sourceLinked="0"/>
            <c:spPr>
              <a:noFill/>
              <a:ln>
                <a:noFill/>
              </a:ln>
              <a:effectLst/>
            </c:spPr>
            <c:txPr>
              <a:bodyPr/>
              <a:lstStyle/>
              <a:p>
                <a:pPr>
                  <a:defRPr sz="700" b="1" i="0" baseline="0">
                    <a:solidFill>
                      <a:srgbClr val="0070C0"/>
                    </a:solidFill>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 (2)'!$B$2:$Q$2</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strCache>
            </c:strRef>
          </c:cat>
          <c:val>
            <c:numRef>
              <c:f>'TABLICA (2)'!$B$22:$Q$22</c:f>
              <c:numCache>
                <c:formatCode>0.00%</c:formatCode>
                <c:ptCount val="16"/>
                <c:pt idx="0">
                  <c:v>0.13260342261107957</c:v>
                </c:pt>
                <c:pt idx="1">
                  <c:v>0.13308888105387992</c:v>
                </c:pt>
                <c:pt idx="2">
                  <c:v>0.13466408920612324</c:v>
                </c:pt>
                <c:pt idx="3">
                  <c:v>0.13401108838792808</c:v>
                </c:pt>
                <c:pt idx="4">
                  <c:v>0.13776682130817658</c:v>
                </c:pt>
                <c:pt idx="5">
                  <c:v>0.13259161413273579</c:v>
                </c:pt>
                <c:pt idx="6">
                  <c:v>0.13015567836922143</c:v>
                </c:pt>
                <c:pt idx="7">
                  <c:v>0.12918814297258194</c:v>
                </c:pt>
                <c:pt idx="8">
                  <c:v>0.13080413552729853</c:v>
                </c:pt>
                <c:pt idx="9">
                  <c:v>0.12941366523479092</c:v>
                </c:pt>
                <c:pt idx="10">
                  <c:v>0.12899217254308284</c:v>
                </c:pt>
                <c:pt idx="11">
                  <c:v>0.12911496138977657</c:v>
                </c:pt>
                <c:pt idx="12">
                  <c:v>0.12722230132466589</c:v>
                </c:pt>
                <c:pt idx="13">
                  <c:v>0.12454295581594382</c:v>
                </c:pt>
                <c:pt idx="14">
                  <c:v>0.1242010252927248</c:v>
                </c:pt>
                <c:pt idx="15">
                  <c:v>0.12398084415187216</c:v>
                </c:pt>
              </c:numCache>
            </c:numRef>
          </c:val>
          <c:smooth val="0"/>
        </c:ser>
        <c:dLbls>
          <c:showLegendKey val="0"/>
          <c:showVal val="0"/>
          <c:showCatName val="0"/>
          <c:showSerName val="0"/>
          <c:showPercent val="0"/>
          <c:showBubbleSize val="0"/>
        </c:dLbls>
        <c:marker val="1"/>
        <c:smooth val="0"/>
        <c:axId val="427053944"/>
        <c:axId val="427054336"/>
      </c:lineChart>
      <c:lineChart>
        <c:grouping val="standard"/>
        <c:varyColors val="0"/>
        <c:ser>
          <c:idx val="1"/>
          <c:order val="1"/>
          <c:tx>
            <c:strRef>
              <c:f>'TABLICA (2)'!$A$23</c:f>
              <c:strCache>
                <c:ptCount val="1"/>
                <c:pt idx="0">
                  <c:v>PKB per capita (pozycja)</c:v>
                </c:pt>
              </c:strCache>
            </c:strRef>
          </c:tx>
          <c:spPr>
            <a:ln cap="sq">
              <a:solidFill>
                <a:srgbClr val="C00000"/>
              </a:solidFill>
              <a:prstDash val="sysDash"/>
              <a:bevel/>
            </a:ln>
          </c:spPr>
          <c:marker>
            <c:symbol val="circle"/>
            <c:size val="5"/>
            <c:spPr>
              <a:solidFill>
                <a:srgbClr val="C00000"/>
              </a:solidFill>
              <a:ln cap="sq">
                <a:solidFill>
                  <a:srgbClr val="C00000"/>
                </a:solidFill>
                <a:prstDash val="sysDash"/>
                <a:bevel/>
              </a:ln>
            </c:spPr>
          </c:marker>
          <c:dLbls>
            <c:spPr>
              <a:noFill/>
              <a:ln>
                <a:noFill/>
              </a:ln>
              <a:effectLst/>
            </c:spPr>
            <c:txPr>
              <a:bodyPr/>
              <a:lstStyle/>
              <a:p>
                <a:pPr>
                  <a:defRPr sz="800" b="1" i="0" baseline="0">
                    <a:solidFill>
                      <a:srgbClr val="C00000"/>
                    </a:solidFill>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 (2)'!$B$2:$Q$2</c:f>
              <c:strCache>
                <c:ptCount val="16"/>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strCache>
            </c:strRef>
          </c:cat>
          <c:val>
            <c:numRef>
              <c:f>'TABLICA (2)'!$B$23:$Q$23</c:f>
              <c:numCache>
                <c:formatCode>General</c:formatCode>
                <c:ptCount val="16"/>
                <c:pt idx="0">
                  <c:v>3</c:v>
                </c:pt>
                <c:pt idx="1">
                  <c:v>2</c:v>
                </c:pt>
                <c:pt idx="2">
                  <c:v>2</c:v>
                </c:pt>
                <c:pt idx="3">
                  <c:v>2</c:v>
                </c:pt>
                <c:pt idx="4">
                  <c:v>2</c:v>
                </c:pt>
                <c:pt idx="5">
                  <c:v>3</c:v>
                </c:pt>
                <c:pt idx="6">
                  <c:v>4</c:v>
                </c:pt>
                <c:pt idx="7">
                  <c:v>4</c:v>
                </c:pt>
                <c:pt idx="8">
                  <c:v>3</c:v>
                </c:pt>
                <c:pt idx="9">
                  <c:v>4</c:v>
                </c:pt>
                <c:pt idx="10">
                  <c:v>3</c:v>
                </c:pt>
                <c:pt idx="11">
                  <c:v>3</c:v>
                </c:pt>
                <c:pt idx="12">
                  <c:v>3</c:v>
                </c:pt>
                <c:pt idx="13">
                  <c:v>4</c:v>
                </c:pt>
                <c:pt idx="14">
                  <c:v>4</c:v>
                </c:pt>
                <c:pt idx="15">
                  <c:v>4</c:v>
                </c:pt>
              </c:numCache>
            </c:numRef>
          </c:val>
          <c:smooth val="0"/>
        </c:ser>
        <c:dLbls>
          <c:showLegendKey val="0"/>
          <c:showVal val="0"/>
          <c:showCatName val="0"/>
          <c:showSerName val="0"/>
          <c:showPercent val="0"/>
          <c:showBubbleSize val="0"/>
        </c:dLbls>
        <c:marker val="1"/>
        <c:smooth val="0"/>
        <c:axId val="648852432"/>
        <c:axId val="648852040"/>
      </c:lineChart>
      <c:catAx>
        <c:axId val="427053944"/>
        <c:scaling>
          <c:orientation val="minMax"/>
        </c:scaling>
        <c:delete val="0"/>
        <c:axPos val="b"/>
        <c:numFmt formatCode="General" sourceLinked="0"/>
        <c:majorTickMark val="out"/>
        <c:minorTickMark val="none"/>
        <c:tickLblPos val="nextTo"/>
        <c:txPr>
          <a:bodyPr/>
          <a:lstStyle/>
          <a:p>
            <a:pPr>
              <a:defRPr sz="900"/>
            </a:pPr>
            <a:endParaRPr lang="pl-PL"/>
          </a:p>
        </c:txPr>
        <c:crossAx val="427054336"/>
        <c:crossesAt val="0.1"/>
        <c:auto val="1"/>
        <c:lblAlgn val="ctr"/>
        <c:lblOffset val="100"/>
        <c:noMultiLvlLbl val="0"/>
      </c:catAx>
      <c:valAx>
        <c:axId val="427054336"/>
        <c:scaling>
          <c:orientation val="minMax"/>
          <c:max val="0.15000000000000002"/>
          <c:min val="0.12000000000000001"/>
        </c:scaling>
        <c:delete val="0"/>
        <c:axPos val="l"/>
        <c:numFmt formatCode="0.00%" sourceLinked="1"/>
        <c:majorTickMark val="out"/>
        <c:minorTickMark val="out"/>
        <c:tickLblPos val="nextTo"/>
        <c:spPr>
          <a:noFill/>
          <a:ln>
            <a:solidFill>
              <a:srgbClr val="0070C0"/>
            </a:solidFill>
            <a:bevel/>
          </a:ln>
          <a:effectLst>
            <a:outerShdw blurRad="50800" dist="50800" dir="5400000" algn="ctr" rotWithShape="0">
              <a:schemeClr val="bg1"/>
            </a:outerShdw>
          </a:effectLst>
        </c:spPr>
        <c:txPr>
          <a:bodyPr/>
          <a:lstStyle/>
          <a:p>
            <a:pPr>
              <a:defRPr sz="900" b="1" i="0" baseline="0">
                <a:solidFill>
                  <a:srgbClr val="0070C0"/>
                </a:solidFill>
              </a:defRPr>
            </a:pPr>
            <a:endParaRPr lang="pl-PL"/>
          </a:p>
        </c:txPr>
        <c:crossAx val="427053944"/>
        <c:crosses val="autoZero"/>
        <c:crossBetween val="between"/>
        <c:majorUnit val="1.0000000000000002E-2"/>
        <c:minorUnit val="5.000000000000001E-3"/>
      </c:valAx>
      <c:valAx>
        <c:axId val="648852040"/>
        <c:scaling>
          <c:orientation val="maxMin"/>
          <c:max val="6"/>
          <c:min val="1"/>
        </c:scaling>
        <c:delete val="0"/>
        <c:axPos val="r"/>
        <c:numFmt formatCode="General" sourceLinked="1"/>
        <c:majorTickMark val="out"/>
        <c:minorTickMark val="none"/>
        <c:tickLblPos val="nextTo"/>
        <c:spPr>
          <a:noFill/>
          <a:ln>
            <a:solidFill>
              <a:srgbClr val="C00000"/>
            </a:solidFill>
          </a:ln>
        </c:spPr>
        <c:txPr>
          <a:bodyPr/>
          <a:lstStyle/>
          <a:p>
            <a:pPr>
              <a:defRPr sz="900" b="1">
                <a:solidFill>
                  <a:srgbClr val="C00000"/>
                </a:solidFill>
              </a:defRPr>
            </a:pPr>
            <a:endParaRPr lang="pl-PL"/>
          </a:p>
        </c:txPr>
        <c:crossAx val="648852432"/>
        <c:crosses val="max"/>
        <c:crossBetween val="between"/>
        <c:majorUnit val="1"/>
      </c:valAx>
      <c:catAx>
        <c:axId val="648852432"/>
        <c:scaling>
          <c:orientation val="minMax"/>
        </c:scaling>
        <c:delete val="1"/>
        <c:axPos val="t"/>
        <c:numFmt formatCode="General" sourceLinked="1"/>
        <c:majorTickMark val="out"/>
        <c:minorTickMark val="none"/>
        <c:tickLblPos val="nextTo"/>
        <c:crossAx val="648852040"/>
        <c:crosses val="autoZero"/>
        <c:auto val="1"/>
        <c:lblAlgn val="ctr"/>
        <c:lblOffset val="100"/>
        <c:noMultiLvlLbl val="0"/>
      </c:catAx>
    </c:plotArea>
    <c:legend>
      <c:legendPos val="r"/>
      <c:layout>
        <c:manualLayout>
          <c:xMode val="edge"/>
          <c:yMode val="edge"/>
          <c:x val="0.62243411881207156"/>
          <c:y val="2.4260498687664046E-2"/>
          <c:w val="0.29697980060184781"/>
          <c:h val="0.2111220472440945"/>
        </c:manualLayout>
      </c:layout>
      <c:overlay val="0"/>
      <c:txPr>
        <a:bodyPr/>
        <a:lstStyle/>
        <a:p>
          <a:pPr>
            <a:defRPr sz="800"/>
          </a:pPr>
          <a:endParaRPr lang="pl-PL"/>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TABLICA!$A$32:$A$40</c:f>
              <c:strCache>
                <c:ptCount val="9"/>
                <c:pt idx="0">
                  <c:v>PODREGION GLIWICKI</c:v>
                </c:pt>
                <c:pt idx="1">
                  <c:v>PODREGION RYBNICKI</c:v>
                </c:pt>
                <c:pt idx="2">
                  <c:v>PODREGION TYSKI</c:v>
                </c:pt>
                <c:pt idx="3">
                  <c:v>PODREGION KATOWICKI</c:v>
                </c:pt>
                <c:pt idx="4">
                  <c:v>PODREGION CZĘSTOCHOWSKI</c:v>
                </c:pt>
                <c:pt idx="5">
                  <c:v>PODREGION BYTOMSKI</c:v>
                </c:pt>
                <c:pt idx="6">
                  <c:v>PODREGION SOSNOWIECKI</c:v>
                </c:pt>
                <c:pt idx="7">
                  <c:v>PODREGION BIELSKI</c:v>
                </c:pt>
                <c:pt idx="8">
                  <c:v>POLSKA</c:v>
                </c:pt>
              </c:strCache>
            </c:strRef>
          </c:cat>
          <c:val>
            <c:numRef>
              <c:f>TABLICA!$B$32:$B$40</c:f>
              <c:numCache>
                <c:formatCode>General</c:formatCode>
                <c:ptCount val="9"/>
                <c:pt idx="0">
                  <c:v>1.5985824433695703</c:v>
                </c:pt>
                <c:pt idx="1">
                  <c:v>1.3331757754800591</c:v>
                </c:pt>
                <c:pt idx="2">
                  <c:v>1.2396642592231115</c:v>
                </c:pt>
                <c:pt idx="3">
                  <c:v>1.2291727565039463</c:v>
                </c:pt>
                <c:pt idx="4">
                  <c:v>1.1823475152772973</c:v>
                </c:pt>
                <c:pt idx="5">
                  <c:v>1.1606533718184204</c:v>
                </c:pt>
                <c:pt idx="6">
                  <c:v>1.1598211072842235</c:v>
                </c:pt>
                <c:pt idx="7">
                  <c:v>1.099889165973954</c:v>
                </c:pt>
                <c:pt idx="8">
                  <c:v>1.2884211604445128</c:v>
                </c:pt>
              </c:numCache>
            </c:numRef>
          </c:val>
        </c:ser>
        <c:dLbls>
          <c:showLegendKey val="0"/>
          <c:showVal val="0"/>
          <c:showCatName val="0"/>
          <c:showSerName val="0"/>
          <c:showPercent val="0"/>
          <c:showBubbleSize val="0"/>
        </c:dLbls>
        <c:gapWidth val="77"/>
        <c:overlap val="-1"/>
        <c:axId val="648853216"/>
        <c:axId val="648853608"/>
      </c:barChart>
      <c:catAx>
        <c:axId val="648853216"/>
        <c:scaling>
          <c:orientation val="maxMin"/>
        </c:scaling>
        <c:delete val="0"/>
        <c:axPos val="l"/>
        <c:numFmt formatCode="General" sourceLinked="0"/>
        <c:majorTickMark val="out"/>
        <c:minorTickMark val="none"/>
        <c:tickLblPos val="nextTo"/>
        <c:crossAx val="648853608"/>
        <c:crosses val="autoZero"/>
        <c:auto val="1"/>
        <c:lblAlgn val="ctr"/>
        <c:lblOffset val="100"/>
        <c:noMultiLvlLbl val="0"/>
      </c:catAx>
      <c:valAx>
        <c:axId val="648853608"/>
        <c:scaling>
          <c:orientation val="minMax"/>
        </c:scaling>
        <c:delete val="0"/>
        <c:axPos val="b"/>
        <c:numFmt formatCode="0.0%" sourceLinked="0"/>
        <c:majorTickMark val="out"/>
        <c:minorTickMark val="none"/>
        <c:tickLblPos val="nextTo"/>
        <c:crossAx val="648853216"/>
        <c:crosses val="max"/>
        <c:crossBetween val="between"/>
      </c:valAx>
      <c:spPr>
        <a:ln>
          <a:noFill/>
        </a:ln>
      </c:spPr>
    </c:plotArea>
    <c:plotVisOnly val="1"/>
    <c:dispBlanksAs val="gap"/>
    <c:showDLblsOverMax val="0"/>
  </c:chart>
  <c:spPr>
    <a:ln>
      <a:noFill/>
    </a:ln>
  </c:spPr>
  <c:txPr>
    <a:bodyPr/>
    <a:lstStyle/>
    <a:p>
      <a:pPr>
        <a:defRPr b="1">
          <a:latin typeface="Times New Roman" panose="02020603050405020304" pitchFamily="18" charset="0"/>
          <a:cs typeface="Times New Roman" panose="02020603050405020304" pitchFamily="18" charset="0"/>
        </a:defRPr>
      </a:pPr>
      <a:endParaRPr lang="pl-PL"/>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1"/>
          <c:order val="0"/>
          <c:tx>
            <c:strRef>
              <c:f>TABLICA!$C$56</c:f>
              <c:strCache>
                <c:ptCount val="1"/>
                <c:pt idx="0">
                  <c:v>2014</c:v>
                </c:pt>
              </c:strCache>
            </c:strRef>
          </c:tx>
          <c:invertIfNegative val="0"/>
          <c:dLbls>
            <c:numFmt formatCode="0.0%" sourceLinked="0"/>
            <c:spPr>
              <a:noFill/>
              <a:ln>
                <a:noFill/>
              </a:ln>
              <a:effectLst/>
            </c:spPr>
            <c:txPr>
              <a:bodyPr/>
              <a:lstStyle/>
              <a:p>
                <a:pPr>
                  <a:defRPr sz="9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TABLICA!$A$57:$A$65</c:f>
              <c:strCache>
                <c:ptCount val="9"/>
                <c:pt idx="0">
                  <c:v>PODREGION KATOWICKI</c:v>
                </c:pt>
                <c:pt idx="1">
                  <c:v>PODREGION TYSKI</c:v>
                </c:pt>
                <c:pt idx="2">
                  <c:v>PODREGION GLIWICKI</c:v>
                </c:pt>
                <c:pt idx="3">
                  <c:v>PODREGION BIELSKI</c:v>
                </c:pt>
                <c:pt idx="4">
                  <c:v>PODREGION SOSNOWIECKI</c:v>
                </c:pt>
                <c:pt idx="5">
                  <c:v>PODREGION RYBNICKI</c:v>
                </c:pt>
                <c:pt idx="6">
                  <c:v>PODREGION CZĘSTOCHOWSKI</c:v>
                </c:pt>
                <c:pt idx="7">
                  <c:v>PODREGION BYTOMSKI</c:v>
                </c:pt>
                <c:pt idx="8">
                  <c:v>POLSKA</c:v>
                </c:pt>
              </c:strCache>
            </c:strRef>
          </c:cat>
          <c:val>
            <c:numRef>
              <c:f>TABLICA!$C$57:$C$65</c:f>
              <c:numCache>
                <c:formatCode>General</c:formatCode>
                <c:ptCount val="9"/>
                <c:pt idx="0">
                  <c:v>1.3652598129167972</c:v>
                </c:pt>
                <c:pt idx="1">
                  <c:v>1.2838249116054246</c:v>
                </c:pt>
                <c:pt idx="2">
                  <c:v>1.2142729266436916</c:v>
                </c:pt>
                <c:pt idx="3">
                  <c:v>1.0175670232287517</c:v>
                </c:pt>
                <c:pt idx="4">
                  <c:v>0.94022736427516451</c:v>
                </c:pt>
                <c:pt idx="5">
                  <c:v>0.88369959271360154</c:v>
                </c:pt>
                <c:pt idx="6">
                  <c:v>0.84713333034955018</c:v>
                </c:pt>
                <c:pt idx="7">
                  <c:v>0.73707648928075908</c:v>
                </c:pt>
                <c:pt idx="8">
                  <c:v>1</c:v>
                </c:pt>
              </c:numCache>
            </c:numRef>
          </c:val>
        </c:ser>
        <c:ser>
          <c:idx val="0"/>
          <c:order val="1"/>
          <c:tx>
            <c:strRef>
              <c:f>TABLICA!$B$56</c:f>
              <c:strCache>
                <c:ptCount val="1"/>
                <c:pt idx="0">
                  <c:v>2000</c:v>
                </c:pt>
              </c:strCache>
            </c:strRef>
          </c:tx>
          <c:invertIfNegative val="0"/>
          <c:dLbls>
            <c:numFmt formatCode="0.0%" sourceLinked="0"/>
            <c:spPr>
              <a:noFill/>
              <a:ln>
                <a:noFill/>
              </a:ln>
              <a:effectLst/>
            </c:spPr>
            <c:txPr>
              <a:bodyPr/>
              <a:lstStyle/>
              <a:p>
                <a:pPr>
                  <a:defRPr sz="90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TABLICA!$A$57:$A$65</c:f>
              <c:strCache>
                <c:ptCount val="9"/>
                <c:pt idx="0">
                  <c:v>PODREGION KATOWICKI</c:v>
                </c:pt>
                <c:pt idx="1">
                  <c:v>PODREGION TYSKI</c:v>
                </c:pt>
                <c:pt idx="2">
                  <c:v>PODREGION GLIWICKI</c:v>
                </c:pt>
                <c:pt idx="3">
                  <c:v>PODREGION BIELSKI</c:v>
                </c:pt>
                <c:pt idx="4">
                  <c:v>PODREGION SOSNOWIECKI</c:v>
                </c:pt>
                <c:pt idx="5">
                  <c:v>PODREGION RYBNICKI</c:v>
                </c:pt>
                <c:pt idx="6">
                  <c:v>PODREGION CZĘSTOCHOWSKI</c:v>
                </c:pt>
                <c:pt idx="7">
                  <c:v>PODREGION BYTOMSKI</c:v>
                </c:pt>
                <c:pt idx="8">
                  <c:v>POLSKA</c:v>
                </c:pt>
              </c:strCache>
            </c:strRef>
          </c:cat>
          <c:val>
            <c:numRef>
              <c:f>TABLICA!$B$57:$B$65</c:f>
              <c:numCache>
                <c:formatCode>General</c:formatCode>
                <c:ptCount val="9"/>
                <c:pt idx="0">
                  <c:v>1.4015465765350541</c:v>
                </c:pt>
                <c:pt idx="1">
                  <c:v>1.3117734419009577</c:v>
                </c:pt>
                <c:pt idx="2">
                  <c:v>1.0693398883597072</c:v>
                </c:pt>
                <c:pt idx="3">
                  <c:v>1.1089261023198649</c:v>
                </c:pt>
                <c:pt idx="4">
                  <c:v>0.9962103753776822</c:v>
                </c:pt>
                <c:pt idx="5">
                  <c:v>0.86674860449633839</c:v>
                </c:pt>
                <c:pt idx="6">
                  <c:v>0.88830849592871408</c:v>
                </c:pt>
                <c:pt idx="7">
                  <c:v>0.78066267219747021</c:v>
                </c:pt>
                <c:pt idx="8">
                  <c:v>1</c:v>
                </c:pt>
              </c:numCache>
            </c:numRef>
          </c:val>
        </c:ser>
        <c:dLbls>
          <c:showLegendKey val="0"/>
          <c:showVal val="0"/>
          <c:showCatName val="0"/>
          <c:showSerName val="0"/>
          <c:showPercent val="0"/>
          <c:showBubbleSize val="0"/>
        </c:dLbls>
        <c:gapWidth val="64"/>
        <c:axId val="648854392"/>
        <c:axId val="648854784"/>
      </c:barChart>
      <c:catAx>
        <c:axId val="648854392"/>
        <c:scaling>
          <c:orientation val="maxMin"/>
        </c:scaling>
        <c:delete val="0"/>
        <c:axPos val="l"/>
        <c:numFmt formatCode="0.0%" sourceLinked="0"/>
        <c:majorTickMark val="out"/>
        <c:minorTickMark val="none"/>
        <c:tickLblPos val="nextTo"/>
        <c:txPr>
          <a:bodyPr/>
          <a:lstStyle/>
          <a:p>
            <a:pPr>
              <a:defRPr sz="1000" b="1">
                <a:latin typeface="Times New Roman" panose="02020603050405020304" pitchFamily="18" charset="0"/>
                <a:cs typeface="Times New Roman" panose="02020603050405020304" pitchFamily="18" charset="0"/>
              </a:defRPr>
            </a:pPr>
            <a:endParaRPr lang="pl-PL"/>
          </a:p>
        </c:txPr>
        <c:crossAx val="648854784"/>
        <c:crosses val="autoZero"/>
        <c:auto val="1"/>
        <c:lblAlgn val="ctr"/>
        <c:lblOffset val="100"/>
        <c:noMultiLvlLbl val="0"/>
      </c:catAx>
      <c:valAx>
        <c:axId val="648854784"/>
        <c:scaling>
          <c:orientation val="minMax"/>
        </c:scaling>
        <c:delete val="0"/>
        <c:axPos val="b"/>
        <c:numFmt formatCode="0.0%" sourceLinked="0"/>
        <c:majorTickMark val="out"/>
        <c:minorTickMark val="none"/>
        <c:tickLblPos val="nextTo"/>
        <c:txPr>
          <a:bodyPr/>
          <a:lstStyle/>
          <a:p>
            <a:pPr>
              <a:defRPr sz="900"/>
            </a:pPr>
            <a:endParaRPr lang="pl-PL"/>
          </a:p>
        </c:txPr>
        <c:crossAx val="648854392"/>
        <c:crosses val="max"/>
        <c:crossBetween val="between"/>
      </c:valAx>
    </c:plotArea>
    <c:legend>
      <c:legendPos val="r"/>
      <c:layout>
        <c:manualLayout>
          <c:xMode val="edge"/>
          <c:yMode val="edge"/>
          <c:x val="0.82675418372703413"/>
          <c:y val="0.56422016841510425"/>
          <c:w val="0.10964577427821523"/>
          <c:h val="0.1408816569231463"/>
        </c:manualLayout>
      </c:layout>
      <c:overlay val="0"/>
      <c:txPr>
        <a:bodyPr/>
        <a:lstStyle/>
        <a:p>
          <a:pPr>
            <a:defRPr sz="1000">
              <a:latin typeface="Times New Roman" panose="02020603050405020304" pitchFamily="18" charset="0"/>
              <a:cs typeface="Times New Roman" panose="02020603050405020304" pitchFamily="18" charset="0"/>
            </a:defRPr>
          </a:pPr>
          <a:endParaRPr lang="pl-PL"/>
        </a:p>
      </c:txPr>
    </c:legend>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'Priorytet I'!$B$5:$H$5</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I'!$B$6:$H$6</c:f>
              <c:numCache>
                <c:formatCode>General</c:formatCode>
                <c:ptCount val="7"/>
                <c:pt idx="0" formatCode="#,##0.00">
                  <c:v>296238553</c:v>
                </c:pt>
                <c:pt idx="2" formatCode="#,##0.00">
                  <c:v>564382190.41707242</c:v>
                </c:pt>
                <c:pt idx="3" formatCode="#,##0.00">
                  <c:v>395471981.71994287</c:v>
                </c:pt>
                <c:pt idx="4" formatCode="#,##0.00">
                  <c:v>273507298.13778573</c:v>
                </c:pt>
                <c:pt idx="5" formatCode="#,##0.00">
                  <c:v>277148924.73663938</c:v>
                </c:pt>
                <c:pt idx="6" formatCode="#,##0.00">
                  <c:v>288838904.66000003</c:v>
                </c:pt>
              </c:numCache>
            </c:numRef>
          </c:val>
        </c:ser>
        <c:dLbls>
          <c:showLegendKey val="0"/>
          <c:showVal val="0"/>
          <c:showCatName val="0"/>
          <c:showSerName val="0"/>
          <c:showPercent val="0"/>
          <c:showBubbleSize val="0"/>
        </c:dLbls>
        <c:gapWidth val="75"/>
        <c:overlap val="-25"/>
        <c:axId val="648855568"/>
        <c:axId val="648855960"/>
      </c:barChart>
      <c:lineChart>
        <c:grouping val="standard"/>
        <c:varyColors val="0"/>
        <c:ser>
          <c:idx val="1"/>
          <c:order val="1"/>
          <c:spPr>
            <a:ln w="38100" cap="rnd">
              <a:solidFill>
                <a:schemeClr val="tx1">
                  <a:lumMod val="95000"/>
                  <a:lumOff val="5000"/>
                </a:schemeClr>
              </a:solidFill>
              <a:round/>
            </a:ln>
            <a:effectLst/>
          </c:spPr>
          <c:marker>
            <c:symbol val="none"/>
          </c:marker>
          <c:dLbls>
            <c:dLbl>
              <c:idx val="4"/>
              <c:tx>
                <c:rich>
                  <a:bodyPr/>
                  <a:lstStyle/>
                  <a:p>
                    <a:r>
                      <a:rPr lang="en-US"/>
                      <a:t>94%</a:t>
                    </a:r>
                  </a:p>
                </c:rich>
              </c:tx>
              <c:dLblPos val="b"/>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'Priorytet I'!$B$5:$H$5</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I'!$B$7:$H$7</c:f>
              <c:numCache>
                <c:formatCode>General</c:formatCode>
                <c:ptCount val="7"/>
                <c:pt idx="0" formatCode="0%">
                  <c:v>1</c:v>
                </c:pt>
                <c:pt idx="2" formatCode="0%">
                  <c:v>1.9051611773740753</c:v>
                </c:pt>
                <c:pt idx="3" formatCode="0%">
                  <c:v>1.3349781036769475</c:v>
                </c:pt>
                <c:pt idx="4" formatCode="0%">
                  <c:v>0.92326706084668775</c:v>
                </c:pt>
                <c:pt idx="5" formatCode="0%">
                  <c:v>0.93555994629989769</c:v>
                </c:pt>
                <c:pt idx="6" formatCode="0%">
                  <c:v>0.97502131891658284</c:v>
                </c:pt>
              </c:numCache>
            </c:numRef>
          </c:val>
          <c:smooth val="0"/>
        </c:ser>
        <c:dLbls>
          <c:showLegendKey val="0"/>
          <c:showVal val="0"/>
          <c:showCatName val="0"/>
          <c:showSerName val="0"/>
          <c:showPercent val="0"/>
          <c:showBubbleSize val="0"/>
        </c:dLbls>
        <c:marker val="1"/>
        <c:smooth val="0"/>
        <c:axId val="648856744"/>
        <c:axId val="648856352"/>
      </c:lineChart>
      <c:catAx>
        <c:axId val="648855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8855960"/>
        <c:crosses val="autoZero"/>
        <c:auto val="1"/>
        <c:lblAlgn val="ctr"/>
        <c:lblOffset val="100"/>
        <c:noMultiLvlLbl val="0"/>
      </c:catAx>
      <c:valAx>
        <c:axId val="6488559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8855568"/>
        <c:crosses val="autoZero"/>
        <c:crossBetween val="between"/>
        <c:dispUnits>
          <c:builtInUnit val="millions"/>
          <c:dispUnitsLbl>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ispUnitsLbl>
        </c:dispUnits>
      </c:valAx>
      <c:valAx>
        <c:axId val="648856352"/>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8856744"/>
        <c:crosses val="max"/>
        <c:crossBetween val="between"/>
      </c:valAx>
      <c:catAx>
        <c:axId val="648856744"/>
        <c:scaling>
          <c:orientation val="minMax"/>
        </c:scaling>
        <c:delete val="1"/>
        <c:axPos val="b"/>
        <c:numFmt formatCode="General" sourceLinked="1"/>
        <c:majorTickMark val="out"/>
        <c:minorTickMark val="none"/>
        <c:tickLblPos val="nextTo"/>
        <c:crossAx val="64885635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82677488291508"/>
          <c:y val="3.6399735274652546E-2"/>
          <c:w val="0.79993508962717708"/>
          <c:h val="0.83615741778141395"/>
        </c:manualLayout>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extLst xmlns:c16r2="http://schemas.microsoft.com/office/drawing/2015/06/chart">
              <c:ext xmlns:c16="http://schemas.microsoft.com/office/drawing/2014/chart" uri="{C3380CC4-5D6E-409C-BE32-E72D297353CC}">
                <c16:uniqueId val="{00000001-042A-4EBE-BDEA-1539BDFE376A}"/>
              </c:ext>
            </c:extLst>
          </c:dPt>
          <c:dLbls>
            <c:dLbl>
              <c:idx val="4"/>
              <c:layout/>
              <c:tx>
                <c:rich>
                  <a:bodyPr/>
                  <a:lstStyle/>
                  <a:p>
                    <a:r>
                      <a:rPr lang="en-US"/>
                      <a:t>1 681,96</a:t>
                    </a:r>
                  </a:p>
                </c:rich>
              </c:tx>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'Cały program'!$A$6:$G$6</c:f>
              <c:strCache>
                <c:ptCount val="7"/>
                <c:pt idx="0">
                  <c:v>Allocation</c:v>
                </c:pt>
                <c:pt idx="2">
                  <c:v>Applications after a formal evaluation</c:v>
                </c:pt>
                <c:pt idx="3">
                  <c:v>Applications selected for funding</c:v>
                </c:pt>
                <c:pt idx="4">
                  <c:v>Contracting</c:v>
                </c:pt>
                <c:pt idx="5">
                  <c:v>Payments </c:v>
                </c:pt>
                <c:pt idx="6">
                  <c:v>Certification</c:v>
                </c:pt>
              </c:strCache>
            </c:strRef>
          </c:cat>
          <c:val>
            <c:numRef>
              <c:f>'Cały program'!$A$7:$G$7</c:f>
              <c:numCache>
                <c:formatCode>General</c:formatCode>
                <c:ptCount val="7"/>
                <c:pt idx="0" formatCode="#,##0.00">
                  <c:v>1747.1</c:v>
                </c:pt>
                <c:pt idx="2" formatCode="#,##0.00">
                  <c:v>3069.71</c:v>
                </c:pt>
                <c:pt idx="3" formatCode="#,##0.00">
                  <c:v>2103.63</c:v>
                </c:pt>
                <c:pt idx="4" formatCode="#,##0.00">
                  <c:v>1683.12</c:v>
                </c:pt>
                <c:pt idx="5" formatCode="#,##0.00">
                  <c:v>1661.65</c:v>
                </c:pt>
                <c:pt idx="6" formatCode="#,##0.00">
                  <c:v>1739.15</c:v>
                </c:pt>
              </c:numCache>
            </c:numRef>
          </c:val>
          <c:extLst xmlns:c16r2="http://schemas.microsoft.com/office/drawing/2015/06/chart">
            <c:ext xmlns:c16="http://schemas.microsoft.com/office/drawing/2014/chart" uri="{C3380CC4-5D6E-409C-BE32-E72D297353CC}">
              <c16:uniqueId val="{00000002-042A-4EBE-BDEA-1539BDFE376A}"/>
            </c:ext>
          </c:extLst>
        </c:ser>
        <c:dLbls>
          <c:showLegendKey val="0"/>
          <c:showVal val="0"/>
          <c:showCatName val="0"/>
          <c:showSerName val="0"/>
          <c:showPercent val="0"/>
          <c:showBubbleSize val="0"/>
        </c:dLbls>
        <c:gapWidth val="71"/>
        <c:overlap val="-75"/>
        <c:axId val="470754912"/>
        <c:axId val="470755304"/>
      </c:barChart>
      <c:lineChart>
        <c:grouping val="standard"/>
        <c:varyColors val="0"/>
        <c:ser>
          <c:idx val="1"/>
          <c:order val="1"/>
          <c:spPr>
            <a:ln w="38100" cap="rnd">
              <a:solidFill>
                <a:schemeClr val="tx1"/>
              </a:solidFill>
              <a:round/>
            </a:ln>
            <a:effectLst/>
          </c:spPr>
          <c:marker>
            <c:symbol val="none"/>
          </c:marker>
          <c:dLbls>
            <c:dLbl>
              <c:idx val="2"/>
              <c:layout>
                <c:manualLayout>
                  <c:x val="-5.6136654096336967E-2"/>
                  <c:y val="-4.70949985418489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2A-4EBE-BDEA-1539BDFE376A}"/>
                </c:ext>
                <c:ext xmlns:c15="http://schemas.microsoft.com/office/drawing/2012/chart" uri="{CE6537A1-D6FC-4f65-9D91-7224C49458BB}">
                  <c15:layout/>
                </c:ext>
              </c:extLst>
            </c:dLbl>
            <c:dLbl>
              <c:idx val="3"/>
              <c:layout>
                <c:manualLayout>
                  <c:x val="-1.8463490674776765E-2"/>
                  <c:y val="-3.800942914922519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2A-4EBE-BDEA-1539BDFE376A}"/>
                </c:ext>
                <c:ext xmlns:c15="http://schemas.microsoft.com/office/drawing/2012/chart" uri="{CE6537A1-D6FC-4f65-9D91-7224C49458BB}">
                  <c15:layout/>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'Cały program'!$A$6:$G$6</c:f>
              <c:strCache>
                <c:ptCount val="7"/>
                <c:pt idx="0">
                  <c:v>Allocation</c:v>
                </c:pt>
                <c:pt idx="2">
                  <c:v>Applications after a formal evaluation</c:v>
                </c:pt>
                <c:pt idx="3">
                  <c:v>Applications selected for funding</c:v>
                </c:pt>
                <c:pt idx="4">
                  <c:v>Contracting</c:v>
                </c:pt>
                <c:pt idx="5">
                  <c:v>Payments </c:v>
                </c:pt>
                <c:pt idx="6">
                  <c:v>Certification</c:v>
                </c:pt>
              </c:strCache>
            </c:strRef>
          </c:cat>
          <c:val>
            <c:numRef>
              <c:f>'Cały program'!$A$8:$G$8</c:f>
              <c:numCache>
                <c:formatCode>General</c:formatCode>
                <c:ptCount val="7"/>
                <c:pt idx="0" formatCode="0.00%">
                  <c:v>1</c:v>
                </c:pt>
                <c:pt idx="2" formatCode="0.00%">
                  <c:v>1.7570316524526359</c:v>
                </c:pt>
                <c:pt idx="3" formatCode="0.00%">
                  <c:v>1.204069601053174</c:v>
                </c:pt>
                <c:pt idx="4" formatCode="0.00%">
                  <c:v>0.96337931429225576</c:v>
                </c:pt>
                <c:pt idx="5" formatCode="0.00%">
                  <c:v>0.95109037834125132</c:v>
                </c:pt>
                <c:pt idx="6" formatCode="0.00%">
                  <c:v>0.99544960219792811</c:v>
                </c:pt>
              </c:numCache>
            </c:numRef>
          </c:val>
          <c:smooth val="0"/>
          <c:extLst xmlns:c16r2="http://schemas.microsoft.com/office/drawing/2015/06/chart">
            <c:ext xmlns:c16="http://schemas.microsoft.com/office/drawing/2014/chart" uri="{C3380CC4-5D6E-409C-BE32-E72D297353CC}">
              <c16:uniqueId val="{00000005-042A-4EBE-BDEA-1539BDFE376A}"/>
            </c:ext>
          </c:extLst>
        </c:ser>
        <c:dLbls>
          <c:showLegendKey val="0"/>
          <c:showVal val="0"/>
          <c:showCatName val="0"/>
          <c:showSerName val="0"/>
          <c:showPercent val="0"/>
          <c:showBubbleSize val="0"/>
        </c:dLbls>
        <c:marker val="1"/>
        <c:smooth val="0"/>
        <c:axId val="470756872"/>
        <c:axId val="470755696"/>
      </c:lineChart>
      <c:catAx>
        <c:axId val="470754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70755304"/>
        <c:crosses val="autoZero"/>
        <c:auto val="1"/>
        <c:lblAlgn val="ctr"/>
        <c:lblOffset val="100"/>
        <c:noMultiLvlLbl val="0"/>
      </c:catAx>
      <c:valAx>
        <c:axId val="4707553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70754912"/>
        <c:crosses val="autoZero"/>
        <c:crossBetween val="between"/>
      </c:valAx>
      <c:valAx>
        <c:axId val="470755696"/>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70756872"/>
        <c:crosses val="max"/>
        <c:crossBetween val="between"/>
      </c:valAx>
      <c:catAx>
        <c:axId val="470756872"/>
        <c:scaling>
          <c:orientation val="minMax"/>
        </c:scaling>
        <c:delete val="1"/>
        <c:axPos val="b"/>
        <c:numFmt formatCode="General" sourceLinked="1"/>
        <c:majorTickMark val="out"/>
        <c:minorTickMark val="none"/>
        <c:tickLblPos val="nextTo"/>
        <c:crossAx val="470755696"/>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4.2498435821455366E-6"/>
          <c:y val="5.1686125441216403E-2"/>
          <c:w val="0.65219219371772086"/>
          <c:h val="0.87261053906723196"/>
        </c:manualLayout>
      </c:layout>
      <c:doughnutChart>
        <c:varyColors val="1"/>
        <c:ser>
          <c:idx val="0"/>
          <c:order val="0"/>
          <c:dPt>
            <c:idx val="0"/>
            <c:bubble3D val="0"/>
            <c:explosion val="21"/>
            <c:spPr>
              <a:solidFill>
                <a:schemeClr val="accent6">
                  <a:shade val="53000"/>
                </a:schemeClr>
              </a:solidFill>
              <a:ln>
                <a:noFill/>
              </a:ln>
              <a:effectLst/>
              <a:scene3d>
                <a:camera prst="orthographicFront"/>
                <a:lightRig rig="brightRoom" dir="t"/>
              </a:scene3d>
              <a:sp3d prstMaterial="flat">
                <a:bevelT w="50800" h="101600" prst="angle"/>
                <a:contourClr>
                  <a:srgbClr val="000000"/>
                </a:contourClr>
              </a:sp3d>
            </c:spPr>
          </c:dPt>
          <c:dPt>
            <c:idx val="1"/>
            <c:bubble3D val="0"/>
            <c:explosion val="27"/>
            <c:spPr>
              <a:solidFill>
                <a:schemeClr val="accent6">
                  <a:shade val="76000"/>
                </a:schemeClr>
              </a:solidFill>
              <a:ln>
                <a:noFill/>
              </a:ln>
              <a:effectLst/>
              <a:scene3d>
                <a:camera prst="orthographicFront"/>
                <a:lightRig rig="brightRoom" dir="t"/>
              </a:scene3d>
              <a:sp3d prstMaterial="flat">
                <a:bevelT w="50800" h="101600" prst="angle"/>
                <a:contourClr>
                  <a:srgbClr val="000000"/>
                </a:contourClr>
              </a:sp3d>
            </c:spPr>
          </c:dPt>
          <c:dPt>
            <c:idx val="2"/>
            <c:bubble3D val="0"/>
            <c:explosion val="11"/>
            <c:spPr>
              <a:solidFill>
                <a:schemeClr val="accent6"/>
              </a:solidFill>
              <a:ln>
                <a:noFill/>
              </a:ln>
              <a:effectLst/>
              <a:scene3d>
                <a:camera prst="orthographicFront"/>
                <a:lightRig rig="brightRoom" dir="t"/>
              </a:scene3d>
              <a:sp3d prstMaterial="flat">
                <a:bevelT w="50800" h="101600" prst="angle"/>
                <a:contourClr>
                  <a:srgbClr val="000000"/>
                </a:contourClr>
              </a:sp3d>
            </c:spPr>
          </c:dPt>
          <c:dPt>
            <c:idx val="3"/>
            <c:bubble3D val="0"/>
            <c:explosion val="12"/>
            <c:spPr>
              <a:solidFill>
                <a:schemeClr val="accent6">
                  <a:tint val="77000"/>
                </a:schemeClr>
              </a:solidFill>
              <a:ln>
                <a:noFill/>
              </a:ln>
              <a:effectLst/>
              <a:scene3d>
                <a:camera prst="orthographicFront"/>
                <a:lightRig rig="brightRoom" dir="t"/>
              </a:scene3d>
              <a:sp3d prstMaterial="flat">
                <a:bevelT w="50800" h="101600" prst="angle"/>
                <a:contourClr>
                  <a:srgbClr val="000000"/>
                </a:contourClr>
              </a:sp3d>
            </c:spPr>
          </c:dPt>
          <c:dPt>
            <c:idx val="4"/>
            <c:bubble3D val="0"/>
            <c:explosion val="27"/>
            <c:spPr>
              <a:solidFill>
                <a:schemeClr val="accent6">
                  <a:tint val="54000"/>
                </a:schemeClr>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1.3230429988974642E-2"/>
                  <c:y val="-1.1702750146284368E-2"/>
                </c:manualLayout>
              </c:layout>
              <c:tx>
                <c:rich>
                  <a:bodyPr/>
                  <a:lstStyle/>
                  <a:p>
                    <a:fld id="{908CBE4E-33FF-411F-8E17-551A9524D841}" type="VALUE">
                      <a:rPr lang="en-US"/>
                      <a:pPr/>
                      <a:t>[WARTOŚĆ]</a:t>
                    </a:fld>
                    <a:r>
                      <a:rPr lang="en-US"/>
                      <a:t>%</a:t>
                    </a:r>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1"/>
              <c:tx>
                <c:rich>
                  <a:bodyPr/>
                  <a:lstStyle/>
                  <a:p>
                    <a:fld id="{C2212656-06FA-41F2-84FA-0D8A0A1E0238}" type="VALUE">
                      <a:rPr lang="en-US"/>
                      <a:pPr/>
                      <a:t>[WARTOŚĆ]</a:t>
                    </a:fld>
                    <a:r>
                      <a:rPr lang="en-US"/>
                      <a:t>%</a:t>
                    </a:r>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2"/>
              <c:tx>
                <c:rich>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228207FC-E712-46F1-A5BB-63A26FCCB9E2}" type="VALUE">
                      <a:rPr lang="en-US"/>
                      <a:pPr>
                        <a:defRPr/>
                      </a:pPr>
                      <a:t>[WARTOŚĆ]</a:t>
                    </a:fld>
                    <a:r>
                      <a:rPr lang="en-US"/>
                      <a:t>%</a:t>
                    </a:r>
                  </a:p>
                </c:rich>
              </c:tx>
              <c:spPr>
                <a:solidFill>
                  <a:schemeClr val="lt1"/>
                </a:solidFill>
                <a:ln>
                  <a:solidFill>
                    <a:schemeClr val="dk1">
                      <a:lumMod val="25000"/>
                      <a:lumOff val="75000"/>
                    </a:scheme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15:dlblFieldTable/>
                  <c15:showDataLabelsRange val="0"/>
                </c:ext>
              </c:extLst>
            </c:dLbl>
            <c:dLbl>
              <c:idx val="3"/>
              <c:tx>
                <c:rich>
                  <a:bodyPr/>
                  <a:lstStyle/>
                  <a:p>
                    <a:fld id="{C94E25BC-6662-4D03-80FC-E0936BBF38B6}" type="VALUE">
                      <a:rPr lang="en-US"/>
                      <a:pPr/>
                      <a:t>[WARTOŚĆ]</a:t>
                    </a:fld>
                    <a:r>
                      <a:rPr lang="en-US"/>
                      <a:t>%</a:t>
                    </a:r>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4"/>
              <c:layout>
                <c:manualLayout>
                  <c:x val="-2.8665931642778392E-2"/>
                  <c:y val="-5.8513750731421892E-2"/>
                </c:manualLayout>
              </c:layout>
              <c:tx>
                <c:rich>
                  <a:bodyPr/>
                  <a:lstStyle/>
                  <a:p>
                    <a:fld id="{6E741742-590B-4C27-808B-DAC64D68A301}" type="VALUE">
                      <a:rPr lang="en-US"/>
                      <a:pPr/>
                      <a:t>[WARTOŚĆ]</a:t>
                    </a:fld>
                    <a:r>
                      <a:rPr lang="en-US"/>
                      <a:t>%</a:t>
                    </a:r>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'Priorytet I'!$B$40:$B$44</c:f>
              <c:strCache>
                <c:ptCount val="5"/>
                <c:pt idx="0">
                  <c:v>inne (85 umów)</c:v>
                </c:pt>
                <c:pt idx="1">
                  <c:v>jst (97 umów)</c:v>
                </c:pt>
                <c:pt idx="2">
                  <c:v>organizacja non profit (31 umów)</c:v>
                </c:pt>
                <c:pt idx="3">
                  <c:v>przedsiębiorstwa (3 031 umowy)</c:v>
                </c:pt>
                <c:pt idx="4">
                  <c:v>uczelnie, jednostki naukowe (16 umów)</c:v>
                </c:pt>
              </c:strCache>
            </c:strRef>
          </c:cat>
          <c:val>
            <c:numRef>
              <c:f>'Priorytet I'!$C$40:$C$44</c:f>
              <c:numCache>
                <c:formatCode>#,##0.00</c:formatCode>
                <c:ptCount val="5"/>
                <c:pt idx="0">
                  <c:v>1.0970808410080535</c:v>
                </c:pt>
                <c:pt idx="1">
                  <c:v>24.94591608681959</c:v>
                </c:pt>
                <c:pt idx="2">
                  <c:v>1.6123012805885095</c:v>
                </c:pt>
                <c:pt idx="3">
                  <c:v>69.950584309494673</c:v>
                </c:pt>
                <c:pt idx="4">
                  <c:v>2.394117482089182</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layout>
        <c:manualLayout>
          <c:xMode val="edge"/>
          <c:yMode val="edge"/>
          <c:x val="0.65940619329970751"/>
          <c:y val="0.15213575190169687"/>
          <c:w val="0.28537724956376048"/>
          <c:h val="0.65182782520821525"/>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070248909930708E-2"/>
          <c:y val="5.508077073352876E-2"/>
          <c:w val="0.92521167774982804"/>
          <c:h val="0.85440327047850384"/>
        </c:manualLayout>
      </c:layout>
      <c:bar3DChart>
        <c:barDir val="col"/>
        <c:grouping val="clustered"/>
        <c:varyColors val="0"/>
        <c:ser>
          <c:idx val="0"/>
          <c:order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F0"/>
              </a:contourClr>
            </a:sp3d>
          </c:spPr>
          <c:invertIfNegative val="0"/>
          <c:dLbls>
            <c:dLbl>
              <c:idx val="0"/>
              <c:layout>
                <c:manualLayout>
                  <c:x val="2.6959767731231855E-2"/>
                  <c:y val="-2.7860696517413082E-2"/>
                </c:manualLayout>
              </c:layout>
              <c:tx>
                <c:rich>
                  <a:bodyPr/>
                  <a:lstStyle/>
                  <a:p>
                    <a:fld id="{502E27DC-0D8A-4603-907D-7C4DD7471A34}"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1.0369141435089175E-2"/>
                  <c:y val="-3.5820895522388208E-2"/>
                </c:manualLayout>
              </c:layout>
              <c:tx>
                <c:rich>
                  <a:bodyPr/>
                  <a:lstStyle/>
                  <a:p>
                    <a:fld id="{63D44538-DCDA-42F6-811F-0765F89F2396}"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1.1258927632417027E-2"/>
                  <c:y val="-3.7810631879970247E-2"/>
                </c:manualLayout>
              </c:layout>
              <c:tx>
                <c:rich>
                  <a:bodyPr/>
                  <a:lstStyle/>
                  <a:p>
                    <a:fld id="{FB7FA2E1-2C48-4E11-907B-80212D671E67}"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1.6590582817390908E-2"/>
                  <c:y val="-5.1741293532338348E-2"/>
                </c:manualLayout>
              </c:layout>
              <c:tx>
                <c:rich>
                  <a:bodyPr/>
                  <a:lstStyle/>
                  <a:p>
                    <a:fld id="{0B520FA2-E7C9-4C9A-BA02-5ED93D458B12}" type="VALUE">
                      <a:rPr lang="en-US"/>
                      <a:pPr/>
                      <a:t>[WARTOŚĆ]</a:t>
                    </a:fld>
                    <a:r>
                      <a:rPr lang="en-US" baseline="0"/>
                      <a:t> </a:t>
                    </a:r>
                    <a:r>
                      <a:rPr lang="en-US"/>
                      <a:t>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'1'!$A$1:$D$1</c:f>
              <c:strCache>
                <c:ptCount val="4"/>
                <c:pt idx="0">
                  <c:v>&lt; 50%</c:v>
                </c:pt>
                <c:pt idx="1">
                  <c:v>50%-75%</c:v>
                </c:pt>
                <c:pt idx="2">
                  <c:v>75%-125%</c:v>
                </c:pt>
                <c:pt idx="3">
                  <c:v>&gt;125%</c:v>
                </c:pt>
              </c:strCache>
            </c:strRef>
          </c:cat>
          <c:val>
            <c:numRef>
              <c:f>'1'!$A$2:$D$2</c:f>
              <c:numCache>
                <c:formatCode>General</c:formatCode>
                <c:ptCount val="4"/>
                <c:pt idx="0">
                  <c:v>1</c:v>
                </c:pt>
                <c:pt idx="1">
                  <c:v>1</c:v>
                </c:pt>
                <c:pt idx="2">
                  <c:v>10</c:v>
                </c:pt>
                <c:pt idx="3">
                  <c:v>7</c:v>
                </c:pt>
              </c:numCache>
            </c:numRef>
          </c:val>
        </c:ser>
        <c:dLbls>
          <c:showLegendKey val="0"/>
          <c:showVal val="0"/>
          <c:showCatName val="0"/>
          <c:showSerName val="0"/>
          <c:showPercent val="0"/>
          <c:showBubbleSize val="0"/>
        </c:dLbls>
        <c:gapWidth val="150"/>
        <c:shape val="box"/>
        <c:axId val="648857528"/>
        <c:axId val="648857920"/>
        <c:axId val="0"/>
      </c:bar3DChart>
      <c:catAx>
        <c:axId val="6488575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crossAx val="648857920"/>
        <c:crosses val="autoZero"/>
        <c:auto val="1"/>
        <c:lblAlgn val="ctr"/>
        <c:lblOffset val="100"/>
        <c:noMultiLvlLbl val="0"/>
      </c:catAx>
      <c:valAx>
        <c:axId val="64885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crossAx val="6488575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II'!$A$4:$G$4</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II'!$A$5:$G$5</c:f>
              <c:numCache>
                <c:formatCode>General</c:formatCode>
                <c:ptCount val="7"/>
                <c:pt idx="0" formatCode="#,##0.00">
                  <c:v>150000000</c:v>
                </c:pt>
                <c:pt idx="2" formatCode="#,##0.00">
                  <c:v>181243100.86314309</c:v>
                </c:pt>
                <c:pt idx="3" formatCode="#,##0.00">
                  <c:v>161991045.93235314</c:v>
                </c:pt>
                <c:pt idx="4" formatCode="#,##0.00">
                  <c:v>130795882.24326587</c:v>
                </c:pt>
                <c:pt idx="5" formatCode="#,##0.00">
                  <c:v>129192303.66552638</c:v>
                </c:pt>
                <c:pt idx="6" formatCode="#,##0.00">
                  <c:v>134614347.09999999</c:v>
                </c:pt>
              </c:numCache>
            </c:numRef>
          </c:val>
        </c:ser>
        <c:dLbls>
          <c:showLegendKey val="0"/>
          <c:showVal val="0"/>
          <c:showCatName val="0"/>
          <c:showSerName val="0"/>
          <c:showPercent val="0"/>
          <c:showBubbleSize val="0"/>
        </c:dLbls>
        <c:gapWidth val="75"/>
        <c:overlap val="-25"/>
        <c:axId val="648858704"/>
        <c:axId val="648859096"/>
      </c:barChart>
      <c:lineChart>
        <c:grouping val="standard"/>
        <c:varyColors val="0"/>
        <c:ser>
          <c:idx val="1"/>
          <c:order val="1"/>
          <c:spPr>
            <a:ln w="38100" cap="rnd">
              <a:solidFill>
                <a:schemeClr val="tx1"/>
              </a:solidFill>
              <a:round/>
            </a:ln>
            <a:effectLst/>
          </c:spPr>
          <c:marker>
            <c:symbol val="none"/>
          </c:marker>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II'!$A$4:$G$4</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II'!$A$6:$G$6</c:f>
              <c:numCache>
                <c:formatCode>General</c:formatCode>
                <c:ptCount val="7"/>
                <c:pt idx="0" formatCode="0%">
                  <c:v>1</c:v>
                </c:pt>
                <c:pt idx="2" formatCode="0%">
                  <c:v>1.2082873390876205</c:v>
                </c:pt>
                <c:pt idx="3" formatCode="0%">
                  <c:v>1.0799403062156876</c:v>
                </c:pt>
                <c:pt idx="4" formatCode="0%">
                  <c:v>0.87197254828843906</c:v>
                </c:pt>
                <c:pt idx="5" formatCode="0%">
                  <c:v>0.86128202443684254</c:v>
                </c:pt>
                <c:pt idx="6" formatCode="0%">
                  <c:v>0.89742898066666665</c:v>
                </c:pt>
              </c:numCache>
            </c:numRef>
          </c:val>
          <c:smooth val="0"/>
        </c:ser>
        <c:dLbls>
          <c:showLegendKey val="0"/>
          <c:showVal val="0"/>
          <c:showCatName val="0"/>
          <c:showSerName val="0"/>
          <c:showPercent val="0"/>
          <c:showBubbleSize val="0"/>
        </c:dLbls>
        <c:marker val="1"/>
        <c:smooth val="0"/>
        <c:axId val="641008688"/>
        <c:axId val="648859488"/>
      </c:lineChart>
      <c:catAx>
        <c:axId val="648858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8859096"/>
        <c:crosses val="autoZero"/>
        <c:auto val="1"/>
        <c:lblAlgn val="ctr"/>
        <c:lblOffset val="100"/>
        <c:noMultiLvlLbl val="0"/>
      </c:catAx>
      <c:valAx>
        <c:axId val="6488590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8858704"/>
        <c:crosses val="autoZero"/>
        <c:crossBetween val="between"/>
        <c:dispUnits>
          <c:builtInUnit val="millions"/>
          <c:dispUnitsLbl>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ispUnitsLbl>
        </c:dispUnits>
      </c:valAx>
      <c:valAx>
        <c:axId val="648859488"/>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08688"/>
        <c:crosses val="max"/>
        <c:crossBetween val="between"/>
      </c:valAx>
      <c:catAx>
        <c:axId val="641008688"/>
        <c:scaling>
          <c:orientation val="minMax"/>
        </c:scaling>
        <c:delete val="1"/>
        <c:axPos val="b"/>
        <c:numFmt formatCode="General" sourceLinked="1"/>
        <c:majorTickMark val="out"/>
        <c:minorTickMark val="none"/>
        <c:tickLblPos val="nextTo"/>
        <c:crossAx val="64885948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2.0033137787915576E-2"/>
          <c:y val="0.11413703550214117"/>
          <c:w val="0.62361694945612112"/>
          <c:h val="0.84805829534466082"/>
        </c:manualLayout>
      </c:layout>
      <c:doughnutChart>
        <c:varyColors val="1"/>
        <c:ser>
          <c:idx val="0"/>
          <c:order val="0"/>
          <c:dPt>
            <c:idx val="0"/>
            <c:bubble3D val="0"/>
            <c:explosion val="12"/>
            <c:spPr>
              <a:solidFill>
                <a:schemeClr val="accent6">
                  <a:shade val="50000"/>
                </a:schemeClr>
              </a:solidFill>
              <a:ln w="19050">
                <a:solidFill>
                  <a:schemeClr val="lt1"/>
                </a:solidFill>
              </a:ln>
              <a:effectLst/>
            </c:spPr>
          </c:dPt>
          <c:dPt>
            <c:idx val="1"/>
            <c:bubble3D val="0"/>
            <c:explosion val="12"/>
            <c:spPr>
              <a:solidFill>
                <a:schemeClr val="accent6">
                  <a:shade val="70000"/>
                </a:schemeClr>
              </a:solidFill>
              <a:ln w="19050">
                <a:solidFill>
                  <a:schemeClr val="lt1"/>
                </a:solidFill>
              </a:ln>
              <a:effectLst/>
            </c:spPr>
          </c:dPt>
          <c:dPt>
            <c:idx val="2"/>
            <c:bubble3D val="0"/>
            <c:explosion val="18"/>
            <c:spPr>
              <a:solidFill>
                <a:schemeClr val="accent6">
                  <a:shade val="90000"/>
                </a:schemeClr>
              </a:solidFill>
              <a:ln w="19050">
                <a:solidFill>
                  <a:schemeClr val="lt1"/>
                </a:solidFill>
              </a:ln>
              <a:effectLst/>
            </c:spPr>
          </c:dPt>
          <c:dPt>
            <c:idx val="3"/>
            <c:bubble3D val="0"/>
            <c:spPr>
              <a:solidFill>
                <a:schemeClr val="accent6">
                  <a:tint val="90000"/>
                </a:schemeClr>
              </a:solidFill>
              <a:ln w="19050">
                <a:solidFill>
                  <a:schemeClr val="lt1"/>
                </a:solidFill>
              </a:ln>
              <a:effectLst/>
            </c:spPr>
          </c:dPt>
          <c:dPt>
            <c:idx val="4"/>
            <c:bubble3D val="0"/>
            <c:explosion val="23"/>
            <c:spPr>
              <a:solidFill>
                <a:schemeClr val="accent6">
                  <a:tint val="70000"/>
                </a:schemeClr>
              </a:solidFill>
              <a:ln w="19050">
                <a:solidFill>
                  <a:schemeClr val="lt1"/>
                </a:solidFill>
              </a:ln>
              <a:effectLst/>
            </c:spPr>
          </c:dPt>
          <c:dPt>
            <c:idx val="5"/>
            <c:bubble3D val="0"/>
            <c:explosion val="30"/>
            <c:spPr>
              <a:solidFill>
                <a:schemeClr val="accent6">
                  <a:tint val="50000"/>
                </a:schemeClr>
              </a:solidFill>
              <a:ln w="19050">
                <a:solidFill>
                  <a:schemeClr val="lt1"/>
                </a:solidFill>
              </a:ln>
              <a:effectLst/>
            </c:spPr>
          </c:dPt>
          <c:dLbls>
            <c:dLbl>
              <c:idx val="0"/>
              <c:tx>
                <c:rich>
                  <a:bodyPr/>
                  <a:lstStyle/>
                  <a:p>
                    <a:fld id="{63B0D43F-F9BC-4CDC-AEF1-051FA23187B0}"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0E0CF28E-020B-41EE-828A-A5471168EE36}"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78D8C4DF-AD99-44C1-87B4-811BDCB9983B}"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3.6660618635460024E-2"/>
                  <c:y val="6.8011244575773531E-3"/>
                </c:manualLayout>
              </c:layout>
              <c:tx>
                <c:rich>
                  <a:bodyPr/>
                  <a:lstStyle/>
                  <a:p>
                    <a:fld id="{B7D5D57D-9F99-45FC-BC09-4B095FD325BC}"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4"/>
              <c:layout>
                <c:manualLayout>
                  <c:x val="-3.3997517124030978E-2"/>
                  <c:y val="-9.4264735066481448E-2"/>
                </c:manualLayout>
              </c:layout>
              <c:tx>
                <c:rich>
                  <a:bodyPr/>
                  <a:lstStyle/>
                  <a:p>
                    <a:fld id="{CC9A1C37-E1D6-4D1C-BED4-D80822699723}"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5"/>
              <c:layout>
                <c:manualLayout>
                  <c:x val="4.189636163175299E-2"/>
                  <c:y val="-5.5566580670768008E-2"/>
                </c:manualLayout>
              </c:layout>
              <c:tx>
                <c:rich>
                  <a:bodyPr/>
                  <a:lstStyle/>
                  <a:p>
                    <a:fld id="{DA3230EB-DDD3-4439-8C07-69529E17BCD0}"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'Priorytet II'!$B$38:$B$43</c:f>
              <c:strCache>
                <c:ptCount val="6"/>
                <c:pt idx="0">
                  <c:v>inne (50 umów)</c:v>
                </c:pt>
                <c:pt idx="1">
                  <c:v>jst (158 umów)</c:v>
                </c:pt>
                <c:pt idx="2">
                  <c:v>organ władzy, administracji rządowej (4 umowy)</c:v>
                </c:pt>
                <c:pt idx="3">
                  <c:v>organizacja non profit (2 umowy)</c:v>
                </c:pt>
                <c:pt idx="4">
                  <c:v>przedsiębiorstwa (11 umów)</c:v>
                </c:pt>
                <c:pt idx="5">
                  <c:v>uczelnie, jednostki naukowe (2 umowy) </c:v>
                </c:pt>
              </c:strCache>
            </c:strRef>
          </c:cat>
          <c:val>
            <c:numRef>
              <c:f>'Priorytet II'!$C$38:$C$43</c:f>
              <c:numCache>
                <c:formatCode>#,##0.00</c:formatCode>
                <c:ptCount val="6"/>
                <c:pt idx="0">
                  <c:v>29.362237877990122</c:v>
                </c:pt>
                <c:pt idx="1">
                  <c:v>64.295139158358424</c:v>
                </c:pt>
                <c:pt idx="2">
                  <c:v>3.3216384874593552</c:v>
                </c:pt>
                <c:pt idx="3">
                  <c:v>0.29974984304553731</c:v>
                </c:pt>
                <c:pt idx="4">
                  <c:v>1.8113653371845728</c:v>
                </c:pt>
                <c:pt idx="5">
                  <c:v>0.90986929596198529</c:v>
                </c:pt>
              </c:numCache>
            </c:numRef>
          </c:val>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64583168977682759"/>
          <c:y val="0.14346720626402146"/>
          <c:w val="0.33389681306374741"/>
          <c:h val="0.71719516902022495"/>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1.3215859030836984E-2"/>
                  <c:y val="-6.2949640287769781E-2"/>
                </c:manualLayout>
              </c:layout>
              <c:tx>
                <c:rich>
                  <a:bodyPr/>
                  <a:lstStyle/>
                  <a:p>
                    <a:fld id="{9FABA239-BD66-4235-964E-9056F4DBA8DB}"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0"/>
                  <c:y val="-4.4964028776978499E-2"/>
                </c:manualLayout>
              </c:layout>
              <c:tx>
                <c:rich>
                  <a:bodyPr/>
                  <a:lstStyle/>
                  <a:p>
                    <a:fld id="{F686D2C7-C3A6-4648-ACF3-45AD7379D863}"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2.2026431718061675E-2"/>
                  <c:y val="-5.3956834532374098E-2"/>
                </c:manualLayout>
              </c:layout>
              <c:tx>
                <c:rich>
                  <a:bodyPr/>
                  <a:lstStyle/>
                  <a:p>
                    <a:fld id="{3F00B8F3-4BFC-4626-A8B0-C9AC8C72F3DA}"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1.9823788546255508E-2"/>
                  <c:y val="-3.5971223021582732E-2"/>
                </c:manualLayout>
              </c:layout>
              <c:tx>
                <c:rich>
                  <a:bodyPr/>
                  <a:lstStyle/>
                  <a:p>
                    <a:fld id="{9E1253CC-5F51-4DC0-9E28-C373E845C200}"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'2'!$A$1:$D$1</c:f>
              <c:strCache>
                <c:ptCount val="4"/>
                <c:pt idx="0">
                  <c:v>&lt; 50%</c:v>
                </c:pt>
                <c:pt idx="1">
                  <c:v>50%-75%</c:v>
                </c:pt>
                <c:pt idx="2">
                  <c:v>75%-125%</c:v>
                </c:pt>
                <c:pt idx="3">
                  <c:v>&gt;125%</c:v>
                </c:pt>
              </c:strCache>
            </c:strRef>
          </c:cat>
          <c:val>
            <c:numRef>
              <c:f>'2'!$A$2:$D$2</c:f>
              <c:numCache>
                <c:formatCode>General</c:formatCode>
                <c:ptCount val="4"/>
                <c:pt idx="0">
                  <c:v>3</c:v>
                </c:pt>
                <c:pt idx="1">
                  <c:v>0</c:v>
                </c:pt>
                <c:pt idx="2">
                  <c:v>0</c:v>
                </c:pt>
                <c:pt idx="3">
                  <c:v>9</c:v>
                </c:pt>
              </c:numCache>
            </c:numRef>
          </c:val>
        </c:ser>
        <c:dLbls>
          <c:showLegendKey val="0"/>
          <c:showVal val="1"/>
          <c:showCatName val="0"/>
          <c:showSerName val="0"/>
          <c:showPercent val="0"/>
          <c:showBubbleSize val="0"/>
        </c:dLbls>
        <c:gapWidth val="150"/>
        <c:shape val="box"/>
        <c:axId val="641009472"/>
        <c:axId val="641009864"/>
        <c:axId val="0"/>
      </c:bar3DChart>
      <c:catAx>
        <c:axId val="641009472"/>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layout>
            <c:manualLayout>
              <c:xMode val="edge"/>
              <c:yMode val="edge"/>
              <c:x val="0.2879239654514551"/>
              <c:y val="0.89592526765988789"/>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09864"/>
        <c:crosses val="autoZero"/>
        <c:auto val="1"/>
        <c:lblAlgn val="ctr"/>
        <c:lblOffset val="100"/>
        <c:noMultiLvlLbl val="0"/>
      </c:catAx>
      <c:valAx>
        <c:axId val="641009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09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III'!$A$5:$G$5</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III'!$A$6:$G$6</c:f>
              <c:numCache>
                <c:formatCode>General</c:formatCode>
                <c:ptCount val="7"/>
                <c:pt idx="0" formatCode="#,##0.00">
                  <c:v>110420000</c:v>
                </c:pt>
                <c:pt idx="2" formatCode="#,##0.00">
                  <c:v>189202702.88394007</c:v>
                </c:pt>
                <c:pt idx="3" formatCode="#,##0.00">
                  <c:v>139960170.04598898</c:v>
                </c:pt>
                <c:pt idx="4" formatCode="#,##0.00">
                  <c:v>102330621.87535396</c:v>
                </c:pt>
                <c:pt idx="5" formatCode="#,##0.00">
                  <c:v>102194202.97682427</c:v>
                </c:pt>
                <c:pt idx="6" formatCode="#,##0.00">
                  <c:v>106442499.23</c:v>
                </c:pt>
              </c:numCache>
            </c:numRef>
          </c:val>
        </c:ser>
        <c:dLbls>
          <c:showLegendKey val="0"/>
          <c:showVal val="0"/>
          <c:showCatName val="0"/>
          <c:showSerName val="0"/>
          <c:showPercent val="0"/>
          <c:showBubbleSize val="0"/>
        </c:dLbls>
        <c:gapWidth val="75"/>
        <c:overlap val="-25"/>
        <c:axId val="641010648"/>
        <c:axId val="641011040"/>
      </c:barChart>
      <c:lineChart>
        <c:grouping val="standard"/>
        <c:varyColors val="0"/>
        <c:ser>
          <c:idx val="1"/>
          <c:order val="1"/>
          <c:spPr>
            <a:ln w="38100" cap="rnd">
              <a:solidFill>
                <a:schemeClr val="tx1">
                  <a:lumMod val="95000"/>
                  <a:lumOff val="5000"/>
                </a:schemeClr>
              </a:solidFill>
              <a:round/>
            </a:ln>
            <a:effectLst/>
          </c:spPr>
          <c:marker>
            <c:symbol val="none"/>
          </c:marker>
          <c:dLbls>
            <c:dLbl>
              <c:idx val="4"/>
              <c:tx>
                <c:rich>
                  <a:bodyPr/>
                  <a:lstStyle/>
                  <a:p>
                    <a:r>
                      <a:rPr lang="en-US"/>
                      <a:t>96%</a:t>
                    </a:r>
                  </a:p>
                </c:rich>
              </c:tx>
              <c:dLblPos val="b"/>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III'!$A$5:$G$5</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III'!$A$7:$G$7</c:f>
              <c:numCache>
                <c:formatCode>General</c:formatCode>
                <c:ptCount val="7"/>
                <c:pt idx="0" formatCode="0%">
                  <c:v>1</c:v>
                </c:pt>
                <c:pt idx="2" formatCode="0%">
                  <c:v>1.7134821851470754</c:v>
                </c:pt>
                <c:pt idx="3" formatCode="0%">
                  <c:v>1.2675255392681486</c:v>
                </c:pt>
                <c:pt idx="4" formatCode="0%">
                  <c:v>0.92673991917545695</c:v>
                </c:pt>
                <c:pt idx="5" formatCode="0%">
                  <c:v>0.92550446456098778</c:v>
                </c:pt>
                <c:pt idx="6" formatCode="0%">
                  <c:v>0.96397843896033331</c:v>
                </c:pt>
              </c:numCache>
            </c:numRef>
          </c:val>
          <c:smooth val="0"/>
        </c:ser>
        <c:dLbls>
          <c:showLegendKey val="0"/>
          <c:showVal val="0"/>
          <c:showCatName val="0"/>
          <c:showSerName val="0"/>
          <c:showPercent val="0"/>
          <c:showBubbleSize val="0"/>
        </c:dLbls>
        <c:marker val="1"/>
        <c:smooth val="0"/>
        <c:axId val="641011824"/>
        <c:axId val="641011432"/>
      </c:lineChart>
      <c:catAx>
        <c:axId val="641010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1040"/>
        <c:crosses val="autoZero"/>
        <c:auto val="1"/>
        <c:lblAlgn val="ctr"/>
        <c:lblOffset val="100"/>
        <c:noMultiLvlLbl val="0"/>
      </c:catAx>
      <c:valAx>
        <c:axId val="6410110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0648"/>
        <c:crosses val="autoZero"/>
        <c:crossBetween val="between"/>
        <c:dispUnits>
          <c:builtInUnit val="millions"/>
          <c:dispUnitsLbl>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ispUnitsLbl>
        </c:dispUnits>
      </c:valAx>
      <c:valAx>
        <c:axId val="641011432"/>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1824"/>
        <c:crosses val="max"/>
        <c:crossBetween val="between"/>
      </c:valAx>
      <c:catAx>
        <c:axId val="641011824"/>
        <c:scaling>
          <c:orientation val="minMax"/>
        </c:scaling>
        <c:delete val="1"/>
        <c:axPos val="b"/>
        <c:numFmt formatCode="General" sourceLinked="1"/>
        <c:majorTickMark val="out"/>
        <c:minorTickMark val="none"/>
        <c:tickLblPos val="nextTo"/>
        <c:crossAx val="64101143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3.9944550310206661E-3"/>
          <c:y val="6.4306764745231934E-2"/>
          <c:w val="0.71142719032267088"/>
          <c:h val="0.90320553636818612"/>
        </c:manualLayout>
      </c:layout>
      <c:doughnutChart>
        <c:varyColors val="1"/>
        <c:ser>
          <c:idx val="0"/>
          <c:order val="0"/>
          <c:dPt>
            <c:idx val="0"/>
            <c:bubble3D val="0"/>
            <c:explosion val="29"/>
            <c:spPr>
              <a:solidFill>
                <a:schemeClr val="accent6">
                  <a:shade val="58000"/>
                </a:schemeClr>
              </a:solidFill>
              <a:ln w="19050">
                <a:solidFill>
                  <a:schemeClr val="lt1"/>
                </a:solidFill>
              </a:ln>
              <a:effectLst/>
            </c:spPr>
          </c:dPt>
          <c:dPt>
            <c:idx val="1"/>
            <c:bubble3D val="0"/>
            <c:explosion val="7"/>
            <c:spPr>
              <a:solidFill>
                <a:schemeClr val="accent6">
                  <a:shade val="86000"/>
                </a:schemeClr>
              </a:solidFill>
              <a:ln w="19050">
                <a:solidFill>
                  <a:schemeClr val="lt1"/>
                </a:solidFill>
              </a:ln>
              <a:effectLst/>
            </c:spPr>
          </c:dPt>
          <c:dPt>
            <c:idx val="2"/>
            <c:bubble3D val="0"/>
            <c:explosion val="3"/>
            <c:spPr>
              <a:solidFill>
                <a:schemeClr val="accent6">
                  <a:tint val="86000"/>
                </a:schemeClr>
              </a:solidFill>
              <a:ln w="19050">
                <a:solidFill>
                  <a:schemeClr val="lt1"/>
                </a:solidFill>
              </a:ln>
              <a:effectLst/>
            </c:spPr>
          </c:dPt>
          <c:dPt>
            <c:idx val="3"/>
            <c:bubble3D val="0"/>
            <c:explosion val="10"/>
            <c:spPr>
              <a:solidFill>
                <a:schemeClr val="accent6">
                  <a:tint val="58000"/>
                </a:schemeClr>
              </a:solidFill>
              <a:ln w="19050">
                <a:solidFill>
                  <a:schemeClr val="lt1"/>
                </a:solidFill>
              </a:ln>
              <a:effectLst/>
            </c:spPr>
          </c:dPt>
          <c:dLbls>
            <c:dLbl>
              <c:idx val="0"/>
              <c:tx>
                <c:rich>
                  <a:bodyPr/>
                  <a:lstStyle/>
                  <a:p>
                    <a:fld id="{08B307F1-29FA-40A6-9248-84C718A24C1F}"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0.13419128545004941"/>
                  <c:y val="-0.13588766221861048"/>
                </c:manualLayout>
              </c:layout>
              <c:tx>
                <c:rich>
                  <a:bodyPr/>
                  <a:lstStyle/>
                  <a:p>
                    <a:fld id="{6D017626-D054-4AC9-B93A-8E9D9BCC0F65}"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tx>
                <c:rich>
                  <a:bodyPr/>
                  <a:lstStyle/>
                  <a:p>
                    <a:fld id="{C428FF10-F0FA-4F78-AE38-2330F432D31C}"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tx>
                <c:rich>
                  <a:bodyPr/>
                  <a:lstStyle/>
                  <a:p>
                    <a:fld id="{3695FFD2-F994-40C3-B9AC-7E62F45431F3}"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'Priorytet III'!$B$31:$B$34</c:f>
              <c:strCache>
                <c:ptCount val="4"/>
                <c:pt idx="0">
                  <c:v>inne (5 umów)</c:v>
                </c:pt>
                <c:pt idx="1">
                  <c:v>jst (187 umów)</c:v>
                </c:pt>
                <c:pt idx="2">
                  <c:v>organizacja non profit (10 umów)</c:v>
                </c:pt>
                <c:pt idx="3">
                  <c:v>przedsiębiorstwa (344 umowy)</c:v>
                </c:pt>
              </c:strCache>
            </c:strRef>
          </c:cat>
          <c:val>
            <c:numRef>
              <c:f>'Priorytet III'!$C$31:$C$34</c:f>
              <c:numCache>
                <c:formatCode>#,##0.00</c:formatCode>
                <c:ptCount val="4"/>
                <c:pt idx="0">
                  <c:v>0.75096279116298181</c:v>
                </c:pt>
                <c:pt idx="1">
                  <c:v>65.066581522882586</c:v>
                </c:pt>
                <c:pt idx="2">
                  <c:v>4.4475844596232985</c:v>
                </c:pt>
                <c:pt idx="3">
                  <c:v>29.734871226331133</c:v>
                </c:pt>
              </c:numCache>
            </c:numRef>
          </c:val>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0007662284223604"/>
          <c:y val="0.261237928061404"/>
          <c:w val="0.2999234024318389"/>
          <c:h val="0.49626445342980785"/>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0"/>
                  <c:y val="-2.3148148148148147E-2"/>
                </c:manualLayout>
              </c:layout>
              <c:tx>
                <c:rich>
                  <a:bodyPr/>
                  <a:lstStyle/>
                  <a:p>
                    <a:fld id="{A0E8E3E1-5E15-4E9D-9186-9A999699907C}"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4.0283721264664444E-17"/>
                  <c:y val="-3.7037037037037035E-2"/>
                </c:manualLayout>
              </c:layout>
              <c:tx>
                <c:rich>
                  <a:bodyPr/>
                  <a:lstStyle/>
                  <a:p>
                    <a:fld id="{EC0BC26B-CF65-493E-99D4-5E5121BAB131}"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0"/>
                  <c:y val="-2.3148148148148147E-2"/>
                </c:manualLayout>
              </c:layout>
              <c:tx>
                <c:rich>
                  <a:bodyPr/>
                  <a:lstStyle/>
                  <a:p>
                    <a:fld id="{B4DBE92A-D338-41B6-BEC5-9E69A9C8F28C}"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0"/>
                  <c:y val="-2.3148148148148147E-2"/>
                </c:manualLayout>
              </c:layout>
              <c:tx>
                <c:rich>
                  <a:bodyPr/>
                  <a:lstStyle/>
                  <a:p>
                    <a:fld id="{A46327C6-F2A7-471A-B035-4B5962A64657}"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'3'!$A$1:$D$1</c:f>
              <c:strCache>
                <c:ptCount val="4"/>
                <c:pt idx="0">
                  <c:v>&lt; 50%</c:v>
                </c:pt>
                <c:pt idx="1">
                  <c:v>50%-75%</c:v>
                </c:pt>
                <c:pt idx="2">
                  <c:v>75%-125%</c:v>
                </c:pt>
                <c:pt idx="3">
                  <c:v>&gt;125%</c:v>
                </c:pt>
              </c:strCache>
            </c:strRef>
          </c:cat>
          <c:val>
            <c:numRef>
              <c:f>'3'!$A$2:$D$2</c:f>
              <c:numCache>
                <c:formatCode>General</c:formatCode>
                <c:ptCount val="4"/>
                <c:pt idx="0">
                  <c:v>1</c:v>
                </c:pt>
                <c:pt idx="1">
                  <c:v>3</c:v>
                </c:pt>
                <c:pt idx="2">
                  <c:v>3</c:v>
                </c:pt>
                <c:pt idx="3">
                  <c:v>3</c:v>
                </c:pt>
              </c:numCache>
            </c:numRef>
          </c:val>
        </c:ser>
        <c:dLbls>
          <c:showLegendKey val="0"/>
          <c:showVal val="1"/>
          <c:showCatName val="0"/>
          <c:showSerName val="0"/>
          <c:showPercent val="0"/>
          <c:showBubbleSize val="0"/>
        </c:dLbls>
        <c:gapWidth val="150"/>
        <c:shape val="box"/>
        <c:axId val="641013000"/>
        <c:axId val="641013392"/>
        <c:axId val="0"/>
      </c:bar3DChart>
      <c:catAx>
        <c:axId val="641013000"/>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3392"/>
        <c:crosses val="autoZero"/>
        <c:auto val="1"/>
        <c:lblAlgn val="ctr"/>
        <c:lblOffset val="100"/>
        <c:noMultiLvlLbl val="0"/>
      </c:catAx>
      <c:valAx>
        <c:axId val="641013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30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dLbl>
              <c:idx val="0"/>
              <c:tx>
                <c:rich>
                  <a:bodyPr/>
                  <a:lstStyle/>
                  <a:p>
                    <a:r>
                      <a:rPr lang="en-US"/>
                      <a:t>53,27</a:t>
                    </a:r>
                  </a:p>
                </c:rich>
              </c:tx>
              <c:dLblPos val="in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IV'!$A$3:$G$3</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IV'!$A$4:$G$4</c:f>
              <c:numCache>
                <c:formatCode>General</c:formatCode>
                <c:ptCount val="7"/>
                <c:pt idx="0" formatCode="#,##0.00">
                  <c:v>52878143</c:v>
                </c:pt>
                <c:pt idx="2" formatCode="#,##0.00">
                  <c:v>100483269.70616886</c:v>
                </c:pt>
                <c:pt idx="3" formatCode="#,##0.00">
                  <c:v>57349441.340250559</c:v>
                </c:pt>
                <c:pt idx="4" formatCode="#,##0.00">
                  <c:v>50145506.352370806</c:v>
                </c:pt>
                <c:pt idx="5" formatCode="#,##0.00">
                  <c:v>49721469.722027138</c:v>
                </c:pt>
                <c:pt idx="6" formatCode="#,##0.00">
                  <c:v>52821641.509999998</c:v>
                </c:pt>
              </c:numCache>
            </c:numRef>
          </c:val>
        </c:ser>
        <c:dLbls>
          <c:showLegendKey val="0"/>
          <c:showVal val="0"/>
          <c:showCatName val="0"/>
          <c:showSerName val="0"/>
          <c:showPercent val="0"/>
          <c:showBubbleSize val="0"/>
        </c:dLbls>
        <c:gapWidth val="75"/>
        <c:overlap val="-25"/>
        <c:axId val="641014176"/>
        <c:axId val="641014568"/>
      </c:barChart>
      <c:lineChart>
        <c:grouping val="standard"/>
        <c:varyColors val="0"/>
        <c:ser>
          <c:idx val="1"/>
          <c:order val="1"/>
          <c:spPr>
            <a:ln w="38100" cap="rnd">
              <a:solidFill>
                <a:schemeClr val="tx1">
                  <a:lumMod val="95000"/>
                  <a:lumOff val="5000"/>
                </a:schemeClr>
              </a:solidFill>
              <a:round/>
            </a:ln>
            <a:effectLst/>
          </c:spPr>
          <c:marker>
            <c:symbol val="none"/>
          </c:marker>
          <c:dLbls>
            <c:dLbl>
              <c:idx val="3"/>
              <c:layout>
                <c:manualLayout>
                  <c:x val="-1.9827147941026944E-2"/>
                  <c:y val="-4.9298352114668299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'Priorytet IV'!$A$3:$G$3</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IV'!$A$5:$G$5</c:f>
              <c:numCache>
                <c:formatCode>General</c:formatCode>
                <c:ptCount val="7"/>
                <c:pt idx="0" formatCode="0%">
                  <c:v>1</c:v>
                </c:pt>
                <c:pt idx="2" formatCode="0%">
                  <c:v>1.9002798510940306</c:v>
                </c:pt>
                <c:pt idx="3" formatCode="0%">
                  <c:v>1.0845585356552812</c:v>
                </c:pt>
                <c:pt idx="4" formatCode="0%">
                  <c:v>0.9483220004978391</c:v>
                </c:pt>
                <c:pt idx="5" formatCode="0%">
                  <c:v>0.94030287186951966</c:v>
                </c:pt>
                <c:pt idx="6" formatCode="0%">
                  <c:v>0.99893147741591448</c:v>
                </c:pt>
              </c:numCache>
            </c:numRef>
          </c:val>
          <c:smooth val="0"/>
        </c:ser>
        <c:dLbls>
          <c:showLegendKey val="0"/>
          <c:showVal val="0"/>
          <c:showCatName val="0"/>
          <c:showSerName val="0"/>
          <c:showPercent val="0"/>
          <c:showBubbleSize val="0"/>
        </c:dLbls>
        <c:marker val="1"/>
        <c:smooth val="0"/>
        <c:axId val="641015352"/>
        <c:axId val="641014960"/>
      </c:lineChart>
      <c:catAx>
        <c:axId val="641014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4568"/>
        <c:crosses val="autoZero"/>
        <c:auto val="1"/>
        <c:lblAlgn val="ctr"/>
        <c:lblOffset val="100"/>
        <c:noMultiLvlLbl val="0"/>
      </c:catAx>
      <c:valAx>
        <c:axId val="6410145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4176"/>
        <c:crosses val="autoZero"/>
        <c:crossBetween val="between"/>
        <c:dispUnits>
          <c:builtInUnit val="millions"/>
          <c:dispUnitsLbl>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ispUnitsLbl>
        </c:dispUnits>
      </c:valAx>
      <c:valAx>
        <c:axId val="641014960"/>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641015352"/>
        <c:crosses val="max"/>
        <c:crossBetween val="between"/>
      </c:valAx>
      <c:catAx>
        <c:axId val="641015352"/>
        <c:scaling>
          <c:orientation val="minMax"/>
        </c:scaling>
        <c:delete val="1"/>
        <c:axPos val="b"/>
        <c:numFmt formatCode="General" sourceLinked="1"/>
        <c:majorTickMark val="out"/>
        <c:minorTickMark val="none"/>
        <c:tickLblPos val="nextTo"/>
        <c:crossAx val="641014960"/>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
          <c:y val="9.895225524555093E-2"/>
          <c:w val="0.67428798356727138"/>
          <c:h val="0.87180647216785767"/>
        </c:manualLayout>
      </c:layout>
      <c:doughnutChart>
        <c:varyColors val="1"/>
        <c:ser>
          <c:idx val="0"/>
          <c:order val="0"/>
          <c:dPt>
            <c:idx val="0"/>
            <c:bubble3D val="0"/>
            <c:explosion val="18"/>
            <c:spPr>
              <a:solidFill>
                <a:schemeClr val="accent6">
                  <a:shade val="76000"/>
                </a:schemeClr>
              </a:solidFill>
              <a:ln w="19050">
                <a:solidFill>
                  <a:schemeClr val="lt1"/>
                </a:solidFill>
              </a:ln>
              <a:effectLst/>
            </c:spPr>
          </c:dPt>
          <c:dPt>
            <c:idx val="1"/>
            <c:bubble3D val="0"/>
            <c:spPr>
              <a:solidFill>
                <a:schemeClr val="accent6">
                  <a:tint val="77000"/>
                </a:schemeClr>
              </a:solidFill>
              <a:ln w="19050">
                <a:solidFill>
                  <a:schemeClr val="lt1"/>
                </a:solidFill>
              </a:ln>
              <a:effectLst/>
            </c:spPr>
          </c:dPt>
          <c:dLbls>
            <c:dLbl>
              <c:idx val="0"/>
              <c:tx>
                <c:rich>
                  <a:bodyPr/>
                  <a:lstStyle/>
                  <a:p>
                    <a:fld id="{C86F9474-D6B2-42C5-983B-773B48FADDF7}"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tx>
                <c:rich>
                  <a:bodyPr/>
                  <a:lstStyle/>
                  <a:p>
                    <a:fld id="{CADAF33D-3039-4D3C-96BD-59F8B98A7F78}" type="VALUE">
                      <a:rPr lang="en-US"/>
                      <a:pPr/>
                      <a:t>[WARTOŚĆ]</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'Priorytet IV'!$B$32:$B$33</c:f>
              <c:strCache>
                <c:ptCount val="2"/>
                <c:pt idx="0">
                  <c:v>jst (117 umów)</c:v>
                </c:pt>
                <c:pt idx="1">
                  <c:v>organizacja non profit (25 umów)</c:v>
                </c:pt>
              </c:strCache>
            </c:strRef>
          </c:cat>
          <c:val>
            <c:numRef>
              <c:f>'Priorytet IV'!$C$32:$C$33</c:f>
              <c:numCache>
                <c:formatCode>#,##0.00</c:formatCode>
                <c:ptCount val="2"/>
                <c:pt idx="0">
                  <c:v>61.968725630634253</c:v>
                </c:pt>
                <c:pt idx="1">
                  <c:v>38.03127436936574</c:v>
                </c:pt>
              </c:numCache>
            </c:numRef>
          </c:val>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egendEntry>
        <c:idx val="0"/>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Entry>
      <c:legendEntry>
        <c:idx val="1"/>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Entry>
      <c:layout>
        <c:manualLayout>
          <c:xMode val="edge"/>
          <c:yMode val="edge"/>
          <c:x val="0.65730494123017236"/>
          <c:y val="0.40816894997951836"/>
          <c:w val="0.32563912936297329"/>
          <c:h val="0.24205373204753899"/>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explosion val="19"/>
          <c:dPt>
            <c:idx val="0"/>
            <c:bubble3D val="0"/>
            <c:spPr>
              <a:solidFill>
                <a:schemeClr val="accent6">
                  <a:shade val="5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1-4F6C-471A-B383-7F70AFB26AAD}"/>
              </c:ext>
            </c:extLst>
          </c:dPt>
          <c:dPt>
            <c:idx val="1"/>
            <c:bubble3D val="0"/>
            <c:spPr>
              <a:solidFill>
                <a:schemeClr val="accent6">
                  <a:shade val="7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3-4F6C-471A-B383-7F70AFB26AAD}"/>
              </c:ext>
            </c:extLst>
          </c:dPt>
          <c:dPt>
            <c:idx val="2"/>
            <c:bubble3D val="0"/>
            <c:spPr>
              <a:solidFill>
                <a:schemeClr val="accent6">
                  <a:shade val="9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5-4F6C-471A-B383-7F70AFB26AAD}"/>
              </c:ext>
            </c:extLst>
          </c:dPt>
          <c:dPt>
            <c:idx val="3"/>
            <c:bubble3D val="0"/>
            <c:explosion val="24"/>
            <c:spPr>
              <a:solidFill>
                <a:schemeClr val="accent6">
                  <a:tint val="9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7-4F6C-471A-B383-7F70AFB26AAD}"/>
              </c:ext>
            </c:extLst>
          </c:dPt>
          <c:dPt>
            <c:idx val="4"/>
            <c:bubble3D val="0"/>
            <c:spPr>
              <a:solidFill>
                <a:schemeClr val="accent6">
                  <a:tint val="7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9-4F6C-471A-B383-7F70AFB26AAD}"/>
              </c:ext>
            </c:extLst>
          </c:dPt>
          <c:dPt>
            <c:idx val="5"/>
            <c:bubble3D val="0"/>
            <c:spPr>
              <a:solidFill>
                <a:schemeClr val="accent6">
                  <a:tint val="50000"/>
                </a:schemeClr>
              </a:solidFill>
              <a:ln>
                <a:noFill/>
              </a:ln>
              <a:effectLst>
                <a:outerShdw blurRad="317500" algn="ctr" rotWithShape="0">
                  <a:prstClr val="black">
                    <a:alpha val="25000"/>
                  </a:prstClr>
                </a:outerShdw>
              </a:effectLst>
            </c:spPr>
            <c:extLst xmlns:c16r2="http://schemas.microsoft.com/office/drawing/2015/06/chart">
              <c:ext xmlns:c16="http://schemas.microsoft.com/office/drawing/2014/chart" uri="{C3380CC4-5D6E-409C-BE32-E72D297353CC}">
                <c16:uniqueId val="{0000000B-4F6C-471A-B383-7F70AFB26AAD}"/>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('Cały program'!$A$44,'Cały program'!$A$45,'Cały program'!$A$46,'Cały program'!$A$47,'Cały program'!$A$48,'Cały program'!$A$49)</c:f>
              <c:strCache>
                <c:ptCount val="6"/>
                <c:pt idx="0">
                  <c:v>other  (274 agreements)</c:v>
                </c:pt>
                <c:pt idx="1">
                  <c:v>Local authorities (1360  agreements)</c:v>
                </c:pt>
                <c:pt idx="2">
                  <c:v>local authority, government administration (6 agreements)</c:v>
                </c:pt>
                <c:pt idx="3">
                  <c:v>non profit organization  (93 agreements)</c:v>
                </c:pt>
                <c:pt idx="4">
                  <c:v>enterprises  (3420 agreements)</c:v>
                </c:pt>
                <c:pt idx="5">
                  <c:v>universities, scientific units (58 agreements)</c:v>
                </c:pt>
              </c:strCache>
            </c:strRef>
          </c:cat>
          <c:val>
            <c:numRef>
              <c:f>('Cały program'!$D$44,'Cały program'!$D$45,'Cały program'!$D$46,'Cały program'!$D$47,'Cały program'!$D$48,'Cały program'!$D$49)</c:f>
              <c:numCache>
                <c:formatCode>0.00%</c:formatCode>
                <c:ptCount val="6"/>
                <c:pt idx="0">
                  <c:v>8.2590674189854094E-2</c:v>
                </c:pt>
                <c:pt idx="1">
                  <c:v>0.67861021283699219</c:v>
                </c:pt>
                <c:pt idx="2">
                  <c:v>3.0347789971860353E-3</c:v>
                </c:pt>
                <c:pt idx="3">
                  <c:v>2.7527981586736319E-2</c:v>
                </c:pt>
                <c:pt idx="4">
                  <c:v>0.16582951644189503</c:v>
                </c:pt>
                <c:pt idx="5">
                  <c:v>4.2406835947336519E-2</c:v>
                </c:pt>
              </c:numCache>
            </c:numRef>
          </c:val>
          <c:extLst xmlns:c16r2="http://schemas.microsoft.com/office/drawing/2015/06/chart">
            <c:ext xmlns:c16="http://schemas.microsoft.com/office/drawing/2014/chart" uri="{C3380CC4-5D6E-409C-BE32-E72D297353CC}">
              <c16:uniqueId val="{0000000C-4F6C-471A-B383-7F70AFB26AAD}"/>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61623130442028085"/>
          <c:y val="0.16410913051403297"/>
          <c:w val="0.32424488605590968"/>
          <c:h val="0.64117114497860139"/>
        </c:manualLayout>
      </c:layout>
      <c:overlay val="0"/>
      <c:spPr>
        <a:solidFill>
          <a:schemeClr val="lt1">
            <a:alpha val="78000"/>
          </a:schemeClr>
        </a:solid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1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2.0555131233937427E-17"/>
                  <c:y val="-3.2407407407407489E-2"/>
                </c:manualLayout>
              </c:layout>
              <c:tx>
                <c:rich>
                  <a:bodyPr/>
                  <a:lstStyle/>
                  <a:p>
                    <a:fld id="{67C49759-696F-42BF-A83D-EB27162B4251}"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0"/>
                  <c:y val="-3.2407407407407489E-2"/>
                </c:manualLayout>
              </c:layout>
              <c:tx>
                <c:rich>
                  <a:bodyPr/>
                  <a:lstStyle/>
                  <a:p>
                    <a:fld id="{BDA6088B-4ACE-4EE2-BB56-96FE9B82FB95}"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0"/>
                  <c:y val="-4.1666666666666755E-2"/>
                </c:manualLayout>
              </c:layout>
              <c:tx>
                <c:rich>
                  <a:bodyPr/>
                  <a:lstStyle/>
                  <a:p>
                    <a:fld id="{486B0E89-BA8A-4FF8-B0FD-99A140CEE1B9}"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0"/>
                  <c:y val="-2.7777777777777801E-2"/>
                </c:manualLayout>
              </c:layout>
              <c:tx>
                <c:rich>
                  <a:bodyPr/>
                  <a:lstStyle/>
                  <a:p>
                    <a:fld id="{02547AD2-57B5-46D5-B7E5-A0CDACA5876C}" type="VALUE">
                      <a:rPr lang="en-US"/>
                      <a:pPr/>
                      <a:t>[WARTOŚĆ]</a:t>
                    </a:fld>
                    <a:r>
                      <a:rPr lang="en-US"/>
                      <a:t> wskaźnków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'4'!$A$1:$D$1</c:f>
              <c:strCache>
                <c:ptCount val="4"/>
                <c:pt idx="0">
                  <c:v>&lt; 50%</c:v>
                </c:pt>
                <c:pt idx="1">
                  <c:v>50%-75%</c:v>
                </c:pt>
                <c:pt idx="2">
                  <c:v>75%-125%</c:v>
                </c:pt>
                <c:pt idx="3">
                  <c:v>&gt;125%</c:v>
                </c:pt>
              </c:strCache>
            </c:strRef>
          </c:cat>
          <c:val>
            <c:numRef>
              <c:f>'4'!$A$2:$D$2</c:f>
              <c:numCache>
                <c:formatCode>General</c:formatCode>
                <c:ptCount val="4"/>
                <c:pt idx="0">
                  <c:v>0</c:v>
                </c:pt>
                <c:pt idx="1">
                  <c:v>0</c:v>
                </c:pt>
                <c:pt idx="2">
                  <c:v>2</c:v>
                </c:pt>
                <c:pt idx="3">
                  <c:v>6</c:v>
                </c:pt>
              </c:numCache>
            </c:numRef>
          </c:val>
        </c:ser>
        <c:dLbls>
          <c:showLegendKey val="0"/>
          <c:showVal val="1"/>
          <c:showCatName val="0"/>
          <c:showSerName val="0"/>
          <c:showPercent val="0"/>
          <c:showBubbleSize val="0"/>
        </c:dLbls>
        <c:gapWidth val="150"/>
        <c:shape val="box"/>
        <c:axId val="431214480"/>
        <c:axId val="431214872"/>
        <c:axId val="0"/>
      </c:bar3DChart>
      <c:catAx>
        <c:axId val="431214480"/>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layout>
            <c:manualLayout>
              <c:xMode val="edge"/>
              <c:yMode val="edge"/>
              <c:x val="0.28834329613944576"/>
              <c:y val="0.91916924798814559"/>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4872"/>
        <c:crosses val="autoZero"/>
        <c:auto val="1"/>
        <c:lblAlgn val="ctr"/>
        <c:lblOffset val="100"/>
        <c:noMultiLvlLbl val="0"/>
      </c:catAx>
      <c:valAx>
        <c:axId val="431214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4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V'!$A$6:$G$6</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V'!$A$7:$G$7</c:f>
              <c:numCache>
                <c:formatCode>General</c:formatCode>
                <c:ptCount val="7"/>
                <c:pt idx="0" formatCode="#,##0.00">
                  <c:v>180678600</c:v>
                </c:pt>
                <c:pt idx="2" formatCode="#,##0.00">
                  <c:v>510014107.03427649</c:v>
                </c:pt>
                <c:pt idx="3" formatCode="#,##0.00">
                  <c:v>248114288.10856122</c:v>
                </c:pt>
                <c:pt idx="4" formatCode="#,##0.00">
                  <c:v>185092829.55075777</c:v>
                </c:pt>
                <c:pt idx="5" formatCode="#,##0.00">
                  <c:v>175744391.06499624</c:v>
                </c:pt>
                <c:pt idx="6" formatCode="#,##0.00">
                  <c:v>178611072.99000001</c:v>
                </c:pt>
              </c:numCache>
            </c:numRef>
          </c:val>
        </c:ser>
        <c:dLbls>
          <c:showLegendKey val="0"/>
          <c:showVal val="0"/>
          <c:showCatName val="0"/>
          <c:showSerName val="0"/>
          <c:showPercent val="0"/>
          <c:showBubbleSize val="0"/>
        </c:dLbls>
        <c:gapWidth val="71"/>
        <c:overlap val="-25"/>
        <c:axId val="431215656"/>
        <c:axId val="431216048"/>
      </c:barChart>
      <c:lineChart>
        <c:grouping val="standard"/>
        <c:varyColors val="0"/>
        <c:ser>
          <c:idx val="1"/>
          <c:order val="1"/>
          <c:spPr>
            <a:ln w="38100" cap="rnd">
              <a:solidFill>
                <a:schemeClr val="tx1">
                  <a:lumMod val="95000"/>
                  <a:lumOff val="5000"/>
                </a:schemeClr>
              </a:solidFill>
              <a:round/>
            </a:ln>
            <a:effectLst/>
          </c:spPr>
          <c:marker>
            <c:symbol val="none"/>
          </c:marker>
          <c:dLbls>
            <c:dLbl>
              <c:idx val="3"/>
              <c:layout>
                <c:manualLayout>
                  <c:x val="-2.4102564102564103E-2"/>
                  <c:y val="-5.6354257801108192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V'!$A$6:$G$6</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V'!$A$8:$G$8</c:f>
              <c:numCache>
                <c:formatCode>General</c:formatCode>
                <c:ptCount val="7"/>
                <c:pt idx="0" formatCode="0%">
                  <c:v>1</c:v>
                </c:pt>
                <c:pt idx="2" formatCode="0%">
                  <c:v>2.8227698633611089</c:v>
                </c:pt>
                <c:pt idx="3" formatCode="0%">
                  <c:v>1.3732356134515167</c:v>
                </c:pt>
                <c:pt idx="4" formatCode="0%">
                  <c:v>1.0244313911595384</c:v>
                </c:pt>
                <c:pt idx="5" formatCode="0%">
                  <c:v>0.97269068425921079</c:v>
                </c:pt>
                <c:pt idx="6" formatCode="0%">
                  <c:v>0.98855687939800296</c:v>
                </c:pt>
              </c:numCache>
            </c:numRef>
          </c:val>
          <c:smooth val="0"/>
        </c:ser>
        <c:dLbls>
          <c:showLegendKey val="0"/>
          <c:showVal val="0"/>
          <c:showCatName val="0"/>
          <c:showSerName val="0"/>
          <c:showPercent val="0"/>
          <c:showBubbleSize val="0"/>
        </c:dLbls>
        <c:marker val="1"/>
        <c:smooth val="0"/>
        <c:axId val="431216832"/>
        <c:axId val="431216440"/>
      </c:lineChart>
      <c:catAx>
        <c:axId val="431215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6048"/>
        <c:crosses val="autoZero"/>
        <c:auto val="1"/>
        <c:lblAlgn val="ctr"/>
        <c:lblOffset val="100"/>
        <c:noMultiLvlLbl val="0"/>
      </c:catAx>
      <c:valAx>
        <c:axId val="4312160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5656"/>
        <c:crosses val="autoZero"/>
        <c:crossBetween val="between"/>
        <c:dispUnits>
          <c:builtInUnit val="millions"/>
          <c:dispUnitsLbl>
            <c:layout>
              <c:manualLayout>
                <c:xMode val="edge"/>
                <c:yMode val="edge"/>
                <c:x val="1.2307692307692308E-2"/>
                <c:y val="5.0925925925925923E-2"/>
              </c:manualLayout>
            </c:layout>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ispUnitsLbl>
        </c:dispUnits>
      </c:valAx>
      <c:valAx>
        <c:axId val="431216440"/>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6832"/>
        <c:crosses val="max"/>
        <c:crossBetween val="between"/>
      </c:valAx>
      <c:catAx>
        <c:axId val="431216832"/>
        <c:scaling>
          <c:orientation val="minMax"/>
        </c:scaling>
        <c:delete val="1"/>
        <c:axPos val="b"/>
        <c:numFmt formatCode="General" sourceLinked="1"/>
        <c:majorTickMark val="out"/>
        <c:minorTickMark val="none"/>
        <c:tickLblPos val="nextTo"/>
        <c:crossAx val="431216440"/>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doughnutChart>
        <c:varyColors val="1"/>
        <c:ser>
          <c:idx val="0"/>
          <c:order val="0"/>
          <c:dPt>
            <c:idx val="0"/>
            <c:bubble3D val="0"/>
            <c:explosion val="17"/>
            <c:spPr>
              <a:solidFill>
                <a:schemeClr val="accent6">
                  <a:shade val="50000"/>
                </a:schemeClr>
              </a:solidFill>
              <a:ln w="19050">
                <a:solidFill>
                  <a:schemeClr val="lt1"/>
                </a:solidFill>
              </a:ln>
              <a:effectLst/>
            </c:spPr>
          </c:dPt>
          <c:dPt>
            <c:idx val="1"/>
            <c:bubble3D val="0"/>
            <c:spPr>
              <a:solidFill>
                <a:schemeClr val="accent6">
                  <a:shade val="70000"/>
                </a:schemeClr>
              </a:solidFill>
              <a:ln w="19050">
                <a:solidFill>
                  <a:schemeClr val="lt1"/>
                </a:solidFill>
              </a:ln>
              <a:effectLst/>
            </c:spPr>
          </c:dPt>
          <c:dPt>
            <c:idx val="2"/>
            <c:bubble3D val="0"/>
            <c:explosion val="20"/>
            <c:spPr>
              <a:solidFill>
                <a:schemeClr val="accent6">
                  <a:shade val="90000"/>
                </a:schemeClr>
              </a:solidFill>
              <a:ln w="19050">
                <a:solidFill>
                  <a:schemeClr val="lt1"/>
                </a:solidFill>
              </a:ln>
              <a:effectLst/>
            </c:spPr>
          </c:dPt>
          <c:dPt>
            <c:idx val="3"/>
            <c:bubble3D val="0"/>
            <c:explosion val="21"/>
            <c:spPr>
              <a:solidFill>
                <a:schemeClr val="accent6">
                  <a:tint val="90000"/>
                </a:schemeClr>
              </a:solidFill>
              <a:ln w="19050">
                <a:solidFill>
                  <a:schemeClr val="lt1"/>
                </a:solidFill>
              </a:ln>
              <a:effectLst/>
            </c:spPr>
          </c:dPt>
          <c:dPt>
            <c:idx val="4"/>
            <c:bubble3D val="0"/>
            <c:explosion val="20"/>
            <c:spPr>
              <a:solidFill>
                <a:schemeClr val="accent6">
                  <a:tint val="70000"/>
                </a:schemeClr>
              </a:solidFill>
              <a:ln w="19050">
                <a:solidFill>
                  <a:schemeClr val="lt1"/>
                </a:solidFill>
              </a:ln>
              <a:effectLst/>
            </c:spPr>
          </c:dPt>
          <c:dPt>
            <c:idx val="5"/>
            <c:bubble3D val="0"/>
            <c:spPr>
              <a:solidFill>
                <a:schemeClr val="accent6">
                  <a:tint val="50000"/>
                </a:schemeClr>
              </a:solidFill>
              <a:ln w="19050">
                <a:solidFill>
                  <a:schemeClr val="lt1"/>
                </a:solidFill>
              </a:ln>
              <a:effectLst/>
            </c:spPr>
          </c:dPt>
          <c:dLbls>
            <c:dLbl>
              <c:idx val="0"/>
              <c:tx>
                <c:rich>
                  <a:bodyPr/>
                  <a:lstStyle/>
                  <a:p>
                    <a:fld id="{B5466DF2-CC01-40E6-BFCF-A05CD4B15376}" type="VALUE">
                      <a:rPr lang="en-US"/>
                      <a:pPr/>
                      <a:t>[WARTOŚĆ]</a:t>
                    </a:fld>
                    <a:r>
                      <a:rPr lang="en-US"/>
                      <a:t>%</a:t>
                    </a:r>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Lst>
            </c:dLbl>
            <c:dLbl>
              <c:idx val="1"/>
              <c:tx>
                <c:rich>
                  <a:bodyPr/>
                  <a:lstStyle/>
                  <a:p>
                    <a:fld id="{38AA74D1-DB4E-4EFC-8CD2-9C4764ACC79E}" type="VALUE">
                      <a:rPr lang="en-US"/>
                      <a:pPr/>
                      <a:t>[WARTOŚĆ]</a:t>
                    </a:fld>
                    <a:r>
                      <a:rPr lang="en-US"/>
                      <a:t>%</a:t>
                    </a:r>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Lst>
            </c:dLbl>
            <c:dLbl>
              <c:idx val="2"/>
              <c:layout>
                <c:manualLayout>
                  <c:x val="-4.7244094488188955E-2"/>
                  <c:y val="-2.971216341689881E-2"/>
                </c:manualLayout>
              </c:layout>
              <c:tx>
                <c:rich>
                  <a:bodyPr/>
                  <a:lstStyle/>
                  <a:p>
                    <a:fld id="{DC4E8959-A9CA-4380-BFE2-26D2DAB5E0E4}" type="VALUE">
                      <a:rPr lang="en-US"/>
                      <a:pPr/>
                      <a:t>[WARTOŚĆ]</a:t>
                    </a:fld>
                    <a:r>
                      <a:rPr lang="en-US"/>
                      <a:t>%</a:t>
                    </a:r>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Lst>
            </c:dLbl>
            <c:dLbl>
              <c:idx val="3"/>
              <c:tx>
                <c:rich>
                  <a:bodyPr/>
                  <a:lstStyle/>
                  <a:p>
                    <a:fld id="{70856215-57AB-4593-BC8F-37FD1E1FAB7D}" type="VALUE">
                      <a:rPr lang="en-US"/>
                      <a:pPr/>
                      <a:t>[WARTOŚĆ]</a:t>
                    </a:fld>
                    <a:r>
                      <a:rPr lang="en-US"/>
                      <a:t>%</a:t>
                    </a:r>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Lst>
            </c:dLbl>
            <c:dLbl>
              <c:idx val="4"/>
              <c:layout>
                <c:manualLayout>
                  <c:x val="-4.1244367935992781E-17"/>
                  <c:y val="-6.6852367688022288E-2"/>
                </c:manualLayout>
              </c:layout>
              <c:tx>
                <c:rich>
                  <a:bodyPr/>
                  <a:lstStyle/>
                  <a:p>
                    <a:fld id="{86073CFB-5A31-4DD4-825C-6EF7C9594C41}" type="VALUE">
                      <a:rPr lang="en-US"/>
                      <a:pPr/>
                      <a:t>[WARTOŚĆ]</a:t>
                    </a:fld>
                    <a:r>
                      <a:rPr lang="en-US"/>
                      <a:t>%</a:t>
                    </a:r>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Lst>
            </c:dLbl>
            <c:dLbl>
              <c:idx val="5"/>
              <c:tx>
                <c:rich>
                  <a:bodyPr/>
                  <a:lstStyle/>
                  <a:p>
                    <a:fld id="{790EA3B1-63E5-4704-A416-4879CAB41668}" type="VALUE">
                      <a:rPr lang="en-US"/>
                      <a:pPr/>
                      <a:t>[WARTOŚĆ]</a:t>
                    </a:fld>
                    <a:r>
                      <a:rPr lang="en-US"/>
                      <a:t>%</a:t>
                    </a:r>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1"/>
            <c:showBubbleSize val="0"/>
            <c:showLeaderLines val="0"/>
            <c:extLst>
              <c:ext xmlns:c15="http://schemas.microsoft.com/office/drawing/2012/chart" uri="{CE6537A1-D6FC-4f65-9D91-7224C49458BB}"/>
            </c:extLst>
          </c:dLbls>
          <c:cat>
            <c:strRef>
              <c:f>'Priorytet V'!$B$31:$B$36</c:f>
              <c:strCache>
                <c:ptCount val="6"/>
                <c:pt idx="0">
                  <c:v>inne (25 umów)</c:v>
                </c:pt>
                <c:pt idx="1">
                  <c:v>jst (216 umów)</c:v>
                </c:pt>
                <c:pt idx="2">
                  <c:v>organizacja non profit (4 umów)</c:v>
                </c:pt>
                <c:pt idx="3">
                  <c:v>przedsiębiorstwa (17 umów)</c:v>
                </c:pt>
                <c:pt idx="4">
                  <c:v>uczelnie, jednostki naukowe (4 umowy)</c:v>
                </c:pt>
                <c:pt idx="5">
                  <c:v>organ władzy, administracji rządowej (2 umowy) </c:v>
                </c:pt>
              </c:strCache>
            </c:strRef>
          </c:cat>
          <c:val>
            <c:numRef>
              <c:f>'Priorytet V'!$C$31:$C$36</c:f>
              <c:numCache>
                <c:formatCode>#,##0.00</c:formatCode>
                <c:ptCount val="6"/>
                <c:pt idx="0">
                  <c:v>9.2892011569390611</c:v>
                </c:pt>
                <c:pt idx="1">
                  <c:v>81.327978255754303</c:v>
                </c:pt>
                <c:pt idx="2">
                  <c:v>0.78979677865826459</c:v>
                </c:pt>
                <c:pt idx="3">
                  <c:v>6.1029811739963069</c:v>
                </c:pt>
                <c:pt idx="4">
                  <c:v>2.0776326287295501</c:v>
                </c:pt>
                <c:pt idx="5">
                  <c:v>0.41241000592251481</c:v>
                </c:pt>
              </c:numCache>
            </c:numRef>
          </c:val>
        </c:ser>
        <c:dLbls>
          <c:showLegendKey val="0"/>
          <c:showVal val="0"/>
          <c:showCatName val="0"/>
          <c:showSerName val="0"/>
          <c:showPercent val="1"/>
          <c:showBubbleSize val="0"/>
          <c:showLeaderLines val="0"/>
        </c:dLbls>
        <c:firstSliceAng val="0"/>
        <c:holeSize val="50"/>
      </c:doughnutChart>
      <c:spPr>
        <a:noFill/>
        <a:ln>
          <a:noFill/>
        </a:ln>
        <a:effectLst/>
      </c:spPr>
    </c:plotArea>
    <c:legend>
      <c:legendPos val="r"/>
      <c:layout>
        <c:manualLayout>
          <c:xMode val="edge"/>
          <c:yMode val="edge"/>
          <c:x val="0.6051125302250604"/>
          <c:y val="0.22373229808669459"/>
          <c:w val="0.32964562500553579"/>
          <c:h val="0.62235869541376965"/>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0"/>
                  <c:y val="-4.1666666666666755E-2"/>
                </c:manualLayout>
              </c:layout>
              <c:tx>
                <c:rich>
                  <a:bodyPr/>
                  <a:lstStyle/>
                  <a:p>
                    <a:fld id="{0754BCEA-B16E-4879-B5E2-7442DF32D21D}" type="VALUE">
                      <a:rPr lang="en-US"/>
                      <a:pPr/>
                      <a:t>[WARTOŚĆ]</a:t>
                    </a:fld>
                    <a:r>
                      <a:rPr lang="en-US"/>
                      <a:t> wskaźnik</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83D-40D0-BC98-7F1C961DABBE}"/>
                </c:ext>
                <c:ext xmlns:c15="http://schemas.microsoft.com/office/drawing/2012/chart" uri="{CE6537A1-D6FC-4f65-9D91-7224C49458BB}">
                  <c15:dlblFieldTable/>
                  <c15:showDataLabelsRange val="0"/>
                </c:ext>
              </c:extLst>
            </c:dLbl>
            <c:dLbl>
              <c:idx val="1"/>
              <c:layout>
                <c:manualLayout>
                  <c:x val="2.207749199690915E-3"/>
                  <c:y val="-5.0925925925926013E-2"/>
                </c:manualLayout>
              </c:layout>
              <c:tx>
                <c:rich>
                  <a:bodyPr/>
                  <a:lstStyle/>
                  <a:p>
                    <a:fld id="{6F6C6E99-11FF-49A2-9B89-F09A5EACC64B}" type="VALUE">
                      <a:rPr lang="en-US"/>
                      <a:pPr/>
                      <a:t>[WARTOŚĆ]</a:t>
                    </a:fld>
                    <a:r>
                      <a:rPr lang="en-US"/>
                      <a:t> wskaźnik</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83D-40D0-BC98-7F1C961DABBE}"/>
                </c:ext>
                <c:ext xmlns:c15="http://schemas.microsoft.com/office/drawing/2012/chart" uri="{CE6537A1-D6FC-4f65-9D91-7224C49458BB}">
                  <c15:dlblFieldTable/>
                  <c15:showDataLabelsRange val="0"/>
                </c:ext>
              </c:extLst>
            </c:dLbl>
            <c:dLbl>
              <c:idx val="2"/>
              <c:layout>
                <c:manualLayout>
                  <c:x val="8.8309967987636601E-3"/>
                  <c:y val="-2.3148148148148147E-2"/>
                </c:manualLayout>
              </c:layout>
              <c:tx>
                <c:rich>
                  <a:bodyPr/>
                  <a:lstStyle/>
                  <a:p>
                    <a:fld id="{A32F5069-1EF2-44B9-89BD-773DF31E2B36}" type="VALUE">
                      <a:rPr lang="en-US"/>
                      <a:pPr/>
                      <a:t>[WARTOŚĆ]</a:t>
                    </a:fld>
                    <a:r>
                      <a:rPr lang="en-US"/>
                      <a:t> wskaźniki</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83D-40D0-BC98-7F1C961DABBE}"/>
                </c:ext>
                <c:ext xmlns:c15="http://schemas.microsoft.com/office/drawing/2012/chart" uri="{CE6537A1-D6FC-4f65-9D91-7224C49458BB}">
                  <c15:dlblFieldTable/>
                  <c15:showDataLabelsRange val="0"/>
                </c:ext>
              </c:extLst>
            </c:dLbl>
            <c:dLbl>
              <c:idx val="3"/>
              <c:layout>
                <c:manualLayout>
                  <c:x val="-1.6189973769774845E-16"/>
                  <c:y val="-3.2407407407407426E-2"/>
                </c:manualLayout>
              </c:layout>
              <c:tx>
                <c:rich>
                  <a:bodyPr/>
                  <a:lstStyle/>
                  <a:p>
                    <a:fld id="{1E3C5493-CDD7-4D63-8CB1-E4FDB5714497}" type="VALUE">
                      <a:rPr lang="en-US"/>
                      <a:pPr/>
                      <a:t>[WARTOŚĆ]</a:t>
                    </a:fld>
                    <a:r>
                      <a:rPr lang="en-US"/>
                      <a:t> wskaźników</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83D-40D0-BC98-7F1C961DABBE}"/>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'[wskaźniki.xlsx]5'!$A$1:$D$1</c:f>
              <c:strCache>
                <c:ptCount val="4"/>
                <c:pt idx="0">
                  <c:v>&lt; 50%</c:v>
                </c:pt>
                <c:pt idx="1">
                  <c:v>50%-75%</c:v>
                </c:pt>
                <c:pt idx="2">
                  <c:v>75%-125%</c:v>
                </c:pt>
                <c:pt idx="3">
                  <c:v>&gt;125%</c:v>
                </c:pt>
              </c:strCache>
            </c:strRef>
          </c:cat>
          <c:val>
            <c:numRef>
              <c:f>'[wskaźniki.xlsx]5'!$A$2:$D$2</c:f>
              <c:numCache>
                <c:formatCode>General</c:formatCode>
                <c:ptCount val="4"/>
                <c:pt idx="0">
                  <c:v>1</c:v>
                </c:pt>
                <c:pt idx="1">
                  <c:v>1</c:v>
                </c:pt>
                <c:pt idx="2">
                  <c:v>2</c:v>
                </c:pt>
                <c:pt idx="3">
                  <c:v>8</c:v>
                </c:pt>
              </c:numCache>
            </c:numRef>
          </c:val>
          <c:extLst xmlns:c16r2="http://schemas.microsoft.com/office/drawing/2015/06/chart">
            <c:ext xmlns:c16="http://schemas.microsoft.com/office/drawing/2014/chart" uri="{C3380CC4-5D6E-409C-BE32-E72D297353CC}">
              <c16:uniqueId val="{00000004-683D-40D0-BC98-7F1C961DABBE}"/>
            </c:ext>
          </c:extLst>
        </c:ser>
        <c:dLbls>
          <c:showLegendKey val="0"/>
          <c:showVal val="1"/>
          <c:showCatName val="0"/>
          <c:showSerName val="0"/>
          <c:showPercent val="0"/>
          <c:showBubbleSize val="0"/>
        </c:dLbls>
        <c:gapWidth val="150"/>
        <c:shape val="box"/>
        <c:axId val="431218008"/>
        <c:axId val="431218400"/>
        <c:axId val="0"/>
      </c:bar3DChart>
      <c:catAx>
        <c:axId val="43121800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8400"/>
        <c:crosses val="autoZero"/>
        <c:auto val="1"/>
        <c:lblAlgn val="ctr"/>
        <c:lblOffset val="100"/>
        <c:noMultiLvlLbl val="0"/>
      </c:catAx>
      <c:valAx>
        <c:axId val="431218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80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VI'!$A$7:$G$7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VI'!$A$8:$G$8</c:f>
              <c:numCache>
                <c:formatCode>General</c:formatCode>
                <c:ptCount val="7"/>
                <c:pt idx="0" formatCode="#,##0.00">
                  <c:v>312.8</c:v>
                </c:pt>
                <c:pt idx="2" formatCode="#,##0.00">
                  <c:v>377.56</c:v>
                </c:pt>
                <c:pt idx="3" formatCode="#,##0.00">
                  <c:v>306</c:v>
                </c:pt>
                <c:pt idx="4" formatCode="#,##0.00">
                  <c:v>295.60000000000002</c:v>
                </c:pt>
                <c:pt idx="5" formatCode="#,##0.00">
                  <c:v>289.83</c:v>
                </c:pt>
                <c:pt idx="6" formatCode="#,##0.00">
                  <c:v>306.94</c:v>
                </c:pt>
              </c:numCache>
            </c:numRef>
          </c:val>
        </c:ser>
        <c:dLbls>
          <c:showLegendKey val="0"/>
          <c:showVal val="0"/>
          <c:showCatName val="0"/>
          <c:showSerName val="0"/>
          <c:showPercent val="0"/>
          <c:showBubbleSize val="0"/>
        </c:dLbls>
        <c:gapWidth val="71"/>
        <c:overlap val="-25"/>
        <c:axId val="431219184"/>
        <c:axId val="431219576"/>
      </c:barChart>
      <c:lineChart>
        <c:grouping val="standard"/>
        <c:varyColors val="0"/>
        <c:ser>
          <c:idx val="1"/>
          <c:order val="1"/>
          <c:spPr>
            <a:ln w="38100" cap="rnd">
              <a:solidFill>
                <a:schemeClr val="tx1">
                  <a:lumMod val="95000"/>
                  <a:lumOff val="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VI'!$A$7:$G$7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VI'!$A$9:$G$9</c:f>
              <c:numCache>
                <c:formatCode>General</c:formatCode>
                <c:ptCount val="7"/>
                <c:pt idx="0" formatCode="0.00%">
                  <c:v>1</c:v>
                </c:pt>
                <c:pt idx="2" formatCode="0.00%">
                  <c:v>1.2070332480818413</c:v>
                </c:pt>
                <c:pt idx="3" formatCode="0.00%">
                  <c:v>0.97826086956521741</c:v>
                </c:pt>
                <c:pt idx="4" formatCode="0.00%">
                  <c:v>0.94501278772378516</c:v>
                </c:pt>
                <c:pt idx="5" formatCode="0.00%">
                  <c:v>0.92656649616368281</c:v>
                </c:pt>
                <c:pt idx="6" formatCode="0.00%">
                  <c:v>0.98126598465473136</c:v>
                </c:pt>
              </c:numCache>
            </c:numRef>
          </c:val>
          <c:smooth val="0"/>
        </c:ser>
        <c:dLbls>
          <c:showLegendKey val="0"/>
          <c:showVal val="0"/>
          <c:showCatName val="0"/>
          <c:showSerName val="0"/>
          <c:showPercent val="0"/>
          <c:showBubbleSize val="0"/>
        </c:dLbls>
        <c:marker val="1"/>
        <c:smooth val="0"/>
        <c:axId val="431220360"/>
        <c:axId val="431219968"/>
      </c:lineChart>
      <c:catAx>
        <c:axId val="431219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9576"/>
        <c:crosses val="autoZero"/>
        <c:auto val="1"/>
        <c:lblAlgn val="ctr"/>
        <c:lblOffset val="100"/>
        <c:noMultiLvlLbl val="0"/>
      </c:catAx>
      <c:valAx>
        <c:axId val="431219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19184"/>
        <c:crosses val="autoZero"/>
        <c:crossBetween val="between"/>
      </c:valAx>
      <c:valAx>
        <c:axId val="431219968"/>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20360"/>
        <c:crosses val="max"/>
        <c:crossBetween val="between"/>
      </c:valAx>
      <c:catAx>
        <c:axId val="431220360"/>
        <c:scaling>
          <c:orientation val="minMax"/>
        </c:scaling>
        <c:delete val="1"/>
        <c:axPos val="b"/>
        <c:numFmt formatCode="General" sourceLinked="1"/>
        <c:majorTickMark val="out"/>
        <c:minorTickMark val="none"/>
        <c:tickLblPos val="nextTo"/>
        <c:crossAx val="43121996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153235117936608"/>
          <c:y val="8.6168444920716278E-2"/>
          <c:w val="0.45162645738742413"/>
          <c:h val="0.8079392442808554"/>
        </c:manualLayout>
      </c:layout>
      <c:doughnutChart>
        <c:varyColors val="1"/>
        <c:ser>
          <c:idx val="0"/>
          <c:order val="0"/>
          <c:explosion val="14"/>
          <c:dPt>
            <c:idx val="0"/>
            <c:bubble3D val="0"/>
            <c:spPr>
              <a:solidFill>
                <a:schemeClr val="accent6">
                  <a:shade val="53000"/>
                </a:schemeClr>
              </a:solidFill>
              <a:ln>
                <a:noFill/>
              </a:ln>
              <a:effectLst>
                <a:outerShdw blurRad="317500" algn="ctr" rotWithShape="0">
                  <a:prstClr val="black">
                    <a:alpha val="25000"/>
                  </a:prstClr>
                </a:outerShdw>
              </a:effectLst>
            </c:spPr>
          </c:dPt>
          <c:dPt>
            <c:idx val="1"/>
            <c:bubble3D val="0"/>
            <c:spPr>
              <a:solidFill>
                <a:schemeClr val="accent6">
                  <a:shade val="76000"/>
                </a:schemeClr>
              </a:solidFill>
              <a:ln>
                <a:noFill/>
              </a:ln>
              <a:effectLst>
                <a:outerShdw blurRad="317500" algn="ctr" rotWithShape="0">
                  <a:prstClr val="black">
                    <a:alpha val="25000"/>
                  </a:prstClr>
                </a:outerShdw>
              </a:effectLst>
            </c:spPr>
          </c:dPt>
          <c:dPt>
            <c:idx val="2"/>
            <c:bubble3D val="0"/>
            <c:spPr>
              <a:solidFill>
                <a:schemeClr val="accent6"/>
              </a:solidFill>
              <a:ln>
                <a:noFill/>
              </a:ln>
              <a:effectLst>
                <a:outerShdw blurRad="317500" algn="ctr" rotWithShape="0">
                  <a:prstClr val="black">
                    <a:alpha val="25000"/>
                  </a:prstClr>
                </a:outerShdw>
              </a:effectLst>
            </c:spPr>
          </c:dPt>
          <c:dPt>
            <c:idx val="3"/>
            <c:bubble3D val="0"/>
            <c:spPr>
              <a:solidFill>
                <a:schemeClr val="accent6">
                  <a:tint val="77000"/>
                </a:schemeClr>
              </a:solidFill>
              <a:ln>
                <a:noFill/>
              </a:ln>
              <a:effectLst>
                <a:outerShdw blurRad="317500" algn="ctr" rotWithShape="0">
                  <a:prstClr val="black">
                    <a:alpha val="25000"/>
                  </a:prstClr>
                </a:outerShdw>
              </a:effectLst>
            </c:spPr>
          </c:dPt>
          <c:dPt>
            <c:idx val="4"/>
            <c:bubble3D val="0"/>
            <c:spPr>
              <a:solidFill>
                <a:schemeClr val="accent6">
                  <a:tint val="54000"/>
                </a:schemeClr>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('Priorytet VI'!$A$35,'Priorytet VI'!$A$36,'Priorytet VI'!$A$38,'Priorytet VI'!$A$39,'Priorytet VI'!$A$40)</c:f>
              <c:strCache>
                <c:ptCount val="5"/>
                <c:pt idx="0">
                  <c:v>inne (32 umowy)</c:v>
                </c:pt>
                <c:pt idx="1">
                  <c:v>JST (99 umów)</c:v>
                </c:pt>
                <c:pt idx="2">
                  <c:v>organizacja non-profit (11 umów)</c:v>
                </c:pt>
                <c:pt idx="3">
                  <c:v>przedsiębiorstwo (1 umowa)</c:v>
                </c:pt>
                <c:pt idx="4">
                  <c:v>uczelnie, jednostki naukowe (3 umowy)</c:v>
                </c:pt>
              </c:strCache>
            </c:strRef>
          </c:cat>
          <c:val>
            <c:numRef>
              <c:f>('Priorytet VI'!$D$35,'Priorytet VI'!$D$36,'Priorytet VI'!$D$38,'Priorytet VI'!$D$39,'Priorytet VI'!$D$40)</c:f>
              <c:numCache>
                <c:formatCode>#,##0.00</c:formatCode>
                <c:ptCount val="5"/>
                <c:pt idx="0">
                  <c:v>19.613133915173997</c:v>
                </c:pt>
                <c:pt idx="1">
                  <c:v>67.389762405563957</c:v>
                </c:pt>
                <c:pt idx="2">
                  <c:v>3.6753998144615458</c:v>
                </c:pt>
                <c:pt idx="3">
                  <c:v>1.8373575246938503</c:v>
                </c:pt>
                <c:pt idx="4">
                  <c:v>7.484346340106649</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61956454175311881"/>
          <c:y val="0.12595319076239733"/>
          <c:w val="0.32310359496132446"/>
          <c:h val="0.55085495969808507"/>
        </c:manualLayout>
      </c:layout>
      <c:overlay val="0"/>
      <c:spPr>
        <a:solidFill>
          <a:schemeClr val="lt1">
            <a:alpha val="78000"/>
          </a:schemeClr>
        </a:solid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2.9914529914529916E-2"/>
                  <c:y val="-8.5714285714285715E-2"/>
                </c:manualLayout>
              </c:layout>
              <c:tx>
                <c:rich>
                  <a:bodyPr/>
                  <a:lstStyle/>
                  <a:p>
                    <a:fld id="{F1B55699-2913-4BBF-899A-DFD2FE75A88A}"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2.1367521367521368E-2"/>
                  <c:y val="-7.6190476190476197E-2"/>
                </c:manualLayout>
              </c:layout>
              <c:tx>
                <c:rich>
                  <a:bodyPr/>
                  <a:lstStyle/>
                  <a:p>
                    <a:fld id="{8AE5FDF6-93B2-4E9D-91F7-D5EE09E03E88}" type="VALUE">
                      <a:rPr lang="en-US" sz="900"/>
                      <a:pPr/>
                      <a:t>[WARTOŚĆ]</a:t>
                    </a:fld>
                    <a:r>
                      <a:rPr lang="en-US" sz="900"/>
                      <a:t> </a:t>
                    </a:r>
                    <a:r>
                      <a:rPr lang="en-US" sz="900" b="1" i="0" u="none" strike="noStrike" kern="1200" baseline="0">
                        <a:solidFill>
                          <a:sysClr val="windowText" lastClr="000000">
                            <a:lumMod val="75000"/>
                            <a:lumOff val="25000"/>
                          </a:sysClr>
                        </a:solidFill>
                      </a:rPr>
                      <a:t>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8.5470085470084681E-3"/>
                  <c:y val="-2.8571428571428577E-2"/>
                </c:manualLayout>
              </c:layout>
              <c:tx>
                <c:rich>
                  <a:bodyPr/>
                  <a:lstStyle/>
                  <a:p>
                    <a:fld id="{6A9E480F-67B1-42CF-89DB-82678D7738A8}" type="VALUE">
                      <a:rPr lang="en-US"/>
                      <a:pPr/>
                      <a:t>[WARTOŚĆ]</a:t>
                    </a:fld>
                    <a:r>
                      <a:rPr lang="en-US"/>
                      <a:t> </a:t>
                    </a:r>
                    <a:r>
                      <a:rPr lang="en-US" sz="900" b="1" i="0" u="none" strike="noStrike" kern="1200" baseline="0">
                        <a:solidFill>
                          <a:sysClr val="windowText" lastClr="000000">
                            <a:lumMod val="75000"/>
                            <a:lumOff val="25000"/>
                          </a:sysClr>
                        </a:solidFill>
                      </a:rPr>
                      <a:t>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2.1367521367521368E-2"/>
                  <c:y val="-7.1428571428571425E-2"/>
                </c:manualLayout>
              </c:layout>
              <c:tx>
                <c:rich>
                  <a:bodyPr/>
                  <a:lstStyle/>
                  <a:p>
                    <a:r>
                      <a:rPr lang="en-US" sz="900" b="1" i="0" u="none" strike="noStrike" kern="1200" baseline="0">
                        <a:solidFill>
                          <a:sysClr val="windowText" lastClr="000000">
                            <a:lumMod val="75000"/>
                            <a:lumOff val="25000"/>
                          </a:sysClr>
                        </a:solidFill>
                      </a:rPr>
                      <a:t>4 wskaźniki </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'P.VI-X'!$A$1:$D$1</c:f>
              <c:strCache>
                <c:ptCount val="4"/>
                <c:pt idx="0">
                  <c:v>&lt; 50%</c:v>
                </c:pt>
                <c:pt idx="1">
                  <c:v>50%-75%</c:v>
                </c:pt>
                <c:pt idx="2">
                  <c:v>75%-125%</c:v>
                </c:pt>
                <c:pt idx="3">
                  <c:v>&gt;125%</c:v>
                </c:pt>
              </c:strCache>
            </c:strRef>
          </c:cat>
          <c:val>
            <c:numRef>
              <c:f>'P.VI-X'!$A$2:$D$2</c:f>
              <c:numCache>
                <c:formatCode>General</c:formatCode>
                <c:ptCount val="4"/>
                <c:pt idx="0">
                  <c:v>0</c:v>
                </c:pt>
                <c:pt idx="1">
                  <c:v>0</c:v>
                </c:pt>
                <c:pt idx="2">
                  <c:v>6</c:v>
                </c:pt>
                <c:pt idx="3">
                  <c:v>4</c:v>
                </c:pt>
              </c:numCache>
            </c:numRef>
          </c:val>
        </c:ser>
        <c:dLbls>
          <c:showLegendKey val="0"/>
          <c:showVal val="1"/>
          <c:showCatName val="0"/>
          <c:showSerName val="0"/>
          <c:showPercent val="0"/>
          <c:showBubbleSize val="0"/>
        </c:dLbls>
        <c:gapWidth val="150"/>
        <c:shape val="box"/>
        <c:axId val="431221536"/>
        <c:axId val="431221928"/>
        <c:axId val="0"/>
      </c:bar3DChart>
      <c:catAx>
        <c:axId val="431221536"/>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layout>
            <c:manualLayout>
              <c:xMode val="edge"/>
              <c:yMode val="edge"/>
              <c:x val="0.29379820310922672"/>
              <c:y val="0.89467416572928404"/>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21928"/>
        <c:crosses val="autoZero"/>
        <c:auto val="1"/>
        <c:lblAlgn val="ctr"/>
        <c:lblOffset val="100"/>
        <c:noMultiLvlLbl val="0"/>
      </c:catAx>
      <c:valAx>
        <c:axId val="431221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4312215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VII'!$A$7:$G$7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VII'!$A$8:$G$8</c:f>
              <c:numCache>
                <c:formatCode>General</c:formatCode>
                <c:ptCount val="7"/>
                <c:pt idx="0" formatCode="#,##0.00">
                  <c:v>460.25</c:v>
                </c:pt>
                <c:pt idx="2" formatCode="#,##0.00">
                  <c:v>687.81</c:v>
                </c:pt>
                <c:pt idx="3" formatCode="#,##0.00">
                  <c:v>579.91999999999996</c:v>
                </c:pt>
                <c:pt idx="4" formatCode="#,##0.00">
                  <c:v>464.36</c:v>
                </c:pt>
                <c:pt idx="5" formatCode="#,##0.00">
                  <c:v>459.51</c:v>
                </c:pt>
                <c:pt idx="6" formatCode="#,##0.00">
                  <c:v>481.82</c:v>
                </c:pt>
              </c:numCache>
            </c:numRef>
          </c:val>
        </c:ser>
        <c:dLbls>
          <c:showLegendKey val="0"/>
          <c:showVal val="0"/>
          <c:showCatName val="0"/>
          <c:showSerName val="0"/>
          <c:showPercent val="0"/>
          <c:showBubbleSize val="0"/>
        </c:dLbls>
        <c:gapWidth val="71"/>
        <c:axId val="579384488"/>
        <c:axId val="579384880"/>
      </c:barChart>
      <c:lineChart>
        <c:grouping val="standard"/>
        <c:varyColors val="0"/>
        <c:ser>
          <c:idx val="1"/>
          <c:order val="1"/>
          <c:spPr>
            <a:ln w="38100" cap="rnd">
              <a:solidFill>
                <a:schemeClr val="tx1">
                  <a:lumMod val="95000"/>
                  <a:lumOff val="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VII'!$A$7:$G$7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VII'!$A$9:$G$9</c:f>
              <c:numCache>
                <c:formatCode>General</c:formatCode>
                <c:ptCount val="7"/>
                <c:pt idx="0" formatCode="0.00%">
                  <c:v>1</c:v>
                </c:pt>
                <c:pt idx="2" formatCode="0.00%">
                  <c:v>1.4944269418794132</c:v>
                </c:pt>
                <c:pt idx="3" formatCode="0.00%">
                  <c:v>1.2600108636610536</c:v>
                </c:pt>
                <c:pt idx="4" formatCode="0.00%">
                  <c:v>1.0089299293862031</c:v>
                </c:pt>
                <c:pt idx="5" formatCode="0.00%">
                  <c:v>0.99839217816404124</c:v>
                </c:pt>
                <c:pt idx="6" formatCode="0.00%">
                  <c:v>1.046865833785986</c:v>
                </c:pt>
              </c:numCache>
            </c:numRef>
          </c:val>
          <c:smooth val="0"/>
        </c:ser>
        <c:dLbls>
          <c:showLegendKey val="0"/>
          <c:showVal val="0"/>
          <c:showCatName val="0"/>
          <c:showSerName val="0"/>
          <c:showPercent val="0"/>
          <c:showBubbleSize val="0"/>
        </c:dLbls>
        <c:marker val="1"/>
        <c:smooth val="0"/>
        <c:axId val="579385664"/>
        <c:axId val="579385272"/>
      </c:lineChart>
      <c:catAx>
        <c:axId val="579384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4880"/>
        <c:crosses val="autoZero"/>
        <c:auto val="1"/>
        <c:lblAlgn val="ctr"/>
        <c:lblOffset val="100"/>
        <c:noMultiLvlLbl val="0"/>
      </c:catAx>
      <c:valAx>
        <c:axId val="5793848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4488"/>
        <c:crosses val="autoZero"/>
        <c:crossBetween val="between"/>
      </c:valAx>
      <c:valAx>
        <c:axId val="579385272"/>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5664"/>
        <c:crosses val="max"/>
        <c:crossBetween val="between"/>
      </c:valAx>
      <c:catAx>
        <c:axId val="579385664"/>
        <c:scaling>
          <c:orientation val="minMax"/>
        </c:scaling>
        <c:delete val="1"/>
        <c:axPos val="b"/>
        <c:numFmt formatCode="General" sourceLinked="1"/>
        <c:majorTickMark val="out"/>
        <c:minorTickMark val="none"/>
        <c:tickLblPos val="nextTo"/>
        <c:crossAx val="57938527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doughnutChart>
        <c:varyColors val="1"/>
        <c:ser>
          <c:idx val="0"/>
          <c:order val="0"/>
          <c:explosion val="18"/>
          <c:dPt>
            <c:idx val="0"/>
            <c:bubble3D val="0"/>
            <c:spPr>
              <a:solidFill>
                <a:schemeClr val="accent6">
                  <a:shade val="76000"/>
                </a:schemeClr>
              </a:solidFill>
              <a:ln>
                <a:noFill/>
              </a:ln>
              <a:effectLst>
                <a:outerShdw blurRad="317500" algn="ctr" rotWithShape="0">
                  <a:prstClr val="black">
                    <a:alpha val="25000"/>
                  </a:prstClr>
                </a:outerShdw>
              </a:effectLst>
            </c:spPr>
          </c:dPt>
          <c:dPt>
            <c:idx val="1"/>
            <c:bubble3D val="0"/>
            <c:spPr>
              <a:solidFill>
                <a:schemeClr val="accent6">
                  <a:tint val="77000"/>
                </a:schemeClr>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('Priorytet VII'!$A$35,'Priorytet VII'!$A$38)</c:f>
              <c:strCache>
                <c:ptCount val="2"/>
                <c:pt idx="0">
                  <c:v>JST (290 umów)</c:v>
                </c:pt>
                <c:pt idx="1">
                  <c:v>przedsiębiorstwo (8 umów)</c:v>
                </c:pt>
              </c:strCache>
            </c:strRef>
          </c:cat>
          <c:val>
            <c:numRef>
              <c:f>('Priorytet VII'!$D$35,'Priorytet VII'!$D$38)</c:f>
              <c:numCache>
                <c:formatCode>#,##0.00</c:formatCode>
                <c:ptCount val="2"/>
                <c:pt idx="0">
                  <c:v>92.126679061873716</c:v>
                </c:pt>
                <c:pt idx="1">
                  <c:v>7.8733209381262776</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alpha val="78000"/>
          </a:schemeClr>
        </a:solid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no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1.0752688172043031E-2"/>
                  <c:y val="-3.2407407407407489E-2"/>
                </c:manualLayout>
              </c:layout>
              <c:tx>
                <c:rich>
                  <a:bodyPr/>
                  <a:lstStyle/>
                  <a:p>
                    <a:fld id="{57AA4F2E-FD96-4307-8A0D-4DF3F94ACF93}"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1.0752688172043012E-2"/>
                  <c:y val="-5.0925925925926013E-2"/>
                </c:manualLayout>
              </c:layout>
              <c:tx>
                <c:rich>
                  <a:bodyPr/>
                  <a:lstStyle/>
                  <a:p>
                    <a:fld id="{FC4FDDAC-E2A9-4250-81C1-27FA95EF9FC3}"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8.6021505376343305E-3"/>
                  <c:y val="-6.9444444444444448E-2"/>
                </c:manualLayout>
              </c:layout>
              <c:tx>
                <c:rich>
                  <a:bodyPr/>
                  <a:lstStyle/>
                  <a:p>
                    <a:fld id="{E4AAFC62-9136-4C5E-89D5-C0CFEAE26807}" type="VALUE">
                      <a:rPr lang="en-US"/>
                      <a:pPr/>
                      <a:t>[WARTOŚĆ]</a:t>
                    </a:fld>
                    <a:r>
                      <a:rPr lang="en-US"/>
                      <a:t> 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2.5806451612903226E-2"/>
                  <c:y val="-6.4814814814814825E-2"/>
                </c:manualLayout>
              </c:layout>
              <c:tx>
                <c:rich>
                  <a:bodyPr/>
                  <a:lstStyle/>
                  <a:p>
                    <a:fld id="{CEDF8541-6956-40DB-96B8-0A0CAC292318}"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'P.VI-X'!$B$21:$E$21</c:f>
              <c:strCache>
                <c:ptCount val="4"/>
                <c:pt idx="0">
                  <c:v>&lt; 50%</c:v>
                </c:pt>
                <c:pt idx="1">
                  <c:v>50%-75%</c:v>
                </c:pt>
                <c:pt idx="2">
                  <c:v>75%-125%</c:v>
                </c:pt>
                <c:pt idx="3">
                  <c:v>&gt;125%</c:v>
                </c:pt>
              </c:strCache>
            </c:strRef>
          </c:cat>
          <c:val>
            <c:numRef>
              <c:f>'P.VI-X'!$B$22:$E$22</c:f>
              <c:numCache>
                <c:formatCode>General</c:formatCode>
                <c:ptCount val="4"/>
                <c:pt idx="0">
                  <c:v>3</c:v>
                </c:pt>
                <c:pt idx="1">
                  <c:v>1</c:v>
                </c:pt>
                <c:pt idx="2">
                  <c:v>4</c:v>
                </c:pt>
                <c:pt idx="3">
                  <c:v>11</c:v>
                </c:pt>
              </c:numCache>
            </c:numRef>
          </c:val>
        </c:ser>
        <c:dLbls>
          <c:showLegendKey val="0"/>
          <c:showVal val="1"/>
          <c:showCatName val="0"/>
          <c:showSerName val="0"/>
          <c:showPercent val="0"/>
          <c:showBubbleSize val="0"/>
        </c:dLbls>
        <c:gapWidth val="150"/>
        <c:shape val="box"/>
        <c:axId val="579386840"/>
        <c:axId val="579387232"/>
        <c:axId val="0"/>
      </c:bar3DChart>
      <c:catAx>
        <c:axId val="579386840"/>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layout>
            <c:manualLayout>
              <c:xMode val="edge"/>
              <c:yMode val="edge"/>
              <c:x val="0.30134552535771741"/>
              <c:y val="0.90486198896317849"/>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7232"/>
        <c:crosses val="autoZero"/>
        <c:auto val="1"/>
        <c:lblAlgn val="ctr"/>
        <c:lblOffset val="100"/>
        <c:noMultiLvlLbl val="0"/>
      </c:catAx>
      <c:valAx>
        <c:axId val="579387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6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16"/>
          <c:dPt>
            <c:idx val="0"/>
            <c:bubble3D val="0"/>
            <c:spPr>
              <a:solidFill>
                <a:schemeClr val="accent6">
                  <a:tint val="44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D679-41E8-9F71-0EB9310ED96A}"/>
              </c:ext>
            </c:extLst>
          </c:dPt>
          <c:dPt>
            <c:idx val="1"/>
            <c:bubble3D val="0"/>
            <c:spPr>
              <a:solidFill>
                <a:schemeClr val="accent6">
                  <a:tint val="58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D679-41E8-9F71-0EB9310ED96A}"/>
              </c:ext>
            </c:extLst>
          </c:dPt>
          <c:dPt>
            <c:idx val="2"/>
            <c:bubble3D val="0"/>
            <c:spPr>
              <a:solidFill>
                <a:schemeClr val="accent6">
                  <a:tint val="72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D679-41E8-9F71-0EB9310ED96A}"/>
              </c:ext>
            </c:extLst>
          </c:dPt>
          <c:dPt>
            <c:idx val="3"/>
            <c:bubble3D val="0"/>
            <c:spPr>
              <a:solidFill>
                <a:schemeClr val="accent6">
                  <a:tint val="86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D679-41E8-9F71-0EB9310ED96A}"/>
              </c:ext>
            </c:extLst>
          </c:dPt>
          <c:dPt>
            <c:idx val="4"/>
            <c:bubble3D val="0"/>
            <c:spPr>
              <a:solidFill>
                <a:schemeClr val="accent6"/>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D679-41E8-9F71-0EB9310ED96A}"/>
              </c:ext>
            </c:extLst>
          </c:dPt>
          <c:dPt>
            <c:idx val="5"/>
            <c:bubble3D val="0"/>
            <c:spPr>
              <a:solidFill>
                <a:schemeClr val="accent6">
                  <a:shade val="86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B-D679-41E8-9F71-0EB9310ED96A}"/>
              </c:ext>
            </c:extLst>
          </c:dPt>
          <c:dPt>
            <c:idx val="6"/>
            <c:bubble3D val="0"/>
            <c:spPr>
              <a:solidFill>
                <a:schemeClr val="accent6">
                  <a:shade val="72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D-D679-41E8-9F71-0EB9310ED96A}"/>
              </c:ext>
            </c:extLst>
          </c:dPt>
          <c:dPt>
            <c:idx val="7"/>
            <c:bubble3D val="0"/>
            <c:spPr>
              <a:solidFill>
                <a:schemeClr val="accent6">
                  <a:shade val="58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F-D679-41E8-9F71-0EB9310ED96A}"/>
              </c:ext>
            </c:extLst>
          </c:dPt>
          <c:dPt>
            <c:idx val="8"/>
            <c:bubble3D val="0"/>
            <c:spPr>
              <a:solidFill>
                <a:schemeClr val="accent6">
                  <a:shade val="44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1-D679-41E8-9F71-0EB9310ED96A}"/>
              </c:ext>
            </c:extLst>
          </c:dPt>
          <c:dLbls>
            <c:dLbl>
              <c:idx val="0"/>
              <c:layout>
                <c:manualLayout>
                  <c:x val="-0.14024071166928309"/>
                  <c:y val="1.6835016835016835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Culture</a:t>
                    </a:r>
                    <a:r>
                      <a:rPr lang="en-US" baseline="0"/>
                      <a:t>
</a:t>
                    </a:r>
                    <a:fld id="{DFC6CEAE-B08E-464E-9326-4BB3A17A9776}"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D679-41E8-9F71-0EB9310ED96A}"/>
                </c:ext>
                <c:ext xmlns:c15="http://schemas.microsoft.com/office/drawing/2012/chart" uri="{CE6537A1-D6FC-4f65-9D91-7224C49458BB}">
                  <c15:layout/>
                  <c15:dlblFieldTable/>
                  <c15:showDataLabelsRange val="0"/>
                </c:ext>
              </c:extLst>
            </c:dLbl>
            <c:dLbl>
              <c:idx val="1"/>
              <c:layout>
                <c:manualLayout>
                  <c:x val="-4.6049188906331764E-2"/>
                  <c:y val="-1.9289900618212108E-18"/>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Health</a:t>
                    </a:r>
                    <a:r>
                      <a:rPr lang="en-US" baseline="0"/>
                      <a:t> and leisure
</a:t>
                    </a:r>
                    <a:fld id="{CA789578-E77A-4942-8238-A729F19BD7DF}"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D679-41E8-9F71-0EB9310ED96A}"/>
                </c:ext>
                <c:ext xmlns:c15="http://schemas.microsoft.com/office/drawing/2012/chart" uri="{CE6537A1-D6FC-4f65-9D91-7224C49458BB}">
                  <c15:layout/>
                  <c15:dlblFieldTable/>
                  <c15:showDataLabelsRange val="0"/>
                </c:ext>
              </c:extLst>
            </c:dLbl>
            <c:dLbl>
              <c:idx val="2"/>
              <c:layout>
                <c:manualLayout>
                  <c:x val="9.6284667713239139E-2"/>
                  <c:y val="1.6835016835016835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Education infrastructure</a:t>
                    </a:r>
                    <a:r>
                      <a:rPr lang="en-US" baseline="0"/>
                      <a:t>
</a:t>
                    </a:r>
                    <a:fld id="{ED3F2117-267F-4DA1-BCAC-EFE3A7CEB35E}"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D679-41E8-9F71-0EB9310ED96A}"/>
                </c:ext>
                <c:ext xmlns:c15="http://schemas.microsoft.com/office/drawing/2012/chart" uri="{CE6537A1-D6FC-4f65-9D91-7224C49458BB}">
                  <c15:layout/>
                  <c15:dlblFieldTable/>
                  <c15:showDataLabelsRange val="0"/>
                </c:ext>
              </c:extLst>
            </c:dLbl>
            <c:dLbl>
              <c:idx val="3"/>
              <c:layout>
                <c:manualLayout>
                  <c:x val="4.1862899005756151E-3"/>
                  <c:y val="1.3468013468013438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Torusim</a:t>
                    </a:r>
                    <a:r>
                      <a:rPr lang="en-US" baseline="0"/>
                      <a:t>
</a:t>
                    </a:r>
                    <a:fld id="{E8B14622-88AA-4E48-A09E-78A7BB80AFD2}"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D679-41E8-9F71-0EB9310ED96A}"/>
                </c:ext>
                <c:ext xmlns:c15="http://schemas.microsoft.com/office/drawing/2012/chart" uri="{CE6537A1-D6FC-4f65-9D91-7224C49458BB}">
                  <c15:layout/>
                  <c15:dlblFieldTable/>
                  <c15:showDataLabelsRange val="0"/>
                </c:ext>
              </c:extLst>
            </c:dLbl>
            <c:dLbl>
              <c:idx val="4"/>
              <c:layout>
                <c:manualLayout>
                  <c:x val="-4.1862899005757686E-3"/>
                  <c:y val="3.7037037037037035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Information Society</a:t>
                    </a:r>
                    <a:r>
                      <a:rPr lang="en-US" baseline="0"/>
                      <a:t>
</a:t>
                    </a:r>
                    <a:fld id="{A7A6A6E1-1334-4F2E-8FCE-01334848F210}"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D679-41E8-9F71-0EB9310ED96A}"/>
                </c:ext>
                <c:ext xmlns:c15="http://schemas.microsoft.com/office/drawing/2012/chart" uri="{CE6537A1-D6FC-4f65-9D91-7224C49458BB}">
                  <c15:layout/>
                  <c15:dlblFieldTable/>
                  <c15:showDataLabelsRange val="0"/>
                </c:ext>
              </c:extLst>
            </c:dLbl>
            <c:dLbl>
              <c:idx val="5"/>
              <c:layout>
                <c:manualLayout>
                  <c:x val="-4.3956043956043959E-2"/>
                  <c:y val="-3.0303030303030425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Environment</a:t>
                    </a:r>
                    <a:r>
                      <a:rPr lang="en-US" baseline="0"/>
                      <a:t>
</a:t>
                    </a:r>
                    <a:fld id="{4028CFCD-694E-402C-B13A-F551F5B51543}"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D679-41E8-9F71-0EB9310ED96A}"/>
                </c:ext>
                <c:ext xmlns:c15="http://schemas.microsoft.com/office/drawing/2012/chart" uri="{CE6537A1-D6FC-4f65-9D91-7224C49458BB}">
                  <c15:layout/>
                  <c15:dlblFieldTable/>
                  <c15:showDataLabelsRange val="0"/>
                </c:ext>
              </c:extLst>
            </c:dLbl>
            <c:dLbl>
              <c:idx val="6"/>
              <c:layout>
                <c:manualLayout>
                  <c:x val="0.18838304552590268"/>
                  <c:y val="0"/>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Technological</a:t>
                    </a:r>
                    <a:r>
                      <a:rPr lang="en-US" baseline="0"/>
                      <a:t> research and development, innovation and entrepreneurship
</a:t>
                    </a:r>
                    <a:fld id="{6DC5F412-F057-4856-9EA8-0AD231A36AD5}"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D-D679-41E8-9F71-0EB9310ED96A}"/>
                </c:ext>
                <c:ext xmlns:c15="http://schemas.microsoft.com/office/drawing/2012/chart" uri="{CE6537A1-D6FC-4f65-9D91-7224C49458BB}">
                  <c15:layout/>
                  <c15:dlblFieldTable/>
                  <c15:showDataLabelsRange val="0"/>
                </c:ext>
              </c:extLst>
            </c:dLbl>
            <c:dLbl>
              <c:idx val="7"/>
              <c:layout/>
              <c:tx>
                <c:rich>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Sustainable development of cities</a:t>
                    </a:r>
                    <a:r>
                      <a:rPr lang="en-US" baseline="0"/>
                      <a:t>
</a:t>
                    </a:r>
                    <a:fld id="{21D98530-DC04-4B09-939D-4E52BA472D7F}" type="PERCENTAGE">
                      <a:rPr lang="en-US" baseline="0"/>
                      <a:pPr>
                        <a:defRPr>
                          <a:solidFill>
                            <a:sysClr val="windowText" lastClr="000000"/>
                          </a:solidFill>
                          <a:latin typeface="Times New Roman" panose="02020603050405020304" pitchFamily="18" charset="0"/>
                          <a:cs typeface="Times New Roman" panose="02020603050405020304" pitchFamily="18" charset="0"/>
                        </a:defRPr>
                      </a:pPr>
                      <a:t>[PROCENTOWE]</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outEnd"/>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F-D679-41E8-9F71-0EB9310ED96A}"/>
                </c:ext>
                <c:ext xmlns:c15="http://schemas.microsoft.com/office/drawing/2012/chart" uri="{CE6537A1-D6FC-4f65-9D91-7224C49458BB}">
                  <c15:layout/>
                  <c15:dlblFieldTable/>
                  <c15:showDataLabelsRange val="0"/>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outEnd"/>
              <c:showLegendKey val="0"/>
              <c:showVal val="0"/>
              <c:showCatName val="1"/>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Arkusz1!$A$3:$A$11</c:f>
              <c:strCache>
                <c:ptCount val="9"/>
                <c:pt idx="0">
                  <c:v>Kultura</c:v>
                </c:pt>
                <c:pt idx="1">
                  <c:v>Zdrowie i rekreacja</c:v>
                </c:pt>
                <c:pt idx="2">
                  <c:v>Infrastruktura edukacyjna</c:v>
                </c:pt>
                <c:pt idx="3">
                  <c:v>Turystyka</c:v>
                </c:pt>
                <c:pt idx="4">
                  <c:v>Społeczeństwo informacyjne</c:v>
                </c:pt>
                <c:pt idx="5">
                  <c:v>Środowisko</c:v>
                </c:pt>
                <c:pt idx="6">
                  <c:v>Badania i rozwój technologiczny B+R, innowacje i przedsiębiorczość</c:v>
                </c:pt>
                <c:pt idx="7">
                  <c:v>Zrównoważony rozwój miast</c:v>
                </c:pt>
                <c:pt idx="8">
                  <c:v>Transport</c:v>
                </c:pt>
              </c:strCache>
            </c:strRef>
          </c:cat>
          <c:val>
            <c:numRef>
              <c:f>Arkusz1!$B$3:$B$11</c:f>
              <c:numCache>
                <c:formatCode>#,##0.00</c:formatCode>
                <c:ptCount val="9"/>
                <c:pt idx="0">
                  <c:v>50145506.350000001</c:v>
                </c:pt>
                <c:pt idx="1">
                  <c:v>54025568.609999999</c:v>
                </c:pt>
                <c:pt idx="2">
                  <c:v>86154750.069999993</c:v>
                </c:pt>
                <c:pt idx="3">
                  <c:v>102342712.12</c:v>
                </c:pt>
                <c:pt idx="4">
                  <c:v>130795882.23999999</c:v>
                </c:pt>
                <c:pt idx="5">
                  <c:v>185092829.55000001</c:v>
                </c:pt>
                <c:pt idx="6">
                  <c:v>273903415.58999997</c:v>
                </c:pt>
                <c:pt idx="7">
                  <c:v>295605651.02999997</c:v>
                </c:pt>
                <c:pt idx="8">
                  <c:v>464367560.81</c:v>
                </c:pt>
              </c:numCache>
            </c:numRef>
          </c:val>
          <c:extLst xmlns:c16r2="http://schemas.microsoft.com/office/drawing/2015/06/chart">
            <c:ext xmlns:c16="http://schemas.microsoft.com/office/drawing/2014/chart" uri="{C3380CC4-5D6E-409C-BE32-E72D297353CC}">
              <c16:uniqueId val="{00000012-D679-41E8-9F71-0EB9310ED96A}"/>
            </c:ext>
          </c:extLst>
        </c:ser>
        <c:ser>
          <c:idx val="1"/>
          <c:order val="1"/>
          <c:dPt>
            <c:idx val="0"/>
            <c:bubble3D val="0"/>
            <c:spPr>
              <a:solidFill>
                <a:schemeClr val="accent6">
                  <a:tint val="44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4-D679-41E8-9F71-0EB9310ED96A}"/>
              </c:ext>
            </c:extLst>
          </c:dPt>
          <c:dPt>
            <c:idx val="1"/>
            <c:bubble3D val="0"/>
            <c:spPr>
              <a:solidFill>
                <a:schemeClr val="accent6">
                  <a:tint val="58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6-D679-41E8-9F71-0EB9310ED96A}"/>
              </c:ext>
            </c:extLst>
          </c:dPt>
          <c:dPt>
            <c:idx val="2"/>
            <c:bubble3D val="0"/>
            <c:spPr>
              <a:solidFill>
                <a:schemeClr val="accent6">
                  <a:tint val="72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8-D679-41E8-9F71-0EB9310ED96A}"/>
              </c:ext>
            </c:extLst>
          </c:dPt>
          <c:dPt>
            <c:idx val="3"/>
            <c:bubble3D val="0"/>
            <c:spPr>
              <a:solidFill>
                <a:schemeClr val="accent6">
                  <a:tint val="86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A-D679-41E8-9F71-0EB9310ED96A}"/>
              </c:ext>
            </c:extLst>
          </c:dPt>
          <c:dPt>
            <c:idx val="4"/>
            <c:bubble3D val="0"/>
            <c:spPr>
              <a:solidFill>
                <a:schemeClr val="accent6"/>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C-D679-41E8-9F71-0EB9310ED96A}"/>
              </c:ext>
            </c:extLst>
          </c:dPt>
          <c:dPt>
            <c:idx val="5"/>
            <c:bubble3D val="0"/>
            <c:spPr>
              <a:solidFill>
                <a:schemeClr val="accent6">
                  <a:shade val="86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1E-D679-41E8-9F71-0EB9310ED96A}"/>
              </c:ext>
            </c:extLst>
          </c:dPt>
          <c:dPt>
            <c:idx val="6"/>
            <c:bubble3D val="0"/>
            <c:spPr>
              <a:solidFill>
                <a:schemeClr val="accent6">
                  <a:shade val="72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20-D679-41E8-9F71-0EB9310ED96A}"/>
              </c:ext>
            </c:extLst>
          </c:dPt>
          <c:dPt>
            <c:idx val="7"/>
            <c:bubble3D val="0"/>
            <c:spPr>
              <a:solidFill>
                <a:schemeClr val="accent6">
                  <a:shade val="58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22-D679-41E8-9F71-0EB9310ED96A}"/>
              </c:ext>
            </c:extLst>
          </c:dPt>
          <c:dPt>
            <c:idx val="8"/>
            <c:bubble3D val="0"/>
            <c:spPr>
              <a:solidFill>
                <a:schemeClr val="accent6">
                  <a:shade val="44000"/>
                </a:schemeClr>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24-D679-41E8-9F71-0EB9310ED96A}"/>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44000"/>
                        </a:schemeClr>
                      </a:solidFill>
                      <a:latin typeface="+mn-lt"/>
                      <a:ea typeface="+mn-ea"/>
                      <a:cs typeface="+mn-cs"/>
                    </a:defRPr>
                  </a:pPr>
                  <a:endParaRPr lang="pl-PL"/>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58000"/>
                        </a:schemeClr>
                      </a:solidFill>
                      <a:latin typeface="+mn-lt"/>
                      <a:ea typeface="+mn-ea"/>
                      <a:cs typeface="+mn-cs"/>
                    </a:defRPr>
                  </a:pPr>
                  <a:endParaRPr lang="pl-PL"/>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72000"/>
                        </a:schemeClr>
                      </a:solidFill>
                      <a:latin typeface="+mn-lt"/>
                      <a:ea typeface="+mn-ea"/>
                      <a:cs typeface="+mn-cs"/>
                    </a:defRPr>
                  </a:pPr>
                  <a:endParaRPr lang="pl-PL"/>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86000"/>
                        </a:schemeClr>
                      </a:solidFill>
                      <a:latin typeface="+mn-lt"/>
                      <a:ea typeface="+mn-ea"/>
                      <a:cs typeface="+mn-cs"/>
                    </a:defRPr>
                  </a:pPr>
                  <a:endParaRPr lang="pl-PL"/>
                </a:p>
              </c:txPr>
              <c:dLblPos val="outEnd"/>
              <c:showLegendKey val="0"/>
              <c:showVal val="0"/>
              <c:showCatName val="1"/>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pl-PL"/>
                </a:p>
              </c:txPr>
              <c:dLblPos val="outEnd"/>
              <c:showLegendKey val="0"/>
              <c:showVal val="0"/>
              <c:showCatName val="1"/>
              <c:showSerName val="0"/>
              <c:showPercent val="1"/>
              <c:showBubbleSize val="0"/>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86000"/>
                        </a:schemeClr>
                      </a:solidFill>
                      <a:latin typeface="+mn-lt"/>
                      <a:ea typeface="+mn-ea"/>
                      <a:cs typeface="+mn-cs"/>
                    </a:defRPr>
                  </a:pPr>
                  <a:endParaRPr lang="pl-PL"/>
                </a:p>
              </c:txPr>
              <c:dLblPos val="outEnd"/>
              <c:showLegendKey val="0"/>
              <c:showVal val="0"/>
              <c:showCatName val="1"/>
              <c:showSerName val="0"/>
              <c:showPercent val="1"/>
              <c:showBubbleSize val="0"/>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72000"/>
                        </a:schemeClr>
                      </a:solidFill>
                      <a:latin typeface="+mn-lt"/>
                      <a:ea typeface="+mn-ea"/>
                      <a:cs typeface="+mn-cs"/>
                    </a:defRPr>
                  </a:pPr>
                  <a:endParaRPr lang="pl-PL"/>
                </a:p>
              </c:txPr>
              <c:dLblPos val="outEnd"/>
              <c:showLegendKey val="0"/>
              <c:showVal val="0"/>
              <c:showCatName val="1"/>
              <c:showSerName val="0"/>
              <c:showPercent val="1"/>
              <c:showBubbleSize val="0"/>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58000"/>
                        </a:schemeClr>
                      </a:solidFill>
                      <a:latin typeface="+mn-lt"/>
                      <a:ea typeface="+mn-ea"/>
                      <a:cs typeface="+mn-cs"/>
                    </a:defRPr>
                  </a:pPr>
                  <a:endParaRPr lang="pl-PL"/>
                </a:p>
              </c:txPr>
              <c:dLblPos val="outEnd"/>
              <c:showLegendKey val="0"/>
              <c:showVal val="0"/>
              <c:showCatName val="1"/>
              <c:showSerName val="0"/>
              <c:showPercent val="1"/>
              <c:showBubbleSize val="0"/>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44000"/>
                        </a:schemeClr>
                      </a:solidFill>
                      <a:latin typeface="+mn-lt"/>
                      <a:ea typeface="+mn-ea"/>
                      <a:cs typeface="+mn-cs"/>
                    </a:defRPr>
                  </a:pPr>
                  <a:endParaRPr lang="pl-PL"/>
                </a:p>
              </c:txPr>
              <c:dLblPos val="outEnd"/>
              <c:showLegendKey val="0"/>
              <c:showVal val="0"/>
              <c:showCatName val="1"/>
              <c:showSerName val="0"/>
              <c:showPercent val="1"/>
              <c:showBubbleSize val="0"/>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Arkusz1!$A$3:$A$11</c:f>
              <c:strCache>
                <c:ptCount val="9"/>
                <c:pt idx="0">
                  <c:v>Kultura</c:v>
                </c:pt>
                <c:pt idx="1">
                  <c:v>Zdrowie i rekreacja</c:v>
                </c:pt>
                <c:pt idx="2">
                  <c:v>Infrastruktura edukacyjna</c:v>
                </c:pt>
                <c:pt idx="3">
                  <c:v>Turystyka</c:v>
                </c:pt>
                <c:pt idx="4">
                  <c:v>Społeczeństwo informacyjne</c:v>
                </c:pt>
                <c:pt idx="5">
                  <c:v>Środowisko</c:v>
                </c:pt>
                <c:pt idx="6">
                  <c:v>Badania i rozwój technologiczny B+R, innowacje i przedsiębiorczość</c:v>
                </c:pt>
                <c:pt idx="7">
                  <c:v>Zrównoważony rozwój miast</c:v>
                </c:pt>
                <c:pt idx="8">
                  <c:v>Transport</c:v>
                </c:pt>
              </c:strCache>
            </c:strRef>
          </c:cat>
          <c:val>
            <c:numRef>
              <c:f>Arkusz1!$C$3:$C$11</c:f>
              <c:numCache>
                <c:formatCode>0.00%</c:formatCode>
                <c:ptCount val="9"/>
                <c:pt idx="0">
                  <c:v>2.9793124887521526E-2</c:v>
                </c:pt>
                <c:pt idx="1">
                  <c:v>3.2098399834327183E-2</c:v>
                </c:pt>
                <c:pt idx="2">
                  <c:v>5.1187422669004792E-2</c:v>
                </c:pt>
                <c:pt idx="3">
                  <c:v>6.0805233119733425E-2</c:v>
                </c:pt>
                <c:pt idx="4">
                  <c:v>7.7710214493623878E-2</c:v>
                </c:pt>
                <c:pt idx="5">
                  <c:v>0.1099698495031327</c:v>
                </c:pt>
                <c:pt idx="6">
                  <c:v>0.16273519327602901</c:v>
                </c:pt>
                <c:pt idx="7">
                  <c:v>0.17562921824188329</c:v>
                </c:pt>
                <c:pt idx="8">
                  <c:v>0.27589632132463404</c:v>
                </c:pt>
              </c:numCache>
            </c:numRef>
          </c:val>
          <c:extLst xmlns:c16r2="http://schemas.microsoft.com/office/drawing/2015/06/chart">
            <c:ext xmlns:c16="http://schemas.microsoft.com/office/drawing/2014/chart" uri="{C3380CC4-5D6E-409C-BE32-E72D297353CC}">
              <c16:uniqueId val="{00000025-D679-41E8-9F71-0EB9310ED96A}"/>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VIII'!$A$7:$G$7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VIII'!$A$8:$G$8</c:f>
              <c:numCache>
                <c:formatCode>General</c:formatCode>
                <c:ptCount val="7"/>
                <c:pt idx="0" formatCode="#,##0.00">
                  <c:v>82.48</c:v>
                </c:pt>
                <c:pt idx="2" formatCode="#,##0.00">
                  <c:v>275.01</c:v>
                </c:pt>
                <c:pt idx="3" formatCode="#,##0.00">
                  <c:v>103.89</c:v>
                </c:pt>
                <c:pt idx="4" formatCode="#,##0.00">
                  <c:v>86.15</c:v>
                </c:pt>
                <c:pt idx="5" formatCode="#,##0.00">
                  <c:v>84.58</c:v>
                </c:pt>
                <c:pt idx="6" formatCode="#,##0.00">
                  <c:v>89.42</c:v>
                </c:pt>
              </c:numCache>
            </c:numRef>
          </c:val>
        </c:ser>
        <c:dLbls>
          <c:showLegendKey val="0"/>
          <c:showVal val="0"/>
          <c:showCatName val="0"/>
          <c:showSerName val="0"/>
          <c:showPercent val="0"/>
          <c:showBubbleSize val="0"/>
        </c:dLbls>
        <c:gapWidth val="71"/>
        <c:axId val="579388016"/>
        <c:axId val="579388408"/>
      </c:barChart>
      <c:lineChart>
        <c:grouping val="standard"/>
        <c:varyColors val="0"/>
        <c:ser>
          <c:idx val="1"/>
          <c:order val="1"/>
          <c:spPr>
            <a:ln w="38100" cap="rnd">
              <a:solidFill>
                <a:schemeClr val="tx1">
                  <a:lumMod val="95000"/>
                  <a:lumOff val="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VIII'!$A$7:$G$7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VIII'!$A$9:$G$9</c:f>
              <c:numCache>
                <c:formatCode>General</c:formatCode>
                <c:ptCount val="7"/>
                <c:pt idx="0" formatCode="0.00%">
                  <c:v>1</c:v>
                </c:pt>
                <c:pt idx="2" formatCode="0.00%">
                  <c:v>3.3342628516003878</c:v>
                </c:pt>
                <c:pt idx="3" formatCode="0.00%">
                  <c:v>1.2595780795344325</c:v>
                </c:pt>
                <c:pt idx="4" formatCode="0.00%">
                  <c:v>1.0444956353055286</c:v>
                </c:pt>
                <c:pt idx="5" formatCode="0.00%">
                  <c:v>1.0254607177497574</c:v>
                </c:pt>
                <c:pt idx="6" formatCode="0.00%">
                  <c:v>1.0841416100872938</c:v>
                </c:pt>
              </c:numCache>
            </c:numRef>
          </c:val>
          <c:smooth val="0"/>
        </c:ser>
        <c:dLbls>
          <c:showLegendKey val="0"/>
          <c:showVal val="0"/>
          <c:showCatName val="0"/>
          <c:showSerName val="0"/>
          <c:showPercent val="0"/>
          <c:showBubbleSize val="0"/>
        </c:dLbls>
        <c:marker val="1"/>
        <c:smooth val="0"/>
        <c:axId val="579389192"/>
        <c:axId val="579388800"/>
      </c:lineChart>
      <c:catAx>
        <c:axId val="579388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8408"/>
        <c:crosses val="autoZero"/>
        <c:auto val="1"/>
        <c:lblAlgn val="ctr"/>
        <c:lblOffset val="100"/>
        <c:noMultiLvlLbl val="0"/>
      </c:catAx>
      <c:valAx>
        <c:axId val="579388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8016"/>
        <c:crosses val="autoZero"/>
        <c:crossBetween val="between"/>
      </c:valAx>
      <c:valAx>
        <c:axId val="579388800"/>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89192"/>
        <c:crosses val="max"/>
        <c:crossBetween val="between"/>
      </c:valAx>
      <c:catAx>
        <c:axId val="579389192"/>
        <c:scaling>
          <c:orientation val="minMax"/>
        </c:scaling>
        <c:delete val="1"/>
        <c:axPos val="b"/>
        <c:numFmt formatCode="General" sourceLinked="1"/>
        <c:majorTickMark val="out"/>
        <c:minorTickMark val="none"/>
        <c:tickLblPos val="nextTo"/>
        <c:crossAx val="579388800"/>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7.8771584092231034E-2"/>
          <c:y val="0.11037810698037065"/>
          <c:w val="0.45431369314778319"/>
          <c:h val="0.88962189301962935"/>
        </c:manualLayout>
      </c:layout>
      <c:doughnutChart>
        <c:varyColors val="1"/>
        <c:ser>
          <c:idx val="0"/>
          <c:order val="0"/>
          <c:explosion val="35"/>
          <c:dPt>
            <c:idx val="0"/>
            <c:bubble3D val="0"/>
            <c:spPr>
              <a:solidFill>
                <a:schemeClr val="accent6">
                  <a:shade val="58000"/>
                </a:schemeClr>
              </a:solidFill>
              <a:ln>
                <a:noFill/>
              </a:ln>
              <a:effectLst>
                <a:outerShdw blurRad="317500" algn="ctr" rotWithShape="0">
                  <a:prstClr val="black">
                    <a:alpha val="25000"/>
                  </a:prstClr>
                </a:outerShdw>
              </a:effectLst>
            </c:spPr>
          </c:dPt>
          <c:dPt>
            <c:idx val="1"/>
            <c:bubble3D val="0"/>
            <c:spPr>
              <a:solidFill>
                <a:schemeClr val="accent6">
                  <a:shade val="86000"/>
                </a:schemeClr>
              </a:solidFill>
              <a:ln>
                <a:noFill/>
              </a:ln>
              <a:effectLst>
                <a:outerShdw blurRad="317500" algn="ctr" rotWithShape="0">
                  <a:prstClr val="black">
                    <a:alpha val="25000"/>
                  </a:prstClr>
                </a:outerShdw>
              </a:effectLst>
            </c:spPr>
          </c:dPt>
          <c:dPt>
            <c:idx val="2"/>
            <c:bubble3D val="0"/>
            <c:spPr>
              <a:solidFill>
                <a:schemeClr val="accent6">
                  <a:tint val="86000"/>
                </a:schemeClr>
              </a:solidFill>
              <a:ln>
                <a:noFill/>
              </a:ln>
              <a:effectLst>
                <a:outerShdw blurRad="317500" algn="ctr" rotWithShape="0">
                  <a:prstClr val="black">
                    <a:alpha val="25000"/>
                  </a:prstClr>
                </a:outerShdw>
              </a:effectLst>
            </c:spPr>
          </c:dPt>
          <c:dPt>
            <c:idx val="3"/>
            <c:bubble3D val="0"/>
            <c:spPr>
              <a:solidFill>
                <a:schemeClr val="accent6">
                  <a:tint val="58000"/>
                </a:schemeClr>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anchor="ctr" anchorCtr="1"/>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('Priorytet VIII'!$A$36,'Priorytet VIII'!$A$38,'Priorytet VIII'!$A$39,'Priorytet VIII'!$A$40)</c:f>
              <c:strCache>
                <c:ptCount val="4"/>
                <c:pt idx="0">
                  <c:v>JST (72 umowy)</c:v>
                </c:pt>
                <c:pt idx="1">
                  <c:v>organizacja non-profit (5 umów)</c:v>
                </c:pt>
                <c:pt idx="2">
                  <c:v>przedsiębiorstwo (1 umowa)</c:v>
                </c:pt>
                <c:pt idx="3">
                  <c:v>uczelnie, jednostki naukowe (33 umowy)</c:v>
                </c:pt>
              </c:strCache>
            </c:strRef>
          </c:cat>
          <c:val>
            <c:numRef>
              <c:f>('Priorytet VIII'!$D$36,'Priorytet VIII'!$D$38,'Priorytet VIII'!$D$39,'Priorytet VIII'!$D$40)</c:f>
              <c:numCache>
                <c:formatCode>#,##0.00</c:formatCode>
                <c:ptCount val="4"/>
                <c:pt idx="0">
                  <c:v>52.872084544795165</c:v>
                </c:pt>
                <c:pt idx="1">
                  <c:v>3.0668656137198691</c:v>
                </c:pt>
                <c:pt idx="2">
                  <c:v>0.35063575322248425</c:v>
                </c:pt>
                <c:pt idx="3">
                  <c:v>43.710414088262475</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alpha val="78000"/>
          </a:schemeClr>
        </a:solidFill>
        <a:ln>
          <a:noFill/>
        </a:ln>
        <a:effectLst/>
      </c:spPr>
      <c:txPr>
        <a:bodyPr rot="0" spcFirstLastPara="1" vertOverflow="ellipsis" vert="horz" wrap="square" anchor="ctr" anchorCtr="1"/>
        <a:lstStyle/>
        <a:p>
          <a:pPr>
            <a:defRPr sz="105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solidFill>
        <a:schemeClr val="bg1"/>
      </a:solidFill>
      <a:round/>
    </a:ln>
    <a:effectLst/>
  </c:spPr>
  <c:txPr>
    <a:bodyPr/>
    <a:lstStyle/>
    <a:p>
      <a:pPr>
        <a:defRPr sz="105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4.2395336512983575E-3"/>
                  <c:y val="-8.6862106406080428E-2"/>
                </c:manualLayout>
              </c:layout>
              <c:tx>
                <c:rich>
                  <a:bodyPr/>
                  <a:lstStyle/>
                  <a:p>
                    <a:fld id="{5620B490-3F24-4551-AFA7-1298D48D2FBA}"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8.4790673025967149E-3"/>
                  <c:y val="-6.5146579804560345E-2"/>
                </c:manualLayout>
              </c:layout>
              <c:tx>
                <c:rich>
                  <a:bodyPr/>
                  <a:lstStyle/>
                  <a:p>
                    <a:fld id="{DA9CF767-ECD7-4917-ABB7-7ED40461A532}"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1.0598834128245971E-2"/>
                  <c:y val="-5.6460369163952223E-2"/>
                </c:manualLayout>
              </c:layout>
              <c:tx>
                <c:rich>
                  <a:bodyPr/>
                  <a:lstStyle/>
                  <a:p>
                    <a:fld id="{C1079433-5D80-4CE4-8CBA-8FBF77D14022}" type="VALUE">
                      <a:rPr lang="en-US"/>
                      <a:pPr/>
                      <a:t>[WARTOŚĆ]</a:t>
                    </a:fld>
                    <a:r>
                      <a:rPr lang="en-US"/>
                      <a:t> </a:t>
                    </a:r>
                    <a:r>
                      <a:rPr lang="en-US" sz="900" b="1" i="0" u="none" strike="noStrike" kern="1200" baseline="0">
                        <a:solidFill>
                          <a:sysClr val="windowText" lastClr="000000">
                            <a:lumMod val="75000"/>
                            <a:lumOff val="25000"/>
                          </a:sysClr>
                        </a:solidFill>
                      </a:rPr>
                      <a:t>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1.2718600953895072E-2"/>
                  <c:y val="-5.2117263843648211E-2"/>
                </c:manualLayout>
              </c:layout>
              <c:tx>
                <c:rich>
                  <a:bodyPr/>
                  <a:lstStyle/>
                  <a:p>
                    <a:fld id="{3FCEF17B-C5AC-4449-8946-D4E3F4DAE09E}" type="VALUE">
                      <a:rPr lang="en-US"/>
                      <a:pPr/>
                      <a:t>[WARTOŚĆ]</a:t>
                    </a:fld>
                    <a:r>
                      <a:rPr lang="en-US"/>
                      <a:t> </a:t>
                    </a:r>
                    <a:r>
                      <a:rPr lang="en-US" sz="900" b="1" i="0" u="none" strike="noStrike" kern="1200" baseline="0">
                        <a:solidFill>
                          <a:sysClr val="windowText" lastClr="000000">
                            <a:lumMod val="75000"/>
                            <a:lumOff val="25000"/>
                          </a:sysClr>
                        </a:solidFill>
                      </a:rPr>
                      <a:t>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'P.VI-X'!$B$44:$E$44</c:f>
              <c:strCache>
                <c:ptCount val="4"/>
                <c:pt idx="0">
                  <c:v>&lt; 50%</c:v>
                </c:pt>
                <c:pt idx="1">
                  <c:v>50%-75%</c:v>
                </c:pt>
                <c:pt idx="2">
                  <c:v>75%-125%</c:v>
                </c:pt>
                <c:pt idx="3">
                  <c:v>&gt;125%</c:v>
                </c:pt>
              </c:strCache>
            </c:strRef>
          </c:cat>
          <c:val>
            <c:numRef>
              <c:f>'P.VI-X'!$B$45:$E$45</c:f>
              <c:numCache>
                <c:formatCode>General</c:formatCode>
                <c:ptCount val="4"/>
                <c:pt idx="0">
                  <c:v>1</c:v>
                </c:pt>
                <c:pt idx="1">
                  <c:v>1</c:v>
                </c:pt>
                <c:pt idx="2">
                  <c:v>1</c:v>
                </c:pt>
                <c:pt idx="3">
                  <c:v>7</c:v>
                </c:pt>
              </c:numCache>
            </c:numRef>
          </c:val>
        </c:ser>
        <c:dLbls>
          <c:showLegendKey val="0"/>
          <c:showVal val="1"/>
          <c:showCatName val="0"/>
          <c:showSerName val="0"/>
          <c:showPercent val="0"/>
          <c:showBubbleSize val="0"/>
        </c:dLbls>
        <c:gapWidth val="150"/>
        <c:shape val="box"/>
        <c:axId val="579390368"/>
        <c:axId val="579390760"/>
        <c:axId val="0"/>
      </c:bar3DChart>
      <c:catAx>
        <c:axId val="579390368"/>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90760"/>
        <c:crosses val="autoZero"/>
        <c:auto val="1"/>
        <c:lblAlgn val="ctr"/>
        <c:lblOffset val="100"/>
        <c:noMultiLvlLbl val="0"/>
      </c:catAx>
      <c:valAx>
        <c:axId val="579390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5793903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dLbl>
              <c:idx val="0"/>
              <c:tx>
                <c:rich>
                  <a:bodyPr/>
                  <a:lstStyle/>
                  <a:p>
                    <a:r>
                      <a:rPr lang="en-US"/>
                      <a:t>57,76</a:t>
                    </a:r>
                  </a:p>
                </c:rich>
              </c:tx>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IX'!$A$7:$G$7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IX'!$A$8:$G$8</c:f>
              <c:numCache>
                <c:formatCode>General</c:formatCode>
                <c:ptCount val="7"/>
                <c:pt idx="0" formatCode="#,##0.00">
                  <c:v>57.75</c:v>
                </c:pt>
                <c:pt idx="2" formatCode="#,##0.00">
                  <c:v>135.24</c:v>
                </c:pt>
                <c:pt idx="3" formatCode="#,##0.00">
                  <c:v>62.17</c:v>
                </c:pt>
                <c:pt idx="4" formatCode="#,##0.00">
                  <c:v>54.02</c:v>
                </c:pt>
                <c:pt idx="5" formatCode="#,##0.00">
                  <c:v>53.02</c:v>
                </c:pt>
                <c:pt idx="6" formatCode="#,##0.00">
                  <c:v>56.85</c:v>
                </c:pt>
              </c:numCache>
            </c:numRef>
          </c:val>
        </c:ser>
        <c:dLbls>
          <c:showLegendKey val="0"/>
          <c:showVal val="0"/>
          <c:showCatName val="0"/>
          <c:showSerName val="0"/>
          <c:showPercent val="0"/>
          <c:showBubbleSize val="0"/>
        </c:dLbls>
        <c:gapWidth val="71"/>
        <c:axId val="291133128"/>
        <c:axId val="291133520"/>
      </c:barChart>
      <c:lineChart>
        <c:grouping val="standard"/>
        <c:varyColors val="0"/>
        <c:ser>
          <c:idx val="1"/>
          <c:order val="1"/>
          <c:spPr>
            <a:ln w="38100" cap="rnd">
              <a:solidFill>
                <a:schemeClr val="tx1">
                  <a:lumMod val="95000"/>
                  <a:lumOff val="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IX'!$A$7:$G$7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IX'!$A$9:$G$9</c:f>
              <c:numCache>
                <c:formatCode>General</c:formatCode>
                <c:ptCount val="7"/>
                <c:pt idx="0" formatCode="0.00%">
                  <c:v>1</c:v>
                </c:pt>
                <c:pt idx="2" formatCode="0.00%">
                  <c:v>2.3418181818181818</c:v>
                </c:pt>
                <c:pt idx="3" formatCode="0.00%">
                  <c:v>1.0765367965367965</c:v>
                </c:pt>
                <c:pt idx="4" formatCode="0.00%">
                  <c:v>0.93541125541125547</c:v>
                </c:pt>
                <c:pt idx="5" formatCode="0.00%">
                  <c:v>0.91809523809523819</c:v>
                </c:pt>
                <c:pt idx="6" formatCode="0.00%">
                  <c:v>0.98441558441558441</c:v>
                </c:pt>
              </c:numCache>
            </c:numRef>
          </c:val>
          <c:smooth val="0"/>
        </c:ser>
        <c:dLbls>
          <c:showLegendKey val="0"/>
          <c:showVal val="0"/>
          <c:showCatName val="0"/>
          <c:showSerName val="0"/>
          <c:showPercent val="0"/>
          <c:showBubbleSize val="0"/>
        </c:dLbls>
        <c:marker val="1"/>
        <c:smooth val="0"/>
        <c:axId val="291134304"/>
        <c:axId val="291133912"/>
      </c:lineChart>
      <c:catAx>
        <c:axId val="291133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3520"/>
        <c:crosses val="autoZero"/>
        <c:auto val="1"/>
        <c:lblAlgn val="ctr"/>
        <c:lblOffset val="100"/>
        <c:noMultiLvlLbl val="0"/>
      </c:catAx>
      <c:valAx>
        <c:axId val="2911335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3128"/>
        <c:crosses val="autoZero"/>
        <c:crossBetween val="between"/>
      </c:valAx>
      <c:valAx>
        <c:axId val="291133912"/>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4304"/>
        <c:crosses val="max"/>
        <c:crossBetween val="between"/>
      </c:valAx>
      <c:catAx>
        <c:axId val="291134304"/>
        <c:scaling>
          <c:orientation val="minMax"/>
        </c:scaling>
        <c:delete val="1"/>
        <c:axPos val="b"/>
        <c:numFmt formatCode="General" sourceLinked="1"/>
        <c:majorTickMark val="out"/>
        <c:minorTickMark val="none"/>
        <c:tickLblPos val="nextTo"/>
        <c:crossAx val="29113391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541044020237783"/>
          <c:y val="5.4912597230353792E-2"/>
          <c:w val="0.43820241255939824"/>
          <c:h val="0.79154051115385993"/>
        </c:manualLayout>
      </c:layout>
      <c:doughnutChart>
        <c:varyColors val="1"/>
        <c:ser>
          <c:idx val="0"/>
          <c:order val="0"/>
          <c:explosion val="3"/>
          <c:dPt>
            <c:idx val="0"/>
            <c:bubble3D val="0"/>
            <c:spPr>
              <a:solidFill>
                <a:schemeClr val="accent6">
                  <a:shade val="58000"/>
                </a:schemeClr>
              </a:solidFill>
              <a:ln>
                <a:noFill/>
              </a:ln>
              <a:effectLst>
                <a:outerShdw blurRad="317500" algn="ctr" rotWithShape="0">
                  <a:prstClr val="black">
                    <a:alpha val="25000"/>
                  </a:prstClr>
                </a:outerShdw>
              </a:effectLst>
            </c:spPr>
          </c:dPt>
          <c:dPt>
            <c:idx val="1"/>
            <c:bubble3D val="0"/>
            <c:explosion val="20"/>
            <c:spPr>
              <a:solidFill>
                <a:schemeClr val="accent6">
                  <a:shade val="86000"/>
                </a:schemeClr>
              </a:solidFill>
              <a:ln>
                <a:noFill/>
              </a:ln>
              <a:effectLst>
                <a:outerShdw blurRad="317500" algn="ctr" rotWithShape="0">
                  <a:prstClr val="black">
                    <a:alpha val="25000"/>
                  </a:prstClr>
                </a:outerShdw>
              </a:effectLst>
            </c:spPr>
          </c:dPt>
          <c:dPt>
            <c:idx val="2"/>
            <c:bubble3D val="0"/>
            <c:spPr>
              <a:solidFill>
                <a:schemeClr val="accent6">
                  <a:tint val="86000"/>
                </a:schemeClr>
              </a:solidFill>
              <a:ln>
                <a:noFill/>
              </a:ln>
              <a:effectLst>
                <a:outerShdw blurRad="317500" algn="ctr" rotWithShape="0">
                  <a:prstClr val="black">
                    <a:alpha val="25000"/>
                  </a:prstClr>
                </a:outerShdw>
              </a:effectLst>
            </c:spPr>
          </c:dPt>
          <c:dPt>
            <c:idx val="3"/>
            <c:bubble3D val="0"/>
            <c:spPr>
              <a:solidFill>
                <a:schemeClr val="accent6">
                  <a:tint val="58000"/>
                </a:schemeClr>
              </a:solidFill>
              <a:ln>
                <a:noFill/>
              </a:ln>
              <a:effectLst>
                <a:outerShdw blurRad="317500" algn="ctr" rotWithShape="0">
                  <a:prstClr val="black">
                    <a:alpha val="25000"/>
                  </a:prstClr>
                </a:outerShdw>
              </a:effectLst>
            </c:spPr>
          </c:dPt>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('Priorytet IX'!$A$33,'Priorytet IX'!$A$34,'Priorytet IX'!$A$36,'Priorytet IX'!$A$37)</c:f>
              <c:strCache>
                <c:ptCount val="4"/>
                <c:pt idx="0">
                  <c:v>inne (77 umów)</c:v>
                </c:pt>
                <c:pt idx="1">
                  <c:v>JST (87 umów)</c:v>
                </c:pt>
                <c:pt idx="2">
                  <c:v>organizacja non-profit (5 umów)</c:v>
                </c:pt>
                <c:pt idx="3">
                  <c:v>przedsiębiorstwo (8 umów)</c:v>
                </c:pt>
              </c:strCache>
            </c:strRef>
          </c:cat>
          <c:val>
            <c:numRef>
              <c:f>('Priorytet IX'!$D$33,'Priorytet IX'!$D$34,'Priorytet IX'!$D$36,'Priorytet IX'!$D$37)</c:f>
              <c:numCache>
                <c:formatCode>#,##0.00</c:formatCode>
                <c:ptCount val="4"/>
                <c:pt idx="0">
                  <c:v>40.094025287149805</c:v>
                </c:pt>
                <c:pt idx="1">
                  <c:v>52.397828143990097</c:v>
                </c:pt>
                <c:pt idx="2">
                  <c:v>5.4293385959960103</c:v>
                </c:pt>
                <c:pt idx="3">
                  <c:v>2.0788079728640776</c:v>
                </c:pt>
              </c:numCache>
            </c:numRef>
          </c:val>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alpha val="78000"/>
          </a:schemeClr>
        </a:solid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2.037351443123939E-2"/>
                  <c:y val="-5.0925925925925923E-2"/>
                </c:manualLayout>
              </c:layout>
              <c:tx>
                <c:rich>
                  <a:bodyPr/>
                  <a:lstStyle/>
                  <a:p>
                    <a:fld id="{19BD543A-68F5-4CD0-8F3E-972FF10CE8D5}" type="VALUE">
                      <a:rPr lang="en-US"/>
                      <a:pPr/>
                      <a:t>[WARTOŚĆ]</a:t>
                    </a:fld>
                    <a:r>
                      <a:rPr lang="en-US"/>
                      <a:t> 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1.1318619128466286E-2"/>
                  <c:y val="-5.5555555555555552E-2"/>
                </c:manualLayout>
              </c:layout>
              <c:tx>
                <c:rich>
                  <a:bodyPr/>
                  <a:lstStyle/>
                  <a:p>
                    <a:fld id="{6C7C1BD4-7F1F-4C3F-B8F4-6394AECC01F9}" type="VALUE">
                      <a:rPr lang="en-US"/>
                      <a:pPr/>
                      <a:t>[WARTOŚĆ]</a:t>
                    </a:fld>
                    <a:r>
                      <a:rPr lang="en-US"/>
                      <a:t> </a:t>
                    </a:r>
                    <a:r>
                      <a:rPr lang="en-US" sz="900" b="1" i="0" u="none" strike="noStrike" kern="1200" baseline="0">
                        <a:solidFill>
                          <a:sysClr val="windowText" lastClr="000000">
                            <a:lumMod val="75000"/>
                            <a:lumOff val="25000"/>
                          </a:sysClr>
                        </a:solidFill>
                      </a:rPr>
                      <a:t>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6.7911714770797129E-3"/>
                  <c:y val="-6.4814814814814853E-2"/>
                </c:manualLayout>
              </c:layout>
              <c:tx>
                <c:rich>
                  <a:bodyPr/>
                  <a:lstStyle/>
                  <a:p>
                    <a:fld id="{3C01C0BC-7839-405C-A36D-1C3443743AB4}" type="VALUE">
                      <a:rPr lang="en-US"/>
                      <a:pPr/>
                      <a:t>[WARTOŚĆ]</a:t>
                    </a:fld>
                    <a:r>
                      <a:rPr lang="en-US"/>
                      <a:t> </a:t>
                    </a:r>
                    <a:r>
                      <a:rPr lang="en-US" sz="900" b="1" i="0" u="none" strike="noStrike" kern="1200" baseline="0">
                        <a:solidFill>
                          <a:sysClr val="windowText" lastClr="000000">
                            <a:lumMod val="75000"/>
                            <a:lumOff val="25000"/>
                          </a:sysClr>
                        </a:solidFill>
                      </a:rPr>
                      <a:t>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9.0548953027730621E-3"/>
                  <c:y val="-6.4814814814814811E-2"/>
                </c:manualLayout>
              </c:layout>
              <c:tx>
                <c:rich>
                  <a:bodyPr/>
                  <a:lstStyle/>
                  <a:p>
                    <a:fld id="{CBF24245-3B5A-4A3E-B43B-3CC66F0E7839}" type="VALUE">
                      <a:rPr lang="en-US"/>
                      <a:pPr/>
                      <a:t>[WARTOŚĆ]</a:t>
                    </a:fld>
                    <a:r>
                      <a:rPr lang="en-US"/>
                      <a:t> </a:t>
                    </a:r>
                    <a:r>
                      <a:rPr lang="en-US" sz="900" b="1" i="0" u="none" strike="noStrike" kern="1200" baseline="0">
                        <a:solidFill>
                          <a:sysClr val="windowText" lastClr="000000">
                            <a:lumMod val="75000"/>
                            <a:lumOff val="25000"/>
                          </a:sysClr>
                        </a:solidFill>
                      </a:rPr>
                      <a:t>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'P.VI-X'!$B$67:$E$67</c:f>
              <c:strCache>
                <c:ptCount val="4"/>
                <c:pt idx="0">
                  <c:v>&lt; 50%</c:v>
                </c:pt>
                <c:pt idx="1">
                  <c:v>50%-75%</c:v>
                </c:pt>
                <c:pt idx="2">
                  <c:v>75%-125%</c:v>
                </c:pt>
                <c:pt idx="3">
                  <c:v>&gt;125%</c:v>
                </c:pt>
              </c:strCache>
            </c:strRef>
          </c:cat>
          <c:val>
            <c:numRef>
              <c:f>'P.VI-X'!$B$68:$E$68</c:f>
              <c:numCache>
                <c:formatCode>General</c:formatCode>
                <c:ptCount val="4"/>
                <c:pt idx="0">
                  <c:v>1</c:v>
                </c:pt>
                <c:pt idx="1">
                  <c:v>3</c:v>
                </c:pt>
                <c:pt idx="2">
                  <c:v>2</c:v>
                </c:pt>
                <c:pt idx="3">
                  <c:v>1</c:v>
                </c:pt>
              </c:numCache>
            </c:numRef>
          </c:val>
        </c:ser>
        <c:dLbls>
          <c:showLegendKey val="0"/>
          <c:showVal val="1"/>
          <c:showCatName val="0"/>
          <c:showSerName val="0"/>
          <c:showPercent val="0"/>
          <c:showBubbleSize val="0"/>
        </c:dLbls>
        <c:gapWidth val="150"/>
        <c:shape val="box"/>
        <c:axId val="291135480"/>
        <c:axId val="291135872"/>
        <c:axId val="0"/>
      </c:bar3DChart>
      <c:catAx>
        <c:axId val="291135480"/>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Osiągnięty poziom wartości docelowej</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5872"/>
        <c:crosses val="autoZero"/>
        <c:auto val="1"/>
        <c:lblAlgn val="ctr"/>
        <c:lblOffset val="100"/>
        <c:noMultiLvlLbl val="0"/>
      </c:catAx>
      <c:valAx>
        <c:axId val="29113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5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spPr>
            <a:solidFill>
              <a:schemeClr val="accent6">
                <a:shade val="76000"/>
              </a:schemeClr>
            </a:solidFill>
            <a:ln>
              <a:noFill/>
            </a:ln>
            <a:effectLst/>
          </c:spPr>
          <c:invertIfNegative val="0"/>
          <c:dPt>
            <c:idx val="0"/>
            <c:invertIfNegative val="0"/>
            <c:bubble3D val="0"/>
            <c:spPr>
              <a:solidFill>
                <a:schemeClr val="accent6">
                  <a:shade val="76000"/>
                </a:schemeClr>
              </a:solidFill>
              <a:ln>
                <a:noFill/>
              </a:ln>
              <a:effectLst/>
            </c:spPr>
          </c:dPt>
          <c:dLbls>
            <c:dLbl>
              <c:idx val="0"/>
              <c:tx>
                <c:rich>
                  <a:bodyPr/>
                  <a:lstStyle/>
                  <a:p>
                    <a:r>
                      <a:rPr lang="en-US"/>
                      <a:t>43,20</a:t>
                    </a:r>
                  </a:p>
                </c:rich>
              </c:tx>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X'!$A$7:$G$7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X'!$A$8:$G$8</c:f>
              <c:numCache>
                <c:formatCode>General</c:formatCode>
                <c:ptCount val="7"/>
                <c:pt idx="0" formatCode="#,##0.00">
                  <c:v>43.19</c:v>
                </c:pt>
                <c:pt idx="2" formatCode="#,##0.00">
                  <c:v>48.74</c:v>
                </c:pt>
                <c:pt idx="3" formatCode="#,##0.00">
                  <c:v>48.74</c:v>
                </c:pt>
                <c:pt idx="4" formatCode="#,##0.00">
                  <c:v>40.68</c:v>
                </c:pt>
                <c:pt idx="5" formatCode="#,##0.00">
                  <c:v>40.68</c:v>
                </c:pt>
                <c:pt idx="6" formatCode="#,##0.00">
                  <c:v>42.79</c:v>
                </c:pt>
              </c:numCache>
            </c:numRef>
          </c:val>
        </c:ser>
        <c:dLbls>
          <c:showLegendKey val="0"/>
          <c:showVal val="0"/>
          <c:showCatName val="0"/>
          <c:showSerName val="0"/>
          <c:showPercent val="0"/>
          <c:showBubbleSize val="0"/>
        </c:dLbls>
        <c:gapWidth val="71"/>
        <c:axId val="291136656"/>
        <c:axId val="291137048"/>
      </c:barChart>
      <c:lineChart>
        <c:grouping val="standard"/>
        <c:varyColors val="0"/>
        <c:ser>
          <c:idx val="1"/>
          <c:order val="1"/>
          <c:spPr>
            <a:ln w="38100" cap="rnd">
              <a:solidFill>
                <a:schemeClr val="tx1">
                  <a:lumMod val="95000"/>
                  <a:lumOff val="5000"/>
                </a:schemeClr>
              </a:solidFill>
              <a:round/>
            </a:ln>
            <a:effectLst/>
          </c:spPr>
          <c:marker>
            <c:symbol val="none"/>
          </c:marker>
          <c:dLbls>
            <c:dLbl>
              <c:idx val="2"/>
              <c:layout>
                <c:manualLayout>
                  <c:x val="-5.4041187030302931E-2"/>
                  <c:y val="-4.69783338542349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5.1911488382661568E-2"/>
                  <c:y val="-4.697833385423493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'Priorytet X'!$A$7:$G$7</c:f>
              <c:strCache>
                <c:ptCount val="7"/>
                <c:pt idx="0">
                  <c:v>Alokacja </c:v>
                </c:pt>
                <c:pt idx="2">
                  <c:v>Wnioski po ocenie formalnej</c:v>
                </c:pt>
                <c:pt idx="3">
                  <c:v>Wioski wybrane do dofinansowania</c:v>
                </c:pt>
                <c:pt idx="4">
                  <c:v>Kontraktacja</c:v>
                </c:pt>
                <c:pt idx="5">
                  <c:v>Płatności</c:v>
                </c:pt>
                <c:pt idx="6">
                  <c:v>Certyfikacja</c:v>
                </c:pt>
              </c:strCache>
            </c:strRef>
          </c:cat>
          <c:val>
            <c:numRef>
              <c:f>'Priorytet X'!$A$9:$G$9</c:f>
              <c:numCache>
                <c:formatCode>General</c:formatCode>
                <c:ptCount val="7"/>
                <c:pt idx="0" formatCode="0.00%">
                  <c:v>1</c:v>
                </c:pt>
                <c:pt idx="2" formatCode="0.00%">
                  <c:v>1.1285019680481594</c:v>
                </c:pt>
                <c:pt idx="3" formatCode="0.00%">
                  <c:v>1.1285019680481594</c:v>
                </c:pt>
                <c:pt idx="4" formatCode="0.00%">
                  <c:v>0.941884695531373</c:v>
                </c:pt>
                <c:pt idx="5" formatCode="0.00%">
                  <c:v>0.941884695531373</c:v>
                </c:pt>
                <c:pt idx="6" formatCode="0.00%">
                  <c:v>0.99073859689743005</c:v>
                </c:pt>
              </c:numCache>
            </c:numRef>
          </c:val>
          <c:smooth val="0"/>
        </c:ser>
        <c:dLbls>
          <c:showLegendKey val="0"/>
          <c:showVal val="0"/>
          <c:showCatName val="0"/>
          <c:showSerName val="0"/>
          <c:showPercent val="0"/>
          <c:showBubbleSize val="0"/>
        </c:dLbls>
        <c:marker val="1"/>
        <c:smooth val="0"/>
        <c:axId val="291137832"/>
        <c:axId val="291137440"/>
      </c:lineChart>
      <c:catAx>
        <c:axId val="291136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7048"/>
        <c:crosses val="autoZero"/>
        <c:auto val="1"/>
        <c:lblAlgn val="ctr"/>
        <c:lblOffset val="100"/>
        <c:noMultiLvlLbl val="0"/>
      </c:catAx>
      <c:valAx>
        <c:axId val="2911370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6656"/>
        <c:crosses val="autoZero"/>
        <c:crossBetween val="between"/>
      </c:valAx>
      <c:valAx>
        <c:axId val="291137440"/>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7832"/>
        <c:crosses val="max"/>
        <c:crossBetween val="between"/>
      </c:valAx>
      <c:catAx>
        <c:axId val="291137832"/>
        <c:scaling>
          <c:orientation val="minMax"/>
        </c:scaling>
        <c:delete val="1"/>
        <c:axPos val="b"/>
        <c:numFmt formatCode="General" sourceLinked="1"/>
        <c:majorTickMark val="out"/>
        <c:minorTickMark val="none"/>
        <c:tickLblPos val="nextTo"/>
        <c:crossAx val="291137440"/>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0125640032700843E-2"/>
          <c:y val="6.4814814814814811E-2"/>
          <c:w val="0.91583064412030468"/>
          <c:h val="0.74530074365704291"/>
        </c:manualLayout>
      </c:layout>
      <c:bar3DChart>
        <c:barDir val="col"/>
        <c:grouping val="clustered"/>
        <c:varyColors val="0"/>
        <c:ser>
          <c:idx val="0"/>
          <c:order val="0"/>
          <c:spPr>
            <a:solidFill>
              <a:schemeClr val="accent6"/>
            </a:solidFill>
            <a:ln>
              <a:noFill/>
            </a:ln>
            <a:effectLst/>
            <a:sp3d>
              <a:contourClr>
                <a:srgbClr val="00B0F0"/>
              </a:contourClr>
            </a:sp3d>
          </c:spPr>
          <c:invertIfNegative val="0"/>
          <c:dLbls>
            <c:dLbl>
              <c:idx val="0"/>
              <c:layout>
                <c:manualLayout>
                  <c:x val="2.4043715846994537E-2"/>
                  <c:y val="-1.8518518518518604E-2"/>
                </c:manualLayout>
              </c:layout>
              <c:tx>
                <c:rich>
                  <a:bodyPr/>
                  <a:lstStyle/>
                  <a:p>
                    <a:fld id="{F8E2CFB1-6603-4629-BDA8-D421D551F00C}" type="VALUE">
                      <a:rPr lang="en-US"/>
                      <a:pPr/>
                      <a:t>[WARTOŚĆ]</a:t>
                    </a:fld>
                    <a:r>
                      <a:rPr lang="en-US"/>
                      <a:t> 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6.557377049180288E-3"/>
                  <c:y val="-7.407407407407407E-2"/>
                </c:manualLayout>
              </c:layout>
              <c:tx>
                <c:rich>
                  <a:bodyPr/>
                  <a:lstStyle/>
                  <a:p>
                    <a:fld id="{434CD0DC-582C-42B0-9105-C44A97B48033}" type="VALUE">
                      <a:rPr lang="en-US"/>
                      <a:pPr/>
                      <a:t>[WARTOŚĆ]</a:t>
                    </a:fld>
                    <a:r>
                      <a:rPr lang="en-US"/>
                      <a:t> </a:t>
                    </a:r>
                    <a:r>
                      <a:rPr lang="en-US" sz="900" b="1" i="0" u="none" strike="noStrike" kern="1200" baseline="0">
                        <a:solidFill>
                          <a:sysClr val="windowText" lastClr="000000">
                            <a:lumMod val="75000"/>
                            <a:lumOff val="25000"/>
                          </a:sysClr>
                        </a:solidFill>
                      </a:rPr>
                      <a:t>wskaźniki</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2.1857923497268562E-3"/>
                  <c:y val="-9.7222222222222224E-2"/>
                </c:manualLayout>
              </c:layout>
              <c:tx>
                <c:rich>
                  <a:bodyPr/>
                  <a:lstStyle/>
                  <a:p>
                    <a:fld id="{F975CEE6-7174-460A-B09F-353AF44AF16D}" type="VALUE">
                      <a:rPr lang="en-US"/>
                      <a:pPr/>
                      <a:t>[WARTOŚĆ]</a:t>
                    </a:fld>
                    <a:r>
                      <a:rPr lang="en-US"/>
                      <a:t> </a:t>
                    </a:r>
                    <a:r>
                      <a:rPr lang="en-US" sz="900" b="1" i="0" u="none" strike="noStrike" kern="1200" baseline="0">
                        <a:solidFill>
                          <a:sysClr val="windowText" lastClr="000000">
                            <a:lumMod val="75000"/>
                            <a:lumOff val="25000"/>
                          </a:sysClr>
                        </a:solidFill>
                      </a:rPr>
                      <a:t>wskaźnik</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1.5300546448087432E-2"/>
                  <c:y val="-4.6296296296296294E-2"/>
                </c:manualLayout>
              </c:layout>
              <c:tx>
                <c:rich>
                  <a:bodyPr/>
                  <a:lstStyle/>
                  <a:p>
                    <a:fld id="{3D33554E-D1AD-4F7C-95EB-197D18268AE3}" type="VALUE">
                      <a:rPr lang="en-US"/>
                      <a:pPr/>
                      <a:t>[WARTOŚĆ]</a:t>
                    </a:fld>
                    <a:r>
                      <a:rPr lang="en-US"/>
                      <a:t> </a:t>
                    </a:r>
                    <a:r>
                      <a:rPr lang="en-US" sz="900" b="1" i="0" u="none" strike="noStrike" kern="1200" baseline="0">
                        <a:solidFill>
                          <a:sysClr val="windowText" lastClr="000000">
                            <a:lumMod val="75000"/>
                            <a:lumOff val="25000"/>
                          </a:sysClr>
                        </a:solidFill>
                      </a:rPr>
                      <a:t>wskaźników</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'P.VI-X'!$C$92:$F$92</c:f>
              <c:strCache>
                <c:ptCount val="4"/>
                <c:pt idx="0">
                  <c:v>&lt; 50%</c:v>
                </c:pt>
                <c:pt idx="1">
                  <c:v>50%-75%</c:v>
                </c:pt>
                <c:pt idx="2">
                  <c:v>75%-125%</c:v>
                </c:pt>
                <c:pt idx="3">
                  <c:v>&gt;125%</c:v>
                </c:pt>
              </c:strCache>
            </c:strRef>
          </c:cat>
          <c:val>
            <c:numRef>
              <c:f>'P.VI-X'!$C$93:$F$93</c:f>
              <c:numCache>
                <c:formatCode>General</c:formatCode>
                <c:ptCount val="4"/>
                <c:pt idx="0">
                  <c:v>0</c:v>
                </c:pt>
                <c:pt idx="1">
                  <c:v>2</c:v>
                </c:pt>
                <c:pt idx="2">
                  <c:v>1</c:v>
                </c:pt>
                <c:pt idx="3">
                  <c:v>5</c:v>
                </c:pt>
              </c:numCache>
            </c:numRef>
          </c:val>
        </c:ser>
        <c:dLbls>
          <c:showLegendKey val="0"/>
          <c:showVal val="1"/>
          <c:showCatName val="0"/>
          <c:showSerName val="0"/>
          <c:showPercent val="0"/>
          <c:showBubbleSize val="0"/>
        </c:dLbls>
        <c:gapWidth val="150"/>
        <c:shape val="box"/>
        <c:axId val="291138616"/>
        <c:axId val="291139008"/>
        <c:axId val="0"/>
      </c:bar3DChart>
      <c:catAx>
        <c:axId val="291138616"/>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b="1"/>
                  <a:t>Osiągnięty poziom wartości docelowej</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9008"/>
        <c:crosses val="autoZero"/>
        <c:auto val="1"/>
        <c:lblAlgn val="ctr"/>
        <c:lblOffset val="100"/>
        <c:noMultiLvlLbl val="0"/>
      </c:catAx>
      <c:valAx>
        <c:axId val="291139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2911386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6.8685685122692991E-2"/>
          <c:y val="2.6143790849673203E-2"/>
          <c:w val="0.83970284964379449"/>
          <c:h val="0.88720575369255317"/>
        </c:manualLayout>
      </c:layout>
      <c:barChart>
        <c:barDir val="bar"/>
        <c:grouping val="clustered"/>
        <c:varyColors val="0"/>
        <c:ser>
          <c:idx val="0"/>
          <c:order val="0"/>
          <c:spPr>
            <a:solidFill>
              <a:schemeClr val="accent6">
                <a:shade val="76000"/>
              </a:schemeClr>
            </a:solidFill>
            <a:ln w="53975">
              <a:solidFill>
                <a:schemeClr val="accent6">
                  <a:lumMod val="50000"/>
                  <a:alpha val="0"/>
                </a:schemeClr>
              </a:solidFill>
            </a:ln>
            <a:effectLst/>
          </c:spPr>
          <c:invertIfNegative val="0"/>
          <c:dPt>
            <c:idx val="6"/>
            <c:invertIfNegative val="0"/>
            <c:bubble3D val="0"/>
            <c:spPr>
              <a:solidFill>
                <a:schemeClr val="accent6">
                  <a:shade val="76000"/>
                </a:schemeClr>
              </a:solidFill>
              <a:ln w="53975">
                <a:solidFill>
                  <a:schemeClr val="accent6">
                    <a:lumMod val="50000"/>
                    <a:alpha val="0"/>
                  </a:schemeClr>
                </a:solidFill>
              </a:ln>
              <a:effectLst>
                <a:softEdge rad="0"/>
              </a:effectLst>
            </c:spPr>
          </c:dPt>
          <c:dLbls>
            <c:dLbl>
              <c:idx val="0"/>
              <c:layout/>
              <c:tx>
                <c:rich>
                  <a:bodyPr/>
                  <a:lstStyle/>
                  <a:p>
                    <a:fld id="{47A6A3DE-6EB5-45AF-A6E7-D6E700EA96C1}" type="CELLRANGE">
                      <a:rPr lang="en-US"/>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showDataLabelsRange val="1"/>
                </c:ext>
              </c:extLst>
            </c:dLbl>
            <c:dLbl>
              <c:idx val="1"/>
              <c:layout/>
              <c:tx>
                <c:rich>
                  <a:bodyPr/>
                  <a:lstStyle/>
                  <a:p>
                    <a:fld id="{5286CD60-99D1-4D39-AB3E-33AFB32D5505}"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2"/>
              <c:layout/>
              <c:tx>
                <c:rich>
                  <a:bodyPr/>
                  <a:lstStyle/>
                  <a:p>
                    <a:fld id="{0D26250C-9E52-4BE7-901C-B601A89E8902}"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3"/>
              <c:layout/>
              <c:tx>
                <c:rich>
                  <a:bodyPr/>
                  <a:lstStyle/>
                  <a:p>
                    <a:fld id="{CA34BADB-CE57-4BE6-BAEB-0704EA5BEBFA}"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4"/>
              <c:layout/>
              <c:tx>
                <c:rich>
                  <a:bodyPr/>
                  <a:lstStyle/>
                  <a:p>
                    <a:fld id="{CC241177-3782-49F4-BF74-F0399CBCA0E3}"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5"/>
              <c:layout/>
              <c:tx>
                <c:rich>
                  <a:bodyPr/>
                  <a:lstStyle/>
                  <a:p>
                    <a:fld id="{FDE09C0B-A1E6-4CBC-B4A2-61E9F9D5CF49}"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6"/>
              <c:layout/>
              <c:tx>
                <c:rich>
                  <a:bodyPr/>
                  <a:lstStyle/>
                  <a:p>
                    <a:fld id="{AA8D2117-DEEF-4114-9879-C4B4B8D7F6D2}"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7"/>
              <c:layout/>
              <c:tx>
                <c:rich>
                  <a:bodyPr/>
                  <a:lstStyle/>
                  <a:p>
                    <a:fld id="{8937ACE0-CF8B-4DAD-A0BA-8D872404AB6D}"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8"/>
              <c:layout/>
              <c:tx>
                <c:rich>
                  <a:bodyPr/>
                  <a:lstStyle/>
                  <a:p>
                    <a:fld id="{CD6E1506-42A9-4C06-BCF5-77EF3A63D2C8}"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9"/>
              <c:layout/>
              <c:tx>
                <c:rich>
                  <a:bodyPr/>
                  <a:lstStyle/>
                  <a:p>
                    <a:fld id="{07C65693-6341-4936-B6AF-74811FC1D8FF}" type="CELLRANGE">
                      <a:rPr lang="pl-PL"/>
                      <a:pPr/>
                      <a:t>[ZAKRES KOMÓREK]</a:t>
                    </a:fld>
                    <a:endParaRPr lang="pl-PL"/>
                  </a:p>
                </c:rich>
              </c:tx>
              <c:dLblPos val="ctr"/>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pl-PL"/>
              </a:p>
            </c:txPr>
            <c:dLblPos val="ctr"/>
            <c:showLegendKey val="0"/>
            <c:showVal val="0"/>
            <c:showCatName val="0"/>
            <c:showSerName val="0"/>
            <c:showPercent val="0"/>
            <c:showBubbleSize val="0"/>
            <c:showLeaderLines val="0"/>
            <c:extLst>
              <c:ext xmlns:c15="http://schemas.microsoft.com/office/drawing/2012/chart" uri="{CE6537A1-D6FC-4f65-9D91-7224C49458BB}">
                <c15:layout/>
                <c15:showDataLabelsRange val="1"/>
                <c15:showLeaderLines val="1"/>
                <c15:leaderLines>
                  <c:spPr>
                    <a:ln w="9525" cap="flat" cmpd="sng" algn="ctr">
                      <a:solidFill>
                        <a:schemeClr val="tx1">
                          <a:lumMod val="35000"/>
                          <a:lumOff val="65000"/>
                        </a:schemeClr>
                      </a:solidFill>
                      <a:round/>
                    </a:ln>
                    <a:effectLst/>
                  </c:spPr>
                </c15:leaderLines>
              </c:ext>
            </c:extLst>
          </c:dLbls>
          <c:cat>
            <c:strRef>
              <c:f>'[Wykres alokacja priorytety.xlsx]Arkusz1'!$B$3:$B$12</c:f>
              <c:strCache>
                <c:ptCount val="10"/>
                <c:pt idx="0">
                  <c:v>I</c:v>
                </c:pt>
                <c:pt idx="1">
                  <c:v>II</c:v>
                </c:pt>
                <c:pt idx="2">
                  <c:v>III</c:v>
                </c:pt>
                <c:pt idx="3">
                  <c:v>IV</c:v>
                </c:pt>
                <c:pt idx="4">
                  <c:v>V</c:v>
                </c:pt>
                <c:pt idx="5">
                  <c:v>VI</c:v>
                </c:pt>
                <c:pt idx="6">
                  <c:v>VII</c:v>
                </c:pt>
                <c:pt idx="7">
                  <c:v>VIII</c:v>
                </c:pt>
                <c:pt idx="8">
                  <c:v>IX</c:v>
                </c:pt>
                <c:pt idx="9">
                  <c:v>X</c:v>
                </c:pt>
              </c:strCache>
            </c:strRef>
          </c:cat>
          <c:val>
            <c:numRef>
              <c:f>'[Wykres alokacja priorytety.xlsx]Arkusz1'!$C$3:$C$12</c:f>
              <c:numCache>
                <c:formatCode>#\ ##0\ [$EUR]</c:formatCode>
                <c:ptCount val="10"/>
                <c:pt idx="0">
                  <c:v>296238553</c:v>
                </c:pt>
                <c:pt idx="1">
                  <c:v>150000000</c:v>
                </c:pt>
                <c:pt idx="2">
                  <c:v>110420000</c:v>
                </c:pt>
                <c:pt idx="3">
                  <c:v>53274150</c:v>
                </c:pt>
                <c:pt idx="4">
                  <c:v>180678600</c:v>
                </c:pt>
                <c:pt idx="5">
                  <c:v>312802445</c:v>
                </c:pt>
                <c:pt idx="6">
                  <c:v>460254825</c:v>
                </c:pt>
                <c:pt idx="7">
                  <c:v>82480000</c:v>
                </c:pt>
                <c:pt idx="8">
                  <c:v>57759000</c:v>
                </c:pt>
                <c:pt idx="9">
                  <c:v>43196934</c:v>
                </c:pt>
              </c:numCache>
            </c:numRef>
          </c:val>
          <c:extLst>
            <c:ext xmlns:c15="http://schemas.microsoft.com/office/drawing/2012/chart" uri="{02D57815-91ED-43cb-92C2-25804820EDAC}">
              <c15:datalabelsRange>
                <c15:f>'[Wykres alokacja priorytety.xlsx]Arkusz1'!$D$3:$D$12</c15:f>
                <c15:dlblRangeCache>
                  <c:ptCount val="10"/>
                  <c:pt idx="0">
                    <c:v>17%</c:v>
                  </c:pt>
                  <c:pt idx="1">
                    <c:v>9%</c:v>
                  </c:pt>
                  <c:pt idx="2">
                    <c:v>6%</c:v>
                  </c:pt>
                  <c:pt idx="3">
                    <c:v>3%</c:v>
                  </c:pt>
                  <c:pt idx="4">
                    <c:v>10%</c:v>
                  </c:pt>
                  <c:pt idx="5">
                    <c:v>18%</c:v>
                  </c:pt>
                  <c:pt idx="6">
                    <c:v>26%</c:v>
                  </c:pt>
                  <c:pt idx="7">
                    <c:v>5%</c:v>
                  </c:pt>
                  <c:pt idx="8">
                    <c:v>3%</c:v>
                  </c:pt>
                  <c:pt idx="9">
                    <c:v>2%</c:v>
                  </c:pt>
                </c15:dlblRangeCache>
              </c15:datalabelsRange>
            </c:ext>
          </c:extLst>
        </c:ser>
        <c:ser>
          <c:idx val="1"/>
          <c:order val="1"/>
          <c:spPr>
            <a:solidFill>
              <a:schemeClr val="accent6">
                <a:tint val="77000"/>
              </a:schemeClr>
            </a:solidFill>
            <a:ln>
              <a:noFill/>
            </a:ln>
            <a:effectLst/>
          </c:spPr>
          <c:invertIfNegative val="0"/>
          <c:cat>
            <c:strRef>
              <c:f>'[Wykres alokacja priorytety.xlsx]Arkusz1'!$B$3:$B$12</c:f>
              <c:strCache>
                <c:ptCount val="10"/>
                <c:pt idx="0">
                  <c:v>I</c:v>
                </c:pt>
                <c:pt idx="1">
                  <c:v>II</c:v>
                </c:pt>
                <c:pt idx="2">
                  <c:v>III</c:v>
                </c:pt>
                <c:pt idx="3">
                  <c:v>IV</c:v>
                </c:pt>
                <c:pt idx="4">
                  <c:v>V</c:v>
                </c:pt>
                <c:pt idx="5">
                  <c:v>VI</c:v>
                </c:pt>
                <c:pt idx="6">
                  <c:v>VII</c:v>
                </c:pt>
                <c:pt idx="7">
                  <c:v>VIII</c:v>
                </c:pt>
                <c:pt idx="8">
                  <c:v>IX</c:v>
                </c:pt>
                <c:pt idx="9">
                  <c:v>X</c:v>
                </c:pt>
              </c:strCache>
            </c:strRef>
          </c:cat>
          <c:val>
            <c:numRef>
              <c:f>'[Wykres alokacja priorytety.xlsx]Arkusz1'!$D$3:$D$12</c:f>
              <c:numCache>
                <c:formatCode>0%</c:formatCode>
                <c:ptCount val="10"/>
                <c:pt idx="0">
                  <c:v>0.17</c:v>
                </c:pt>
                <c:pt idx="1">
                  <c:v>0.09</c:v>
                </c:pt>
                <c:pt idx="2">
                  <c:v>0.06</c:v>
                </c:pt>
                <c:pt idx="3">
                  <c:v>0.03</c:v>
                </c:pt>
                <c:pt idx="4">
                  <c:v>0.1</c:v>
                </c:pt>
                <c:pt idx="5">
                  <c:v>0.18</c:v>
                </c:pt>
                <c:pt idx="6">
                  <c:v>0.26</c:v>
                </c:pt>
                <c:pt idx="7">
                  <c:v>0.05</c:v>
                </c:pt>
                <c:pt idx="8">
                  <c:v>0.03</c:v>
                </c:pt>
                <c:pt idx="9">
                  <c:v>0.02</c:v>
                </c:pt>
              </c:numCache>
            </c:numRef>
          </c:val>
        </c:ser>
        <c:dLbls>
          <c:showLegendKey val="0"/>
          <c:showVal val="0"/>
          <c:showCatName val="0"/>
          <c:showSerName val="0"/>
          <c:showPercent val="0"/>
          <c:showBubbleSize val="0"/>
        </c:dLbls>
        <c:gapWidth val="22"/>
        <c:axId val="272986528"/>
        <c:axId val="272986920"/>
      </c:barChart>
      <c:catAx>
        <c:axId val="272986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crossAx val="272986920"/>
        <c:crosses val="autoZero"/>
        <c:auto val="1"/>
        <c:lblAlgn val="ctr"/>
        <c:lblOffset val="100"/>
        <c:noMultiLvlLbl val="0"/>
      </c:catAx>
      <c:valAx>
        <c:axId val="272986920"/>
        <c:scaling>
          <c:orientation val="minMax"/>
        </c:scaling>
        <c:delete val="0"/>
        <c:axPos val="b"/>
        <c:majorGridlines>
          <c:spPr>
            <a:ln w="9525" cap="flat" cmpd="sng" algn="ctr">
              <a:solidFill>
                <a:schemeClr val="tx1">
                  <a:lumMod val="15000"/>
                  <a:lumOff val="85000"/>
                </a:schemeClr>
              </a:solidFill>
              <a:round/>
            </a:ln>
            <a:effectLst/>
          </c:spPr>
        </c:majorGridlines>
        <c:numFmt formatCode="#\ ##0\ [$EUR]"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pl-PL"/>
          </a:p>
        </c:txPr>
        <c:crossAx val="2729865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787222777708342"/>
          <c:y val="4.8909884925184055E-2"/>
          <c:w val="0.5025811009734894"/>
          <c:h val="0.87228156648775512"/>
        </c:manualLayout>
      </c:layout>
      <c:pieChart>
        <c:varyColors val="1"/>
        <c:ser>
          <c:idx val="0"/>
          <c:order val="0"/>
          <c:dPt>
            <c:idx val="0"/>
            <c:bubble3D val="0"/>
            <c:explosion val="6"/>
            <c:spPr>
              <a:solidFill>
                <a:schemeClr val="accent6">
                  <a:shade val="50000"/>
                </a:schemeClr>
              </a:solidFill>
              <a:ln w="19050">
                <a:solidFill>
                  <a:schemeClr val="lt1"/>
                </a:solidFill>
              </a:ln>
              <a:effectLst/>
            </c:spPr>
          </c:dPt>
          <c:dPt>
            <c:idx val="1"/>
            <c:bubble3D val="0"/>
            <c:spPr>
              <a:solidFill>
                <a:schemeClr val="accent6">
                  <a:shade val="70000"/>
                </a:schemeClr>
              </a:solidFill>
              <a:ln w="19050">
                <a:solidFill>
                  <a:schemeClr val="lt1"/>
                </a:solidFill>
              </a:ln>
              <a:effectLst/>
            </c:spPr>
          </c:dPt>
          <c:dPt>
            <c:idx val="2"/>
            <c:bubble3D val="0"/>
            <c:spPr>
              <a:solidFill>
                <a:schemeClr val="accent6">
                  <a:shade val="90000"/>
                </a:schemeClr>
              </a:solidFill>
              <a:ln w="19050">
                <a:solidFill>
                  <a:schemeClr val="lt1"/>
                </a:solidFill>
              </a:ln>
              <a:effectLst/>
            </c:spPr>
          </c:dPt>
          <c:dPt>
            <c:idx val="3"/>
            <c:bubble3D val="0"/>
            <c:spPr>
              <a:solidFill>
                <a:schemeClr val="accent6">
                  <a:tint val="90000"/>
                </a:schemeClr>
              </a:solidFill>
              <a:ln w="19050">
                <a:solidFill>
                  <a:schemeClr val="lt1"/>
                </a:solidFill>
              </a:ln>
              <a:effectLst/>
            </c:spPr>
          </c:dPt>
          <c:dPt>
            <c:idx val="4"/>
            <c:bubble3D val="0"/>
            <c:explosion val="15"/>
            <c:spPr>
              <a:solidFill>
                <a:schemeClr val="accent6">
                  <a:tint val="70000"/>
                </a:schemeClr>
              </a:solidFill>
              <a:ln w="19050">
                <a:solidFill>
                  <a:schemeClr val="lt1"/>
                </a:solidFill>
              </a:ln>
              <a:effectLst/>
            </c:spPr>
          </c:dPt>
          <c:dPt>
            <c:idx val="5"/>
            <c:bubble3D val="0"/>
            <c:spPr>
              <a:solidFill>
                <a:schemeClr val="accent6">
                  <a:tint val="50000"/>
                </a:schemeClr>
              </a:solidFill>
              <a:ln w="19050">
                <a:solidFill>
                  <a:schemeClr val="lt1"/>
                </a:solidFill>
              </a:ln>
              <a:effectLst/>
            </c:spPr>
          </c:dPt>
          <c:dLbls>
            <c:dLbl>
              <c:idx val="1"/>
              <c:layout>
                <c:manualLayout>
                  <c:x val="-0.14600431890458146"/>
                  <c:y val="-0.20181643164128127"/>
                </c:manualLayout>
              </c:layout>
              <c:dLblPos val="bestFit"/>
              <c:showLegendKey val="0"/>
              <c:showVal val="0"/>
              <c:showCatName val="0"/>
              <c:showSerName val="0"/>
              <c:showPercent val="1"/>
              <c:showBubbleSize val="0"/>
              <c:extLst>
                <c:ext xmlns:c15="http://schemas.microsoft.com/office/drawing/2012/chart" uri="{CE6537A1-D6FC-4f65-9D91-7224C49458BB}">
                  <c15:layout>
                    <c:manualLayout>
                      <c:w val="8.4876543209876545E-2"/>
                      <c:h val="0.13583317390472546"/>
                    </c:manualLayout>
                  </c15:layout>
                </c:ext>
              </c:extLst>
            </c:dLbl>
            <c:numFmt formatCode="0.00%" sourceLinked="0"/>
            <c:spPr>
              <a:noFill/>
              <a:ln>
                <a:noFill/>
              </a:ln>
              <a:effectLst/>
            </c:spPr>
            <c:txPr>
              <a:bodyPr rot="0" spcFirstLastPara="1" vertOverflow="ellipsis" vert="horz" wrap="square" anchor="ctr" anchorCtr="1"/>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pl-PL"/>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('Cały program'!$A$44,'Cały program'!$A$45,'Cały program'!$A$46,'Cały program'!$A$47,'Cały program'!$A$48,'Cały program'!$A$49)</c:f>
              <c:strCache>
                <c:ptCount val="6"/>
                <c:pt idx="0">
                  <c:v>inne (274 umowy)</c:v>
                </c:pt>
                <c:pt idx="1">
                  <c:v>JST (1360 umów)</c:v>
                </c:pt>
                <c:pt idx="2">
                  <c:v>organ władzy, administracji rządowej (6 umów)</c:v>
                </c:pt>
                <c:pt idx="3">
                  <c:v>organizacja non profit (93 umowy)</c:v>
                </c:pt>
                <c:pt idx="4">
                  <c:v>przedsiębiorstwa (3420 umowy)</c:v>
                </c:pt>
                <c:pt idx="5">
                  <c:v>uczelnie, jednostki naukowe (58 umów)</c:v>
                </c:pt>
              </c:strCache>
            </c:strRef>
          </c:cat>
          <c:val>
            <c:numRef>
              <c:f>('Cały program'!$D$44,'Cały program'!$D$45,'Cały program'!$D$46,'Cały program'!$D$47,'Cały program'!$D$48,'Cały program'!$D$49)</c:f>
              <c:numCache>
                <c:formatCode>0.00%</c:formatCode>
                <c:ptCount val="6"/>
                <c:pt idx="0">
                  <c:v>8.2647617880717589E-2</c:v>
                </c:pt>
                <c:pt idx="1">
                  <c:v>0.67907809338834568</c:v>
                </c:pt>
                <c:pt idx="2">
                  <c:v>3.0368713825400712E-3</c:v>
                </c:pt>
                <c:pt idx="3">
                  <c:v>2.7546961270446951E-2</c:v>
                </c:pt>
                <c:pt idx="4">
                  <c:v>0.16525438194143061</c:v>
                </c:pt>
                <c:pt idx="5">
                  <c:v>4.2436074136519154E-2</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5013887152994758E-2"/>
          <c:y val="0.13192614363036265"/>
          <c:w val="0.42592550900825732"/>
          <c:h val="0.73732994491051163"/>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noFill/>
    <a:ln w="9525" cap="flat" cmpd="sng" algn="ctr">
      <a:noFill/>
      <a:round/>
    </a:ln>
    <a:effectLst/>
  </c:spPr>
  <c:txPr>
    <a:bodyPr/>
    <a:lstStyle/>
    <a:p>
      <a:pPr>
        <a:defRPr sz="1000" b="1">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pieChart>
        <c:varyColors val="1"/>
        <c:ser>
          <c:idx val="0"/>
          <c:order val="0"/>
          <c:explosion val="16"/>
          <c:dPt>
            <c:idx val="0"/>
            <c:bubble3D val="0"/>
            <c:spPr>
              <a:solidFill>
                <a:schemeClr val="accent6">
                  <a:tint val="44000"/>
                </a:schemeClr>
              </a:solidFill>
              <a:ln>
                <a:noFill/>
              </a:ln>
              <a:effectLst>
                <a:outerShdw blurRad="63500" sx="102000" sy="102000" algn="ctr" rotWithShape="0">
                  <a:prstClr val="black">
                    <a:alpha val="20000"/>
                  </a:prstClr>
                </a:outerShdw>
              </a:effectLst>
            </c:spPr>
          </c:dPt>
          <c:dPt>
            <c:idx val="1"/>
            <c:bubble3D val="0"/>
            <c:spPr>
              <a:solidFill>
                <a:schemeClr val="accent6">
                  <a:tint val="58000"/>
                </a:schemeClr>
              </a:solidFill>
              <a:ln>
                <a:noFill/>
              </a:ln>
              <a:effectLst>
                <a:outerShdw blurRad="63500" sx="102000" sy="102000" algn="ctr" rotWithShape="0">
                  <a:prstClr val="black">
                    <a:alpha val="20000"/>
                  </a:prstClr>
                </a:outerShdw>
              </a:effectLst>
            </c:spPr>
          </c:dPt>
          <c:dPt>
            <c:idx val="2"/>
            <c:bubble3D val="0"/>
            <c:spPr>
              <a:solidFill>
                <a:schemeClr val="accent6">
                  <a:tint val="72000"/>
                </a:schemeClr>
              </a:solidFill>
              <a:ln>
                <a:noFill/>
              </a:ln>
              <a:effectLst>
                <a:outerShdw blurRad="63500" sx="102000" sy="102000" algn="ctr" rotWithShape="0">
                  <a:prstClr val="black">
                    <a:alpha val="20000"/>
                  </a:prstClr>
                </a:outerShdw>
              </a:effectLst>
            </c:spPr>
          </c:dPt>
          <c:dPt>
            <c:idx val="3"/>
            <c:bubble3D val="0"/>
            <c:spPr>
              <a:solidFill>
                <a:schemeClr val="accent6">
                  <a:tint val="86000"/>
                </a:schemeClr>
              </a:solidFill>
              <a:ln>
                <a:noFill/>
              </a:ln>
              <a:effectLst>
                <a:outerShdw blurRad="63500" sx="102000" sy="102000" algn="ctr" rotWithShape="0">
                  <a:prstClr val="black">
                    <a:alpha val="20000"/>
                  </a:prstClr>
                </a:outerShdw>
              </a:effectLst>
            </c:spPr>
          </c:dPt>
          <c:dPt>
            <c:idx val="4"/>
            <c:bubble3D val="0"/>
            <c:spPr>
              <a:solidFill>
                <a:schemeClr val="accent6"/>
              </a:solidFill>
              <a:ln>
                <a:noFill/>
              </a:ln>
              <a:effectLst>
                <a:outerShdw blurRad="63500" sx="102000" sy="102000" algn="ctr" rotWithShape="0">
                  <a:prstClr val="black">
                    <a:alpha val="20000"/>
                  </a:prstClr>
                </a:outerShdw>
              </a:effectLst>
            </c:spPr>
          </c:dPt>
          <c:dPt>
            <c:idx val="5"/>
            <c:bubble3D val="0"/>
            <c:spPr>
              <a:solidFill>
                <a:schemeClr val="accent6">
                  <a:shade val="86000"/>
                </a:schemeClr>
              </a:solidFill>
              <a:ln>
                <a:noFill/>
              </a:ln>
              <a:effectLst>
                <a:outerShdw blurRad="63500" sx="102000" sy="102000" algn="ctr" rotWithShape="0">
                  <a:prstClr val="black">
                    <a:alpha val="20000"/>
                  </a:prstClr>
                </a:outerShdw>
              </a:effectLst>
            </c:spPr>
          </c:dPt>
          <c:dPt>
            <c:idx val="6"/>
            <c:bubble3D val="0"/>
            <c:spPr>
              <a:solidFill>
                <a:schemeClr val="accent6">
                  <a:shade val="72000"/>
                </a:schemeClr>
              </a:solidFill>
              <a:ln>
                <a:noFill/>
              </a:ln>
              <a:effectLst>
                <a:outerShdw blurRad="63500" sx="102000" sy="102000" algn="ctr" rotWithShape="0">
                  <a:prstClr val="black">
                    <a:alpha val="20000"/>
                  </a:prstClr>
                </a:outerShdw>
              </a:effectLst>
            </c:spPr>
          </c:dPt>
          <c:dPt>
            <c:idx val="7"/>
            <c:bubble3D val="0"/>
            <c:spPr>
              <a:solidFill>
                <a:schemeClr val="accent6">
                  <a:shade val="58000"/>
                </a:schemeClr>
              </a:solidFill>
              <a:ln>
                <a:noFill/>
              </a:ln>
              <a:effectLst>
                <a:outerShdw blurRad="63500" sx="102000" sy="102000" algn="ctr" rotWithShape="0">
                  <a:prstClr val="black">
                    <a:alpha val="20000"/>
                  </a:prstClr>
                </a:outerShdw>
              </a:effectLst>
            </c:spPr>
          </c:dPt>
          <c:dPt>
            <c:idx val="8"/>
            <c:bubble3D val="0"/>
            <c:spPr>
              <a:solidFill>
                <a:schemeClr val="accent6">
                  <a:shade val="44000"/>
                </a:schemeClr>
              </a:solidFill>
              <a:ln>
                <a:noFill/>
              </a:ln>
              <a:effectLst>
                <a:outerShdw blurRad="63500" sx="102000" sy="102000" algn="ctr" rotWithShape="0">
                  <a:prstClr val="black">
                    <a:alpha val="20000"/>
                  </a:prstClr>
                </a:outerShdw>
              </a:effectLst>
            </c:spPr>
          </c:dPt>
          <c:dLbls>
            <c:dLbl>
              <c:idx val="0"/>
              <c:layout>
                <c:manualLayout>
                  <c:x val="-0.14024071166928309"/>
                  <c:y val="1.683501683501683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1"/>
              <c:layout>
                <c:manualLayout>
                  <c:x val="2.6702217778333183E-2"/>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2"/>
              <c:layout>
                <c:manualLayout>
                  <c:x val="9.6284667713239139E-2"/>
                  <c:y val="1.683501683501683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3"/>
              <c:layout>
                <c:manualLayout>
                  <c:x val="4.1862899005756151E-3"/>
                  <c:y val="1.3468013468013438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4"/>
              <c:layout>
                <c:manualLayout>
                  <c:x val="-4.1862899005757686E-3"/>
                  <c:y val="3.703703703703703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5"/>
              <c:layout>
                <c:manualLayout>
                  <c:x val="-4.3956043956043959E-2"/>
                  <c:y val="-3.0303030303030425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6"/>
              <c:layout>
                <c:manualLayout>
                  <c:x val="0.18838304552590268"/>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outEnd"/>
              <c:showLegendKey val="0"/>
              <c:showVal val="0"/>
              <c:showCatName val="1"/>
              <c:showSerName val="0"/>
              <c:showPercent val="1"/>
              <c:showBubbleSize val="0"/>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outEnd"/>
              <c:showLegendKey val="0"/>
              <c:showVal val="0"/>
              <c:showCatName val="1"/>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Arkusz1!$A$3:$A$11</c:f>
              <c:strCache>
                <c:ptCount val="9"/>
                <c:pt idx="0">
                  <c:v>Kultura</c:v>
                </c:pt>
                <c:pt idx="1">
                  <c:v>Zdrowie i rekreacja</c:v>
                </c:pt>
                <c:pt idx="2">
                  <c:v>Infrastruktura edukacyjna</c:v>
                </c:pt>
                <c:pt idx="3">
                  <c:v>Turystyka</c:v>
                </c:pt>
                <c:pt idx="4">
                  <c:v>Społeczeństwo informacyjne</c:v>
                </c:pt>
                <c:pt idx="5">
                  <c:v>Środowisko</c:v>
                </c:pt>
                <c:pt idx="6">
                  <c:v>Badania i rozwój technologiczny B+R, innowacje i przedsiębiorczość</c:v>
                </c:pt>
                <c:pt idx="7">
                  <c:v>Zrównoważony rozwój miast</c:v>
                </c:pt>
                <c:pt idx="8">
                  <c:v>Transport</c:v>
                </c:pt>
              </c:strCache>
            </c:strRef>
          </c:cat>
          <c:val>
            <c:numRef>
              <c:f>Arkusz1!$B$3:$B$11</c:f>
              <c:numCache>
                <c:formatCode>#,##0.00</c:formatCode>
                <c:ptCount val="9"/>
                <c:pt idx="0">
                  <c:v>50145506.350000001</c:v>
                </c:pt>
                <c:pt idx="1">
                  <c:v>54025568.609999999</c:v>
                </c:pt>
                <c:pt idx="2">
                  <c:v>86154750.069999993</c:v>
                </c:pt>
                <c:pt idx="3">
                  <c:v>102342712.12</c:v>
                </c:pt>
                <c:pt idx="4">
                  <c:v>130795882.23999999</c:v>
                </c:pt>
                <c:pt idx="5">
                  <c:v>185092829.55000001</c:v>
                </c:pt>
                <c:pt idx="6">
                  <c:v>273903415.58999997</c:v>
                </c:pt>
                <c:pt idx="7">
                  <c:v>295605651.02999997</c:v>
                </c:pt>
                <c:pt idx="8">
                  <c:v>464367560.81</c:v>
                </c:pt>
              </c:numCache>
            </c:numRef>
          </c:val>
        </c:ser>
        <c:ser>
          <c:idx val="1"/>
          <c:order val="1"/>
          <c:dPt>
            <c:idx val="0"/>
            <c:bubble3D val="0"/>
            <c:spPr>
              <a:solidFill>
                <a:schemeClr val="accent6">
                  <a:tint val="44000"/>
                </a:schemeClr>
              </a:solidFill>
              <a:ln>
                <a:noFill/>
              </a:ln>
              <a:effectLst>
                <a:outerShdw blurRad="63500" sx="102000" sy="102000" algn="ctr" rotWithShape="0">
                  <a:prstClr val="black">
                    <a:alpha val="20000"/>
                  </a:prstClr>
                </a:outerShdw>
              </a:effectLst>
            </c:spPr>
          </c:dPt>
          <c:dPt>
            <c:idx val="1"/>
            <c:bubble3D val="0"/>
            <c:spPr>
              <a:solidFill>
                <a:schemeClr val="accent6">
                  <a:tint val="58000"/>
                </a:schemeClr>
              </a:solidFill>
              <a:ln>
                <a:noFill/>
              </a:ln>
              <a:effectLst>
                <a:outerShdw blurRad="63500" sx="102000" sy="102000" algn="ctr" rotWithShape="0">
                  <a:prstClr val="black">
                    <a:alpha val="20000"/>
                  </a:prstClr>
                </a:outerShdw>
              </a:effectLst>
            </c:spPr>
          </c:dPt>
          <c:dPt>
            <c:idx val="2"/>
            <c:bubble3D val="0"/>
            <c:spPr>
              <a:solidFill>
                <a:schemeClr val="accent6">
                  <a:tint val="72000"/>
                </a:schemeClr>
              </a:solidFill>
              <a:ln>
                <a:noFill/>
              </a:ln>
              <a:effectLst>
                <a:outerShdw blurRad="63500" sx="102000" sy="102000" algn="ctr" rotWithShape="0">
                  <a:prstClr val="black">
                    <a:alpha val="20000"/>
                  </a:prstClr>
                </a:outerShdw>
              </a:effectLst>
            </c:spPr>
          </c:dPt>
          <c:dPt>
            <c:idx val="3"/>
            <c:bubble3D val="0"/>
            <c:spPr>
              <a:solidFill>
                <a:schemeClr val="accent6">
                  <a:tint val="86000"/>
                </a:schemeClr>
              </a:solidFill>
              <a:ln>
                <a:noFill/>
              </a:ln>
              <a:effectLst>
                <a:outerShdw blurRad="63500" sx="102000" sy="102000" algn="ctr" rotWithShape="0">
                  <a:prstClr val="black">
                    <a:alpha val="20000"/>
                  </a:prstClr>
                </a:outerShdw>
              </a:effectLst>
            </c:spPr>
          </c:dPt>
          <c:dPt>
            <c:idx val="4"/>
            <c:bubble3D val="0"/>
            <c:spPr>
              <a:solidFill>
                <a:schemeClr val="accent6"/>
              </a:solidFill>
              <a:ln>
                <a:noFill/>
              </a:ln>
              <a:effectLst>
                <a:outerShdw blurRad="63500" sx="102000" sy="102000" algn="ctr" rotWithShape="0">
                  <a:prstClr val="black">
                    <a:alpha val="20000"/>
                  </a:prstClr>
                </a:outerShdw>
              </a:effectLst>
            </c:spPr>
          </c:dPt>
          <c:dPt>
            <c:idx val="5"/>
            <c:bubble3D val="0"/>
            <c:spPr>
              <a:solidFill>
                <a:schemeClr val="accent6">
                  <a:shade val="86000"/>
                </a:schemeClr>
              </a:solidFill>
              <a:ln>
                <a:noFill/>
              </a:ln>
              <a:effectLst>
                <a:outerShdw blurRad="63500" sx="102000" sy="102000" algn="ctr" rotWithShape="0">
                  <a:prstClr val="black">
                    <a:alpha val="20000"/>
                  </a:prstClr>
                </a:outerShdw>
              </a:effectLst>
            </c:spPr>
          </c:dPt>
          <c:dPt>
            <c:idx val="6"/>
            <c:bubble3D val="0"/>
            <c:spPr>
              <a:solidFill>
                <a:schemeClr val="accent6">
                  <a:shade val="72000"/>
                </a:schemeClr>
              </a:solidFill>
              <a:ln>
                <a:noFill/>
              </a:ln>
              <a:effectLst>
                <a:outerShdw blurRad="63500" sx="102000" sy="102000" algn="ctr" rotWithShape="0">
                  <a:prstClr val="black">
                    <a:alpha val="20000"/>
                  </a:prstClr>
                </a:outerShdw>
              </a:effectLst>
            </c:spPr>
          </c:dPt>
          <c:dPt>
            <c:idx val="7"/>
            <c:bubble3D val="0"/>
            <c:spPr>
              <a:solidFill>
                <a:schemeClr val="accent6">
                  <a:shade val="58000"/>
                </a:schemeClr>
              </a:solidFill>
              <a:ln>
                <a:noFill/>
              </a:ln>
              <a:effectLst>
                <a:outerShdw blurRad="63500" sx="102000" sy="102000" algn="ctr" rotWithShape="0">
                  <a:prstClr val="black">
                    <a:alpha val="20000"/>
                  </a:prstClr>
                </a:outerShdw>
              </a:effectLst>
            </c:spPr>
          </c:dPt>
          <c:dPt>
            <c:idx val="8"/>
            <c:bubble3D val="0"/>
            <c:spPr>
              <a:solidFill>
                <a:schemeClr val="accent6">
                  <a:shade val="44000"/>
                </a:schemeClr>
              </a:solidFill>
              <a:ln>
                <a:noFill/>
              </a:ln>
              <a:effectLst>
                <a:outerShdw blurRad="63500" sx="102000" sy="102000" algn="ctr" rotWithShape="0">
                  <a:prstClr val="black">
                    <a:alpha val="20000"/>
                  </a:prstClr>
                </a:outerShdw>
              </a:effectLst>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44000"/>
                        </a:schemeClr>
                      </a:solidFill>
                      <a:latin typeface="+mn-lt"/>
                      <a:ea typeface="+mn-ea"/>
                      <a:cs typeface="+mn-cs"/>
                    </a:defRPr>
                  </a:pPr>
                  <a:endParaRPr lang="pl-PL"/>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58000"/>
                        </a:schemeClr>
                      </a:solidFill>
                      <a:latin typeface="+mn-lt"/>
                      <a:ea typeface="+mn-ea"/>
                      <a:cs typeface="+mn-cs"/>
                    </a:defRPr>
                  </a:pPr>
                  <a:endParaRPr lang="pl-PL"/>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72000"/>
                        </a:schemeClr>
                      </a:solidFill>
                      <a:latin typeface="+mn-lt"/>
                      <a:ea typeface="+mn-ea"/>
                      <a:cs typeface="+mn-cs"/>
                    </a:defRPr>
                  </a:pPr>
                  <a:endParaRPr lang="pl-PL"/>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tint val="86000"/>
                        </a:schemeClr>
                      </a:solidFill>
                      <a:latin typeface="+mn-lt"/>
                      <a:ea typeface="+mn-ea"/>
                      <a:cs typeface="+mn-cs"/>
                    </a:defRPr>
                  </a:pPr>
                  <a:endParaRPr lang="pl-PL"/>
                </a:p>
              </c:txPr>
              <c:dLblPos val="outEnd"/>
              <c:showLegendKey val="0"/>
              <c:showVal val="0"/>
              <c:showCatName val="1"/>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pl-PL"/>
                </a:p>
              </c:txPr>
              <c:dLblPos val="outEnd"/>
              <c:showLegendKey val="0"/>
              <c:showVal val="0"/>
              <c:showCatName val="1"/>
              <c:showSerName val="0"/>
              <c:showPercent val="1"/>
              <c:showBubbleSize val="0"/>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86000"/>
                        </a:schemeClr>
                      </a:solidFill>
                      <a:latin typeface="+mn-lt"/>
                      <a:ea typeface="+mn-ea"/>
                      <a:cs typeface="+mn-cs"/>
                    </a:defRPr>
                  </a:pPr>
                  <a:endParaRPr lang="pl-PL"/>
                </a:p>
              </c:txPr>
              <c:dLblPos val="outEnd"/>
              <c:showLegendKey val="0"/>
              <c:showVal val="0"/>
              <c:showCatName val="1"/>
              <c:showSerName val="0"/>
              <c:showPercent val="1"/>
              <c:showBubbleSize val="0"/>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72000"/>
                        </a:schemeClr>
                      </a:solidFill>
                      <a:latin typeface="+mn-lt"/>
                      <a:ea typeface="+mn-ea"/>
                      <a:cs typeface="+mn-cs"/>
                    </a:defRPr>
                  </a:pPr>
                  <a:endParaRPr lang="pl-PL"/>
                </a:p>
              </c:txPr>
              <c:dLblPos val="outEnd"/>
              <c:showLegendKey val="0"/>
              <c:showVal val="0"/>
              <c:showCatName val="1"/>
              <c:showSerName val="0"/>
              <c:showPercent val="1"/>
              <c:showBubbleSize val="0"/>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58000"/>
                        </a:schemeClr>
                      </a:solidFill>
                      <a:latin typeface="+mn-lt"/>
                      <a:ea typeface="+mn-ea"/>
                      <a:cs typeface="+mn-cs"/>
                    </a:defRPr>
                  </a:pPr>
                  <a:endParaRPr lang="pl-PL"/>
                </a:p>
              </c:txPr>
              <c:dLblPos val="outEnd"/>
              <c:showLegendKey val="0"/>
              <c:showVal val="0"/>
              <c:showCatName val="1"/>
              <c:showSerName val="0"/>
              <c:showPercent val="1"/>
              <c:showBubbleSize val="0"/>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hade val="44000"/>
                        </a:schemeClr>
                      </a:solidFill>
                      <a:latin typeface="+mn-lt"/>
                      <a:ea typeface="+mn-ea"/>
                      <a:cs typeface="+mn-cs"/>
                    </a:defRPr>
                  </a:pPr>
                  <a:endParaRPr lang="pl-PL"/>
                </a:p>
              </c:txPr>
              <c:dLblPos val="outEnd"/>
              <c:showLegendKey val="0"/>
              <c:showVal val="0"/>
              <c:showCatName val="1"/>
              <c:showSerName val="0"/>
              <c:showPercent val="1"/>
              <c:showBubbleSize val="0"/>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Arkusz1!$A$3:$A$11</c:f>
              <c:strCache>
                <c:ptCount val="9"/>
                <c:pt idx="0">
                  <c:v>Kultura</c:v>
                </c:pt>
                <c:pt idx="1">
                  <c:v>Zdrowie i rekreacja</c:v>
                </c:pt>
                <c:pt idx="2">
                  <c:v>Infrastruktura edukacyjna</c:v>
                </c:pt>
                <c:pt idx="3">
                  <c:v>Turystyka</c:v>
                </c:pt>
                <c:pt idx="4">
                  <c:v>Społeczeństwo informacyjne</c:v>
                </c:pt>
                <c:pt idx="5">
                  <c:v>Środowisko</c:v>
                </c:pt>
                <c:pt idx="6">
                  <c:v>Badania i rozwój technologiczny B+R, innowacje i przedsiębiorczość</c:v>
                </c:pt>
                <c:pt idx="7">
                  <c:v>Zrównoważony rozwój miast</c:v>
                </c:pt>
                <c:pt idx="8">
                  <c:v>Transport</c:v>
                </c:pt>
              </c:strCache>
            </c:strRef>
          </c:cat>
          <c:val>
            <c:numRef>
              <c:f>Arkusz1!$C$3:$C$11</c:f>
              <c:numCache>
                <c:formatCode>0.00%</c:formatCode>
                <c:ptCount val="9"/>
                <c:pt idx="0">
                  <c:v>2.9793124887521526E-2</c:v>
                </c:pt>
                <c:pt idx="1">
                  <c:v>3.2098399834327183E-2</c:v>
                </c:pt>
                <c:pt idx="2">
                  <c:v>5.1187422669004792E-2</c:v>
                </c:pt>
                <c:pt idx="3">
                  <c:v>6.0805233119733425E-2</c:v>
                </c:pt>
                <c:pt idx="4">
                  <c:v>7.7710214493623878E-2</c:v>
                </c:pt>
                <c:pt idx="5">
                  <c:v>0.1099698495031327</c:v>
                </c:pt>
                <c:pt idx="6">
                  <c:v>0.16273519327602901</c:v>
                </c:pt>
                <c:pt idx="7">
                  <c:v>0.17562921824188329</c:v>
                </c:pt>
                <c:pt idx="8">
                  <c:v>0.27589632132463404</c:v>
                </c:pt>
              </c:numCache>
            </c:numRef>
          </c:val>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0"/>
          <c:order val="0"/>
          <c:tx>
            <c:strRef>
              <c:f>'[umowy - kategorie.xlsx]podsumowanie'!$B$1</c:f>
              <c:strCache>
                <c:ptCount val="1"/>
                <c:pt idx="0">
                  <c:v>alokacja</c:v>
                </c:pt>
              </c:strCache>
            </c:strRef>
          </c:tx>
          <c:spPr>
            <a:solidFill>
              <a:schemeClr val="accent6">
                <a:tint val="58000"/>
              </a:schemeClr>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'[umowy - kategorie.xlsx]podsumowanie'!$A$2:$A$7</c:f>
              <c:strCache>
                <c:ptCount val="6"/>
                <c:pt idx="0">
                  <c:v>Unia Innowacji i
Polityka przemysłowa w erze globalizacji</c:v>
                </c:pt>
                <c:pt idx="1">
                  <c:v>Europejska Agenda Cyfrowa</c:v>
                </c:pt>
                <c:pt idx="2">
                  <c:v>Młodzież w drodze</c:v>
                </c:pt>
                <c:pt idx="3">
                  <c:v>Europa efektywnie korzystająca z zasobów</c:v>
                </c:pt>
                <c:pt idx="4">
                  <c:v>Program na rzecz nowych umiejętności i zatrudnienia</c:v>
                </c:pt>
                <c:pt idx="5">
                  <c:v>Europejski program walki z ubóstwem</c:v>
                </c:pt>
              </c:strCache>
            </c:strRef>
          </c:cat>
          <c:val>
            <c:numRef>
              <c:f>'[umowy - kategorie.xlsx]podsumowanie'!$B$2:$B$7</c:f>
              <c:numCache>
                <c:formatCode>#\ ##0.00\ [$€-1]</c:formatCode>
                <c:ptCount val="6"/>
                <c:pt idx="0">
                  <c:v>361366895</c:v>
                </c:pt>
                <c:pt idx="1">
                  <c:v>179503900</c:v>
                </c:pt>
                <c:pt idx="2">
                  <c:v>73610868</c:v>
                </c:pt>
                <c:pt idx="3">
                  <c:v>637819701</c:v>
                </c:pt>
                <c:pt idx="4">
                  <c:v>0</c:v>
                </c:pt>
                <c:pt idx="5">
                  <c:v>399976563</c:v>
                </c:pt>
              </c:numCache>
            </c:numRef>
          </c:val>
        </c:ser>
        <c:ser>
          <c:idx val="2"/>
          <c:order val="1"/>
          <c:tx>
            <c:strRef>
              <c:f>'[umowy - kategorie.xlsx]podsumowanie'!$D$1</c:f>
              <c:strCache>
                <c:ptCount val="1"/>
                <c:pt idx="0">
                  <c:v>kontraktacja</c:v>
                </c:pt>
              </c:strCache>
            </c:strRef>
          </c:tx>
          <c:spPr>
            <a:solidFill>
              <a:schemeClr val="accent6">
                <a:shade val="86000"/>
              </a:schemeClr>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'[umowy - kategorie.xlsx]podsumowanie'!$A$2:$A$7</c:f>
              <c:strCache>
                <c:ptCount val="6"/>
                <c:pt idx="0">
                  <c:v>Unia Innowacji i
Polityka przemysłowa w erze globalizacji</c:v>
                </c:pt>
                <c:pt idx="1">
                  <c:v>Europejska Agenda Cyfrowa</c:v>
                </c:pt>
                <c:pt idx="2">
                  <c:v>Młodzież w drodze</c:v>
                </c:pt>
                <c:pt idx="3">
                  <c:v>Europa efektywnie korzystająca z zasobów</c:v>
                </c:pt>
                <c:pt idx="4">
                  <c:v>Program na rzecz nowych umiejętności i zatrudnienia</c:v>
                </c:pt>
                <c:pt idx="5">
                  <c:v>Europejski program walki z ubóstwem</c:v>
                </c:pt>
              </c:strCache>
            </c:strRef>
          </c:cat>
          <c:val>
            <c:numRef>
              <c:f>'[umowy - kategorie.xlsx]podsumowanie'!$D$2:$D$7</c:f>
              <c:numCache>
                <c:formatCode>#\ ##0.00\ [$€-1]</c:formatCode>
                <c:ptCount val="6"/>
                <c:pt idx="0">
                  <c:v>302583952.35268813</c:v>
                </c:pt>
                <c:pt idx="1">
                  <c:v>144777844.73392081</c:v>
                </c:pt>
                <c:pt idx="2">
                  <c:v>82553627.9898507</c:v>
                </c:pt>
                <c:pt idx="3">
                  <c:v>646752257.58138669</c:v>
                </c:pt>
                <c:pt idx="4">
                  <c:v>0</c:v>
                </c:pt>
                <c:pt idx="5">
                  <c:v>429384651.39666069</c:v>
                </c:pt>
              </c:numCache>
            </c:numRef>
          </c:val>
        </c:ser>
        <c:ser>
          <c:idx val="3"/>
          <c:order val="2"/>
          <c:tx>
            <c:strRef>
              <c:f>'[umowy - kategorie.xlsx]podsumowanie'!$E$1</c:f>
              <c:strCache>
                <c:ptCount val="1"/>
                <c:pt idx="0">
                  <c:v>wnioski o płatność</c:v>
                </c:pt>
              </c:strCache>
            </c:strRef>
          </c:tx>
          <c:spPr>
            <a:solidFill>
              <a:schemeClr val="accent6">
                <a:shade val="58000"/>
              </a:schemeClr>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'[umowy - kategorie.xlsx]podsumowanie'!$A$2:$A$7</c:f>
              <c:strCache>
                <c:ptCount val="6"/>
                <c:pt idx="0">
                  <c:v>Unia Innowacji i
Polityka przemysłowa w erze globalizacji</c:v>
                </c:pt>
                <c:pt idx="1">
                  <c:v>Europejska Agenda Cyfrowa</c:v>
                </c:pt>
                <c:pt idx="2">
                  <c:v>Młodzież w drodze</c:v>
                </c:pt>
                <c:pt idx="3">
                  <c:v>Europa efektywnie korzystająca z zasobów</c:v>
                </c:pt>
                <c:pt idx="4">
                  <c:v>Program na rzecz nowych umiejętności i zatrudnienia</c:v>
                </c:pt>
                <c:pt idx="5">
                  <c:v>Europejski program walki z ubóstwem</c:v>
                </c:pt>
              </c:strCache>
            </c:strRef>
          </c:cat>
          <c:val>
            <c:numRef>
              <c:f>'[umowy - kategorie.xlsx]podsumowanie'!$E$2:$E$7</c:f>
              <c:numCache>
                <c:formatCode>#\ ##0.00\ [$€-1]</c:formatCode>
                <c:ptCount val="6"/>
                <c:pt idx="0">
                  <c:v>300230527.9218868</c:v>
                </c:pt>
                <c:pt idx="1">
                  <c:v>142896532.9127115</c:v>
                </c:pt>
                <c:pt idx="2">
                  <c:v>81111848.775514796</c:v>
                </c:pt>
                <c:pt idx="3">
                  <c:v>632664759.11737347</c:v>
                </c:pt>
                <c:pt idx="4">
                  <c:v>0</c:v>
                </c:pt>
                <c:pt idx="5">
                  <c:v>421174005.26721179</c:v>
                </c:pt>
              </c:numCache>
            </c:numRef>
          </c:val>
        </c:ser>
        <c:dLbls>
          <c:showLegendKey val="0"/>
          <c:showVal val="0"/>
          <c:showCatName val="0"/>
          <c:showSerName val="0"/>
          <c:showPercent val="0"/>
          <c:showBubbleSize val="0"/>
        </c:dLbls>
        <c:gapWidth val="219"/>
        <c:axId val="168027728"/>
        <c:axId val="168028120"/>
      </c:barChart>
      <c:catAx>
        <c:axId val="1680277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168028120"/>
        <c:crosses val="autoZero"/>
        <c:auto val="1"/>
        <c:lblAlgn val="ctr"/>
        <c:lblOffset val="100"/>
        <c:noMultiLvlLbl val="0"/>
      </c:catAx>
      <c:valAx>
        <c:axId val="168028120"/>
        <c:scaling>
          <c:orientation val="minMax"/>
        </c:scaling>
        <c:delete val="0"/>
        <c:axPos val="b"/>
        <c:majorGridlines>
          <c:spPr>
            <a:ln w="9525" cap="flat" cmpd="sng" algn="ctr">
              <a:solidFill>
                <a:schemeClr val="tx1">
                  <a:lumMod val="15000"/>
                  <a:lumOff val="85000"/>
                </a:schemeClr>
              </a:solidFill>
              <a:round/>
            </a:ln>
            <a:effectLst/>
          </c:spPr>
        </c:majorGridlines>
        <c:numFmt formatCode="#\ ##0.00\ [$€-1]"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crossAx val="168027728"/>
        <c:crosses val="autoZero"/>
        <c:crossBetween val="between"/>
        <c:dispUnits>
          <c:builtInUnit val="millions"/>
          <c:dispUnitsLbl>
            <c:layout/>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pl-PL"/>
                    <a:t>Miliony Euro</a:t>
                  </a:r>
                </a:p>
              </c:rich>
            </c:tx>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ispUnitsLbl>
        </c:dispUnits>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1000" b="1">
          <a:solidFill>
            <a:sysClr val="windowText" lastClr="000000"/>
          </a:solidFill>
          <a:latin typeface="Times New Roman" panose="02020603050405020304" pitchFamily="18" charset="0"/>
          <a:cs typeface="Times New Roman" panose="02020603050405020304" pitchFamily="18" charset="0"/>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TABLICA!$V$55:$V$70</c:f>
              <c:strCache>
                <c:ptCount val="16"/>
                <c:pt idx="0">
                  <c:v>MAZOWIECKIE</c:v>
                </c:pt>
                <c:pt idx="1">
                  <c:v>ŚLĄSKIE</c:v>
                </c:pt>
                <c:pt idx="2">
                  <c:v>WIELKOPOLSKIE</c:v>
                </c:pt>
                <c:pt idx="3">
                  <c:v>MAŁOPOLSKIE</c:v>
                </c:pt>
                <c:pt idx="4">
                  <c:v>DOLNOŚLĄSKIE</c:v>
                </c:pt>
                <c:pt idx="5">
                  <c:v>ŁÓDZKIE</c:v>
                </c:pt>
                <c:pt idx="6">
                  <c:v>POMORSKIE</c:v>
                </c:pt>
                <c:pt idx="7">
                  <c:v>LUBELSKIE</c:v>
                </c:pt>
                <c:pt idx="8">
                  <c:v>PODKARPACKIE</c:v>
                </c:pt>
                <c:pt idx="9">
                  <c:v>KUJAWSKO-POMORSKIE</c:v>
                </c:pt>
                <c:pt idx="10">
                  <c:v>ZACHODNIOPOMORSKIE</c:v>
                </c:pt>
                <c:pt idx="11">
                  <c:v>WARMIŃSKO-MAZURSKIE</c:v>
                </c:pt>
                <c:pt idx="12">
                  <c:v>ŚWIĘTOKRZYSKIE</c:v>
                </c:pt>
                <c:pt idx="13">
                  <c:v>PODLASKIE</c:v>
                </c:pt>
                <c:pt idx="14">
                  <c:v>LUBUSKIE</c:v>
                </c:pt>
                <c:pt idx="15">
                  <c:v>OPOLSKIE</c:v>
                </c:pt>
              </c:strCache>
            </c:strRef>
          </c:cat>
          <c:val>
            <c:numRef>
              <c:f>TABLICA!$X$55:$X$70</c:f>
              <c:numCache>
                <c:formatCode>0.0%</c:formatCode>
                <c:ptCount val="16"/>
                <c:pt idx="0">
                  <c:v>0.13916488642693647</c:v>
                </c:pt>
                <c:pt idx="1">
                  <c:v>0.11891720422478839</c:v>
                </c:pt>
                <c:pt idx="2">
                  <c:v>9.041552126051508E-2</c:v>
                </c:pt>
                <c:pt idx="3">
                  <c:v>8.7743503116860244E-2</c:v>
                </c:pt>
                <c:pt idx="4">
                  <c:v>7.5557117929308235E-2</c:v>
                </c:pt>
                <c:pt idx="5">
                  <c:v>6.4874664905041998E-2</c:v>
                </c:pt>
                <c:pt idx="6">
                  <c:v>6.0038391415158779E-2</c:v>
                </c:pt>
                <c:pt idx="7">
                  <c:v>5.5668046292294777E-2</c:v>
                </c:pt>
                <c:pt idx="8">
                  <c:v>5.5354053916307676E-2</c:v>
                </c:pt>
                <c:pt idx="9">
                  <c:v>5.4275750659406104E-2</c:v>
                </c:pt>
                <c:pt idx="10">
                  <c:v>4.4500646885693461E-2</c:v>
                </c:pt>
                <c:pt idx="11">
                  <c:v>3.7455213679629992E-2</c:v>
                </c:pt>
                <c:pt idx="12">
                  <c:v>3.2707318025626299E-2</c:v>
                </c:pt>
                <c:pt idx="13">
                  <c:v>3.0928340092273614E-2</c:v>
                </c:pt>
                <c:pt idx="14">
                  <c:v>2.6486683916084611E-2</c:v>
                </c:pt>
                <c:pt idx="15">
                  <c:v>2.591265725407596E-2</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txPr>
    <a:bodyPr/>
    <a:lstStyle/>
    <a:p>
      <a:pPr>
        <a:defRPr sz="800" b="1">
          <a:latin typeface="Times New Roman" panose="02020603050405020304" pitchFamily="18" charset="0"/>
          <a:cs typeface="Times New Roman" panose="02020603050405020304" pitchFamily="18" charset="0"/>
        </a:defRPr>
      </a:pPr>
      <a:endParaRPr lang="pl-PL"/>
    </a:p>
  </c:txPr>
  <c:externalData r:id="rId2">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10.xml><?xml version="1.0" encoding="utf-8"?>
<cs:colorStyle xmlns:cs="http://schemas.microsoft.com/office/drawing/2012/chartStyle" xmlns:a="http://schemas.openxmlformats.org/drawingml/2006/main" meth="withinLinear" id="19">
  <a:schemeClr val="accent6"/>
</cs:colorStyle>
</file>

<file path=word/charts/colors11.xml><?xml version="1.0" encoding="utf-8"?>
<cs:colorStyle xmlns:cs="http://schemas.microsoft.com/office/drawing/2012/chartStyle" xmlns:a="http://schemas.openxmlformats.org/drawingml/2006/main" meth="withinLinear" id="19">
  <a:schemeClr val="accent6"/>
</cs:colorStyle>
</file>

<file path=word/charts/colors12.xml><?xml version="1.0" encoding="utf-8"?>
<cs:colorStyle xmlns:cs="http://schemas.microsoft.com/office/drawing/2012/chartStyle" xmlns:a="http://schemas.openxmlformats.org/drawingml/2006/main" meth="withinLinear" id="19">
  <a:schemeClr val="accent6"/>
</cs:colorStyle>
</file>

<file path=word/charts/colors13.xml><?xml version="1.0" encoding="utf-8"?>
<cs:colorStyle xmlns:cs="http://schemas.microsoft.com/office/drawing/2012/chartStyle" xmlns:a="http://schemas.openxmlformats.org/drawingml/2006/main" meth="withinLinear" id="19">
  <a:schemeClr val="accent6"/>
</cs:colorStyle>
</file>

<file path=word/charts/colors14.xml><?xml version="1.0" encoding="utf-8"?>
<cs:colorStyle xmlns:cs="http://schemas.microsoft.com/office/drawing/2012/chartStyle" xmlns:a="http://schemas.openxmlformats.org/drawingml/2006/main" meth="withinLinear" id="19">
  <a:schemeClr val="accent6"/>
</cs:colorStyle>
</file>

<file path=word/charts/colors15.xml><?xml version="1.0" encoding="utf-8"?>
<cs:colorStyle xmlns:cs="http://schemas.microsoft.com/office/drawing/2012/chartStyle" xmlns:a="http://schemas.openxmlformats.org/drawingml/2006/main" meth="withinLinear" id="19">
  <a:schemeClr val="accent6"/>
</cs:colorStyle>
</file>

<file path=word/charts/colors16.xml><?xml version="1.0" encoding="utf-8"?>
<cs:colorStyle xmlns:cs="http://schemas.microsoft.com/office/drawing/2012/chartStyle" xmlns:a="http://schemas.openxmlformats.org/drawingml/2006/main" meth="withinLinear" id="19">
  <a:schemeClr val="accent6"/>
</cs:colorStyle>
</file>

<file path=word/charts/colors17.xml><?xml version="1.0" encoding="utf-8"?>
<cs:colorStyle xmlns:cs="http://schemas.microsoft.com/office/drawing/2012/chartStyle" xmlns:a="http://schemas.openxmlformats.org/drawingml/2006/main" meth="withinLinear" id="19">
  <a:schemeClr val="accent6"/>
</cs:colorStyle>
</file>

<file path=word/charts/colors18.xml><?xml version="1.0" encoding="utf-8"?>
<cs:colorStyle xmlns:cs="http://schemas.microsoft.com/office/drawing/2012/chartStyle" xmlns:a="http://schemas.openxmlformats.org/drawingml/2006/main" meth="withinLinear" id="19">
  <a:schemeClr val="accent6"/>
</cs:colorStyle>
</file>

<file path=word/charts/colors19.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withinLinear" id="19">
  <a:schemeClr val="accent6"/>
</cs:colorStyle>
</file>

<file path=word/charts/colors20.xml><?xml version="1.0" encoding="utf-8"?>
<cs:colorStyle xmlns:cs="http://schemas.microsoft.com/office/drawing/2012/chartStyle" xmlns:a="http://schemas.openxmlformats.org/drawingml/2006/main" meth="withinLinear" id="19">
  <a:schemeClr val="accent6"/>
</cs:colorStyle>
</file>

<file path=word/charts/colors21.xml><?xml version="1.0" encoding="utf-8"?>
<cs:colorStyle xmlns:cs="http://schemas.microsoft.com/office/drawing/2012/chartStyle" xmlns:a="http://schemas.openxmlformats.org/drawingml/2006/main" meth="withinLinear" id="19">
  <a:schemeClr val="accent6"/>
</cs:colorStyle>
</file>

<file path=word/charts/colors22.xml><?xml version="1.0" encoding="utf-8"?>
<cs:colorStyle xmlns:cs="http://schemas.microsoft.com/office/drawing/2012/chartStyle" xmlns:a="http://schemas.openxmlformats.org/drawingml/2006/main" meth="withinLinear" id="19">
  <a:schemeClr val="accent6"/>
</cs:colorStyle>
</file>

<file path=word/charts/colors23.xml><?xml version="1.0" encoding="utf-8"?>
<cs:colorStyle xmlns:cs="http://schemas.microsoft.com/office/drawing/2012/chartStyle" xmlns:a="http://schemas.openxmlformats.org/drawingml/2006/main" meth="withinLinear" id="19">
  <a:schemeClr val="accent6"/>
</cs:colorStyle>
</file>

<file path=word/charts/colors24.xml><?xml version="1.0" encoding="utf-8"?>
<cs:colorStyle xmlns:cs="http://schemas.microsoft.com/office/drawing/2012/chartStyle" xmlns:a="http://schemas.openxmlformats.org/drawingml/2006/main" meth="withinLinear" id="19">
  <a:schemeClr val="accent6"/>
</cs:colorStyle>
</file>

<file path=word/charts/colors25.xml><?xml version="1.0" encoding="utf-8"?>
<cs:colorStyle xmlns:cs="http://schemas.microsoft.com/office/drawing/2012/chartStyle" xmlns:a="http://schemas.openxmlformats.org/drawingml/2006/main" meth="withinLinear" id="19">
  <a:schemeClr val="accent6"/>
</cs:colorStyle>
</file>

<file path=word/charts/colors26.xml><?xml version="1.0" encoding="utf-8"?>
<cs:colorStyle xmlns:cs="http://schemas.microsoft.com/office/drawing/2012/chartStyle" xmlns:a="http://schemas.openxmlformats.org/drawingml/2006/main" meth="withinLinear" id="19">
  <a:schemeClr val="accent6"/>
</cs:colorStyle>
</file>

<file path=word/charts/colors27.xml><?xml version="1.0" encoding="utf-8"?>
<cs:colorStyle xmlns:cs="http://schemas.microsoft.com/office/drawing/2012/chartStyle" xmlns:a="http://schemas.openxmlformats.org/drawingml/2006/main" meth="withinLinear" id="19">
  <a:schemeClr val="accent6"/>
</cs:colorStyle>
</file>

<file path=word/charts/colors28.xml><?xml version="1.0" encoding="utf-8"?>
<cs:colorStyle xmlns:cs="http://schemas.microsoft.com/office/drawing/2012/chartStyle" xmlns:a="http://schemas.openxmlformats.org/drawingml/2006/main" meth="withinLinear" id="19">
  <a:schemeClr val="accent6"/>
</cs:colorStyle>
</file>

<file path=word/charts/colors29.xml><?xml version="1.0" encoding="utf-8"?>
<cs:colorStyle xmlns:cs="http://schemas.microsoft.com/office/drawing/2012/chartStyle" xmlns:a="http://schemas.openxmlformats.org/drawingml/2006/main" meth="withinLinear" id="19">
  <a:schemeClr val="accent6"/>
</cs:colorStyle>
</file>

<file path=word/charts/colors3.xml><?xml version="1.0" encoding="utf-8"?>
<cs:colorStyle xmlns:cs="http://schemas.microsoft.com/office/drawing/2012/chartStyle" xmlns:a="http://schemas.openxmlformats.org/drawingml/2006/main" meth="withinLinear" id="19">
  <a:schemeClr val="accent6"/>
</cs:colorStyle>
</file>

<file path=word/charts/colors30.xml><?xml version="1.0" encoding="utf-8"?>
<cs:colorStyle xmlns:cs="http://schemas.microsoft.com/office/drawing/2012/chartStyle" xmlns:a="http://schemas.openxmlformats.org/drawingml/2006/main" meth="withinLinear" id="19">
  <a:schemeClr val="accent6"/>
</cs:colorStyle>
</file>

<file path=word/charts/colors31.xml><?xml version="1.0" encoding="utf-8"?>
<cs:colorStyle xmlns:cs="http://schemas.microsoft.com/office/drawing/2012/chartStyle" xmlns:a="http://schemas.openxmlformats.org/drawingml/2006/main" meth="withinLinear" id="19">
  <a:schemeClr val="accent6"/>
</cs:colorStyle>
</file>

<file path=word/charts/colors32.xml><?xml version="1.0" encoding="utf-8"?>
<cs:colorStyle xmlns:cs="http://schemas.microsoft.com/office/drawing/2012/chartStyle" xmlns:a="http://schemas.openxmlformats.org/drawingml/2006/main" meth="withinLinear" id="19">
  <a:schemeClr val="accent6"/>
</cs:colorStyle>
</file>

<file path=word/charts/colors33.xml><?xml version="1.0" encoding="utf-8"?>
<cs:colorStyle xmlns:cs="http://schemas.microsoft.com/office/drawing/2012/chartStyle" xmlns:a="http://schemas.openxmlformats.org/drawingml/2006/main" meth="withinLinear" id="19">
  <a:schemeClr val="accent6"/>
</cs:colorStyle>
</file>

<file path=word/charts/colors34.xml><?xml version="1.0" encoding="utf-8"?>
<cs:colorStyle xmlns:cs="http://schemas.microsoft.com/office/drawing/2012/chartStyle" xmlns:a="http://schemas.openxmlformats.org/drawingml/2006/main" meth="withinLinear" id="19">
  <a:schemeClr val="accent6"/>
</cs:colorStyle>
</file>

<file path=word/charts/colors35.xml><?xml version="1.0" encoding="utf-8"?>
<cs:colorStyle xmlns:cs="http://schemas.microsoft.com/office/drawing/2012/chartStyle" xmlns:a="http://schemas.openxmlformats.org/drawingml/2006/main" meth="withinLinear" id="19">
  <a:schemeClr val="accent6"/>
</cs:colorStyle>
</file>

<file path=word/charts/colors36.xml><?xml version="1.0" encoding="utf-8"?>
<cs:colorStyle xmlns:cs="http://schemas.microsoft.com/office/drawing/2012/chartStyle" xmlns:a="http://schemas.openxmlformats.org/drawingml/2006/main" meth="withinLinear" id="19">
  <a:schemeClr val="accent6"/>
</cs:colorStyle>
</file>

<file path=word/charts/colors37.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withinLinearReversed" id="26">
  <a:schemeClr val="accent6"/>
</cs:colorStyle>
</file>

<file path=word/charts/colors5.xml><?xml version="1.0" encoding="utf-8"?>
<cs:colorStyle xmlns:cs="http://schemas.microsoft.com/office/drawing/2012/chartStyle" xmlns:a="http://schemas.openxmlformats.org/drawingml/2006/main" meth="withinLinear" id="19">
  <a:schemeClr val="accent6"/>
</cs:colorStyle>
</file>

<file path=word/charts/colors6.xml><?xml version="1.0" encoding="utf-8"?>
<cs:colorStyle xmlns:cs="http://schemas.microsoft.com/office/drawing/2012/chartStyle" xmlns:a="http://schemas.openxmlformats.org/drawingml/2006/main" meth="withinLinear" id="19">
  <a:schemeClr val="accent6"/>
</cs:colorStyle>
</file>

<file path=word/charts/colors7.xml><?xml version="1.0" encoding="utf-8"?>
<cs:colorStyle xmlns:cs="http://schemas.microsoft.com/office/drawing/2012/chartStyle" xmlns:a="http://schemas.openxmlformats.org/drawingml/2006/main" meth="withinLinearReversed" id="26">
  <a:schemeClr val="accent6"/>
</cs:colorStyle>
</file>

<file path=word/charts/colors8.xml><?xml version="1.0" encoding="utf-8"?>
<cs:colorStyle xmlns:cs="http://schemas.microsoft.com/office/drawing/2012/chartStyle" xmlns:a="http://schemas.openxmlformats.org/drawingml/2006/main" meth="withinLinearReversed" id="26">
  <a:schemeClr val="accent6"/>
</cs:colorStyle>
</file>

<file path=word/charts/colors9.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jpeg"/><Relationship Id="rId5" Type="http://schemas.openxmlformats.org/officeDocument/2006/relationships/image" Target="../media/image11.jpg"/><Relationship Id="rId4" Type="http://schemas.openxmlformats.org/officeDocument/2006/relationships/image" Target="../media/image10.png"/></Relationships>
</file>

<file path=word/diagrams/_rels/data2.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g"/><Relationship Id="rId1" Type="http://schemas.openxmlformats.org/officeDocument/2006/relationships/image" Target="../media/image12.jpeg"/><Relationship Id="rId5" Type="http://schemas.openxmlformats.org/officeDocument/2006/relationships/image" Target="../media/image16.jpeg"/><Relationship Id="rId4" Type="http://schemas.openxmlformats.org/officeDocument/2006/relationships/image" Target="../media/image15.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jpeg"/><Relationship Id="rId5" Type="http://schemas.openxmlformats.org/officeDocument/2006/relationships/image" Target="../media/image11.jpg"/><Relationship Id="rId4" Type="http://schemas.openxmlformats.org/officeDocument/2006/relationships/image" Target="../media/image10.png"/></Relationships>
</file>

<file path=word/diagrams/_rels/drawing2.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g"/><Relationship Id="rId1" Type="http://schemas.openxmlformats.org/officeDocument/2006/relationships/image" Target="../media/image12.jpeg"/><Relationship Id="rId5" Type="http://schemas.openxmlformats.org/officeDocument/2006/relationships/image" Target="../media/image16.jpeg"/><Relationship Id="rId4" Type="http://schemas.openxmlformats.org/officeDocument/2006/relationships/image" Target="../media/image15.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29D8FA4-9586-4CDC-A34C-40A43788838A}" type="doc">
      <dgm:prSet loTypeId="urn:microsoft.com/office/officeart/2005/8/layout/vList4" loCatId="list" qsTypeId="urn:microsoft.com/office/officeart/2005/8/quickstyle/simple4" qsCatId="simple" csTypeId="urn:microsoft.com/office/officeart/2005/8/colors/accent0_1" csCatId="mainScheme" phldr="1"/>
      <dgm:spPr/>
      <dgm:t>
        <a:bodyPr/>
        <a:lstStyle/>
        <a:p>
          <a:endParaRPr lang="pl-PL"/>
        </a:p>
      </dgm:t>
    </dgm:pt>
    <dgm:pt modelId="{90CFDAC3-A32F-4357-9936-E93245B4A6F1}">
      <dgm:prSet phldrT="[Tekst]" custT="1"/>
      <dgm: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entrepreneurship and innovation</a:t>
          </a:r>
          <a:endPar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913BCAA7-C097-4124-9929-CD7E4A7808EB}" type="parTrans" cxnId="{767CC210-0DC3-42C2-8063-8EED12B37847}">
      <dgm:prSet/>
      <dgm:spPr/>
      <dgm:t>
        <a:bodyPr/>
        <a:lstStyle/>
        <a:p>
          <a:endParaRPr lang="pl-PL" sz="1000">
            <a:latin typeface="Times New Roman" panose="02020603050405020304" pitchFamily="18" charset="0"/>
            <a:cs typeface="Times New Roman" panose="02020603050405020304" pitchFamily="18" charset="0"/>
          </a:endParaRPr>
        </a:p>
      </dgm:t>
    </dgm:pt>
    <dgm:pt modelId="{FB463EAD-1CD0-445C-8D25-3C1A347BA44D}" type="sibTrans" cxnId="{767CC210-0DC3-42C2-8063-8EED12B37847}">
      <dgm:prSet/>
      <dgm:spPr/>
      <dgm:t>
        <a:bodyPr/>
        <a:lstStyle/>
        <a:p>
          <a:endParaRPr lang="pl-PL" sz="1000">
            <a:latin typeface="Times New Roman" panose="02020603050405020304" pitchFamily="18" charset="0"/>
            <a:cs typeface="Times New Roman" panose="02020603050405020304" pitchFamily="18" charset="0"/>
          </a:endParaRPr>
        </a:p>
      </dgm:t>
    </dgm:pt>
    <dgm:pt modelId="{5FC29A76-78A4-4FDF-AF7F-BAA1F79C824C}">
      <dgm:prSet phldrT="[Tekst]" custT="1"/>
      <dgm: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3096 projects were implemented in the scope of direct investment support for SMEs,</a:t>
          </a:r>
        </a:p>
      </dgm:t>
    </dgm:pt>
    <dgm:pt modelId="{932FA4EA-A8AF-4538-8155-198BDD87040A}" type="parTrans" cxnId="{9484187F-0FBF-40B0-85EE-F2E6A0887769}">
      <dgm:prSet/>
      <dgm:spPr/>
      <dgm:t>
        <a:bodyPr/>
        <a:lstStyle/>
        <a:p>
          <a:endParaRPr lang="pl-PL" sz="1000">
            <a:latin typeface="Times New Roman" panose="02020603050405020304" pitchFamily="18" charset="0"/>
            <a:cs typeface="Times New Roman" panose="02020603050405020304" pitchFamily="18" charset="0"/>
          </a:endParaRPr>
        </a:p>
      </dgm:t>
    </dgm:pt>
    <dgm:pt modelId="{4816765B-0F01-4DEB-B301-D79F59C58139}" type="sibTrans" cxnId="{9484187F-0FBF-40B0-85EE-F2E6A0887769}">
      <dgm:prSet/>
      <dgm:spPr/>
      <dgm:t>
        <a:bodyPr/>
        <a:lstStyle/>
        <a:p>
          <a:endParaRPr lang="pl-PL" sz="1000">
            <a:latin typeface="Times New Roman" panose="02020603050405020304" pitchFamily="18" charset="0"/>
            <a:cs typeface="Times New Roman" panose="02020603050405020304" pitchFamily="18" charset="0"/>
          </a:endParaRPr>
        </a:p>
      </dgm:t>
    </dgm:pt>
    <dgm:pt modelId="{C40624AE-EA77-4D7C-BDC5-5280CD8D4A98}">
      <dgm:prSet phldrT="[Tekst]" custT="1"/>
      <dgm: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522 projects were implemented in the scope of direct investment support for SMEs,</a:t>
          </a:r>
        </a:p>
      </dgm:t>
    </dgm:pt>
    <dgm:pt modelId="{3983010D-1D29-40E7-B834-91FE728D73A4}" type="parTrans" cxnId="{127FC86F-183A-4989-8EAC-EDD8BAB1C956}">
      <dgm:prSet/>
      <dgm:spPr/>
      <dgm:t>
        <a:bodyPr/>
        <a:lstStyle/>
        <a:p>
          <a:endParaRPr lang="pl-PL" sz="1000">
            <a:latin typeface="Times New Roman" panose="02020603050405020304" pitchFamily="18" charset="0"/>
            <a:cs typeface="Times New Roman" panose="02020603050405020304" pitchFamily="18" charset="0"/>
          </a:endParaRPr>
        </a:p>
      </dgm:t>
    </dgm:pt>
    <dgm:pt modelId="{F6D67EC8-6B75-49B5-9CD2-857BBC352168}" type="sibTrans" cxnId="{127FC86F-183A-4989-8EAC-EDD8BAB1C956}">
      <dgm:prSet/>
      <dgm:spPr/>
      <dgm:t>
        <a:bodyPr/>
        <a:lstStyle/>
        <a:p>
          <a:endParaRPr lang="pl-PL" sz="1000">
            <a:latin typeface="Times New Roman" panose="02020603050405020304" pitchFamily="18" charset="0"/>
            <a:cs typeface="Times New Roman" panose="02020603050405020304" pitchFamily="18" charset="0"/>
          </a:endParaRPr>
        </a:p>
      </dgm:t>
    </dgm:pt>
    <dgm:pt modelId="{251E3682-3EE1-4A22-B76B-4A76590B12D2}">
      <dgm:prSet phldrT="[Tekst]" custT="1"/>
      <dgm:spPr>
        <a:xfrm>
          <a:off x="0" y="184585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endPar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l"/>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Information Society</a:t>
          </a:r>
          <a:endPar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71F0BA17-EBA2-4556-98C0-03D28225CD9E}" type="parTrans" cxnId="{42E9C89F-DA44-4BB2-B7D3-21E87D2BB0B7}">
      <dgm:prSet/>
      <dgm:spPr/>
      <dgm:t>
        <a:bodyPr/>
        <a:lstStyle/>
        <a:p>
          <a:endParaRPr lang="pl-PL" sz="1000">
            <a:latin typeface="Times New Roman" panose="02020603050405020304" pitchFamily="18" charset="0"/>
            <a:cs typeface="Times New Roman" panose="02020603050405020304" pitchFamily="18" charset="0"/>
          </a:endParaRPr>
        </a:p>
      </dgm:t>
    </dgm:pt>
    <dgm:pt modelId="{14A19171-01D3-4698-B711-F07F169EE9B5}" type="sibTrans" cxnId="{42E9C89F-DA44-4BB2-B7D3-21E87D2BB0B7}">
      <dgm:prSet/>
      <dgm:spPr/>
      <dgm:t>
        <a:bodyPr/>
        <a:lstStyle/>
        <a:p>
          <a:endParaRPr lang="pl-PL" sz="1000">
            <a:latin typeface="Times New Roman" panose="02020603050405020304" pitchFamily="18" charset="0"/>
            <a:cs typeface="Times New Roman" panose="02020603050405020304" pitchFamily="18" charset="0"/>
          </a:endParaRPr>
        </a:p>
      </dgm:t>
    </dgm:pt>
    <dgm:pt modelId="{69B457AD-00B6-45B4-9E82-D0AF7282BC90}">
      <dgm:prSet phldrT="[Tekst]" custT="1"/>
      <dgm:spPr>
        <a:xfrm>
          <a:off x="0" y="184585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227 projects were implented  projektów</a:t>
          </a:r>
        </a:p>
      </dgm:t>
    </dgm:pt>
    <dgm:pt modelId="{8F8CD980-C4C1-43C4-B601-295C3D9DD9AA}" type="parTrans" cxnId="{69C74DD3-EEAB-4A07-BEFC-9335786E8191}">
      <dgm:prSet/>
      <dgm:spPr/>
      <dgm:t>
        <a:bodyPr/>
        <a:lstStyle/>
        <a:p>
          <a:endParaRPr lang="pl-PL" sz="1000">
            <a:latin typeface="Times New Roman" panose="02020603050405020304" pitchFamily="18" charset="0"/>
            <a:cs typeface="Times New Roman" panose="02020603050405020304" pitchFamily="18" charset="0"/>
          </a:endParaRPr>
        </a:p>
      </dgm:t>
    </dgm:pt>
    <dgm:pt modelId="{767314A5-D9A4-4C31-9B61-CEDC16C0D9CB}" type="sibTrans" cxnId="{69C74DD3-EEAB-4A07-BEFC-9335786E8191}">
      <dgm:prSet/>
      <dgm:spPr/>
      <dgm:t>
        <a:bodyPr/>
        <a:lstStyle/>
        <a:p>
          <a:endParaRPr lang="pl-PL" sz="1000">
            <a:latin typeface="Times New Roman" panose="02020603050405020304" pitchFamily="18" charset="0"/>
            <a:cs typeface="Times New Roman" panose="02020603050405020304" pitchFamily="18" charset="0"/>
          </a:endParaRPr>
        </a:p>
      </dgm:t>
    </dgm:pt>
    <dgm:pt modelId="{6A39A677-9DEB-46B3-85F9-D8CCFFB49241}">
      <dgm:prSet phldrT="[Tekst]" custT="1"/>
      <dgm:spPr>
        <a:xfrm>
          <a:off x="0" y="354039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tourism</a:t>
          </a:r>
          <a:endPar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9881EAD1-61CD-44A6-8A07-A1390E157FA9}" type="parTrans" cxnId="{FE81C4D2-33F6-4B7D-998B-A332BA5BBDA3}">
      <dgm:prSet/>
      <dgm:spPr/>
      <dgm:t>
        <a:bodyPr/>
        <a:lstStyle/>
        <a:p>
          <a:endParaRPr lang="pl-PL" sz="1000">
            <a:latin typeface="Times New Roman" panose="02020603050405020304" pitchFamily="18" charset="0"/>
            <a:cs typeface="Times New Roman" panose="02020603050405020304" pitchFamily="18" charset="0"/>
          </a:endParaRPr>
        </a:p>
      </dgm:t>
    </dgm:pt>
    <dgm:pt modelId="{DD8E2FC5-B051-41E8-9195-A9E0C2C4C874}" type="sibTrans" cxnId="{FE81C4D2-33F6-4B7D-998B-A332BA5BBDA3}">
      <dgm:prSet/>
      <dgm:spPr/>
      <dgm:t>
        <a:bodyPr/>
        <a:lstStyle/>
        <a:p>
          <a:endParaRPr lang="pl-PL" sz="1000">
            <a:latin typeface="Times New Roman" panose="02020603050405020304" pitchFamily="18" charset="0"/>
            <a:cs typeface="Times New Roman" panose="02020603050405020304" pitchFamily="18" charset="0"/>
          </a:endParaRPr>
        </a:p>
      </dgm:t>
    </dgm:pt>
    <dgm:pt modelId="{3D1351E5-7469-4E57-851D-4AAA498CE853}">
      <dgm:prSet phldrT="[Tekst]" custT="1"/>
      <dgm:spPr>
        <a:xfrm>
          <a:off x="0" y="354039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548 projects were implemented in the scope of tourism,</a:t>
          </a:r>
        </a:p>
      </dgm:t>
    </dgm:pt>
    <dgm:pt modelId="{6CF0F2D0-82B9-4435-8959-890E5C8C445A}" type="parTrans" cxnId="{9947966C-ACFF-4C5F-9965-431D9A2F82DD}">
      <dgm:prSet/>
      <dgm:spPr/>
      <dgm:t>
        <a:bodyPr/>
        <a:lstStyle/>
        <a:p>
          <a:endParaRPr lang="pl-PL" sz="1000">
            <a:latin typeface="Times New Roman" panose="02020603050405020304" pitchFamily="18" charset="0"/>
            <a:cs typeface="Times New Roman" panose="02020603050405020304" pitchFamily="18" charset="0"/>
          </a:endParaRPr>
        </a:p>
      </dgm:t>
    </dgm:pt>
    <dgm:pt modelId="{2081240C-0CD6-4AB4-91DC-5C1457CFA2BA}" type="sibTrans" cxnId="{9947966C-ACFF-4C5F-9965-431D9A2F82DD}">
      <dgm:prSet/>
      <dgm:spPr/>
      <dgm:t>
        <a:bodyPr/>
        <a:lstStyle/>
        <a:p>
          <a:endParaRPr lang="pl-PL" sz="1000">
            <a:latin typeface="Times New Roman" panose="02020603050405020304" pitchFamily="18" charset="0"/>
            <a:cs typeface="Times New Roman" panose="02020603050405020304" pitchFamily="18" charset="0"/>
          </a:endParaRPr>
        </a:p>
      </dgm:t>
    </dgm:pt>
    <dgm:pt modelId="{C98E9E31-00DE-494F-9EFB-832999C2A645}">
      <dgm:prSet phldrT="[Tekst]" custT="1"/>
      <dgm:spPr>
        <a:xfrm>
          <a:off x="0" y="354039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revenues from tourism infrastructures are 89.56 million EUR,</a:t>
          </a:r>
        </a:p>
      </dgm:t>
    </dgm:pt>
    <dgm:pt modelId="{CE7C87E7-7017-4532-9B17-3CA8CDFA94C1}" type="parTrans" cxnId="{299266D5-F406-4009-9E0E-C8A34CBB05BD}">
      <dgm:prSet/>
      <dgm:spPr/>
      <dgm:t>
        <a:bodyPr/>
        <a:lstStyle/>
        <a:p>
          <a:endParaRPr lang="pl-PL" sz="1000">
            <a:latin typeface="Times New Roman" panose="02020603050405020304" pitchFamily="18" charset="0"/>
            <a:cs typeface="Times New Roman" panose="02020603050405020304" pitchFamily="18" charset="0"/>
          </a:endParaRPr>
        </a:p>
      </dgm:t>
    </dgm:pt>
    <dgm:pt modelId="{6138D2F4-CDFE-45F2-850F-2DCED31A5A1C}" type="sibTrans" cxnId="{299266D5-F406-4009-9E0E-C8A34CBB05BD}">
      <dgm:prSet/>
      <dgm:spPr/>
      <dgm:t>
        <a:bodyPr/>
        <a:lstStyle/>
        <a:p>
          <a:endParaRPr lang="pl-PL" sz="1000">
            <a:latin typeface="Times New Roman" panose="02020603050405020304" pitchFamily="18" charset="0"/>
            <a:cs typeface="Times New Roman" panose="02020603050405020304" pitchFamily="18" charset="0"/>
          </a:endParaRPr>
        </a:p>
      </dgm:t>
    </dgm:pt>
    <dgm:pt modelId="{DAEC7B28-8629-40A2-8045-7C923C20CE5B}">
      <dgm:prSet phldrT="[Tekst]" custT="1"/>
      <dgm: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1987 enterprises were supported,</a:t>
          </a:r>
        </a:p>
      </dgm:t>
    </dgm:pt>
    <dgm:pt modelId="{92F60D14-0189-4416-87D4-C3FD302F0D78}" type="parTrans" cxnId="{88DFA755-5295-40D7-91E2-A3ADFC112B97}">
      <dgm:prSet/>
      <dgm:spPr/>
      <dgm:t>
        <a:bodyPr/>
        <a:lstStyle/>
        <a:p>
          <a:endParaRPr lang="pl-PL" sz="1000">
            <a:latin typeface="Times New Roman" panose="02020603050405020304" pitchFamily="18" charset="0"/>
            <a:cs typeface="Times New Roman" panose="02020603050405020304" pitchFamily="18" charset="0"/>
          </a:endParaRPr>
        </a:p>
      </dgm:t>
    </dgm:pt>
    <dgm:pt modelId="{C1D63250-B2A3-41BB-85B4-F0B69B0B0A27}" type="sibTrans" cxnId="{88DFA755-5295-40D7-91E2-A3ADFC112B97}">
      <dgm:prSet/>
      <dgm:spPr/>
      <dgm:t>
        <a:bodyPr/>
        <a:lstStyle/>
        <a:p>
          <a:endParaRPr lang="pl-PL" sz="1000">
            <a:latin typeface="Times New Roman" panose="02020603050405020304" pitchFamily="18" charset="0"/>
            <a:cs typeface="Times New Roman" panose="02020603050405020304" pitchFamily="18" charset="0"/>
          </a:endParaRPr>
        </a:p>
      </dgm:t>
    </dgm:pt>
    <dgm:pt modelId="{C11145D0-19B4-4BED-AC07-6E61CB3A41C1}">
      <dgm:prSet phldrT="[Tekst]" custT="1"/>
      <dgm: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solidFill>
              <a:latin typeface="Times New Roman" panose="02020603050405020304" pitchFamily="18" charset="0"/>
              <a:ea typeface="+mn-ea"/>
              <a:cs typeface="Times New Roman" panose="02020603050405020304" pitchFamily="18" charset="0"/>
            </a:rPr>
            <a:t>42 new investments localised in the supported incubators, business or technological parks</a:t>
          </a:r>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gm:t>
    </dgm:pt>
    <dgm:pt modelId="{A2498AEC-05AC-4F4E-97BA-39D3F891C6CD}" type="parTrans" cxnId="{28EAE620-CC79-48FA-A318-0C04769C9EE0}">
      <dgm:prSet/>
      <dgm:spPr/>
      <dgm:t>
        <a:bodyPr/>
        <a:lstStyle/>
        <a:p>
          <a:endParaRPr lang="pl-PL" sz="1000">
            <a:latin typeface="Times New Roman" panose="02020603050405020304" pitchFamily="18" charset="0"/>
            <a:cs typeface="Times New Roman" panose="02020603050405020304" pitchFamily="18" charset="0"/>
          </a:endParaRPr>
        </a:p>
      </dgm:t>
    </dgm:pt>
    <dgm:pt modelId="{94C6DAB5-53B5-459F-BAA7-842AE8379ACA}" type="sibTrans" cxnId="{28EAE620-CC79-48FA-A318-0C04769C9EE0}">
      <dgm:prSet/>
      <dgm:spPr/>
      <dgm:t>
        <a:bodyPr/>
        <a:lstStyle/>
        <a:p>
          <a:endParaRPr lang="pl-PL" sz="1000">
            <a:latin typeface="Times New Roman" panose="02020603050405020304" pitchFamily="18" charset="0"/>
            <a:cs typeface="Times New Roman" panose="02020603050405020304" pitchFamily="18" charset="0"/>
          </a:endParaRPr>
        </a:p>
      </dgm:t>
    </dgm:pt>
    <dgm:pt modelId="{BDE47B9A-BAC7-429F-9394-A6D0F5F0F99D}">
      <dgm:prSet phldrT="[Tekst]" custT="1"/>
      <dgm: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28 R&amp;D institutions supported under ROP.</a:t>
          </a:r>
        </a:p>
      </dgm:t>
    </dgm:pt>
    <dgm:pt modelId="{E131F322-A58E-4BF0-BAC2-23251B759527}" type="parTrans" cxnId="{3705EA2E-CFC3-4419-9863-E6A2BE2B5307}">
      <dgm:prSet/>
      <dgm:spPr/>
      <dgm:t>
        <a:bodyPr/>
        <a:lstStyle/>
        <a:p>
          <a:endParaRPr lang="pl-PL" sz="1000">
            <a:latin typeface="Times New Roman" panose="02020603050405020304" pitchFamily="18" charset="0"/>
            <a:cs typeface="Times New Roman" panose="02020603050405020304" pitchFamily="18" charset="0"/>
          </a:endParaRPr>
        </a:p>
      </dgm:t>
    </dgm:pt>
    <dgm:pt modelId="{D4E609FF-896D-4ABD-8F78-9F2ECA7070CB}" type="sibTrans" cxnId="{3705EA2E-CFC3-4419-9863-E6A2BE2B5307}">
      <dgm:prSet/>
      <dgm:spPr/>
      <dgm:t>
        <a:bodyPr/>
        <a:lstStyle/>
        <a:p>
          <a:endParaRPr lang="pl-PL" sz="1000">
            <a:latin typeface="Times New Roman" panose="02020603050405020304" pitchFamily="18" charset="0"/>
            <a:cs typeface="Times New Roman" panose="02020603050405020304" pitchFamily="18" charset="0"/>
          </a:endParaRPr>
        </a:p>
      </dgm:t>
    </dgm:pt>
    <dgm:pt modelId="{1126331F-BAA3-4218-8538-F7DEFB6E8C1F}">
      <dgm:prSet phldrT="[Tekst]" custT="1"/>
      <dgm:spPr>
        <a:xfrm>
          <a:off x="0" y="184585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the length of broadband Internet network was 1235 km</a:t>
          </a:r>
        </a:p>
      </dgm:t>
    </dgm:pt>
    <dgm:pt modelId="{03188E37-5367-447C-8DAF-B33FC2EA542C}" type="parTrans" cxnId="{11E35FC4-DDCE-45B2-9520-DB9A14223837}">
      <dgm:prSet/>
      <dgm:spPr/>
      <dgm:t>
        <a:bodyPr/>
        <a:lstStyle/>
        <a:p>
          <a:endParaRPr lang="pl-PL" sz="1000">
            <a:latin typeface="Times New Roman" panose="02020603050405020304" pitchFamily="18" charset="0"/>
            <a:cs typeface="Times New Roman" panose="02020603050405020304" pitchFamily="18" charset="0"/>
          </a:endParaRPr>
        </a:p>
      </dgm:t>
    </dgm:pt>
    <dgm:pt modelId="{C2D25EE0-D557-4205-A8CF-C220C8CD3B94}" type="sibTrans" cxnId="{11E35FC4-DDCE-45B2-9520-DB9A14223837}">
      <dgm:prSet/>
      <dgm:spPr/>
      <dgm:t>
        <a:bodyPr/>
        <a:lstStyle/>
        <a:p>
          <a:endParaRPr lang="pl-PL" sz="1000">
            <a:latin typeface="Times New Roman" panose="02020603050405020304" pitchFamily="18" charset="0"/>
            <a:cs typeface="Times New Roman" panose="02020603050405020304" pitchFamily="18" charset="0"/>
          </a:endParaRPr>
        </a:p>
      </dgm:t>
    </dgm:pt>
    <dgm:pt modelId="{C85C8832-D10D-45A8-BF3A-BCFF8D9AA957}">
      <dgm:prSet phldrT="[Tekst]" custT="1"/>
      <dgm:spPr>
        <a:xfrm>
          <a:off x="0" y="354039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123 programme offers were promoted in the scope of tourism,</a:t>
          </a:r>
        </a:p>
      </dgm:t>
    </dgm:pt>
    <dgm:pt modelId="{85F8196C-DF93-4DC1-97EB-4A4808FE3B45}" type="parTrans" cxnId="{1A7C25F9-04DA-43D2-92DB-C560B5733CAE}">
      <dgm:prSet/>
      <dgm:spPr/>
      <dgm:t>
        <a:bodyPr/>
        <a:lstStyle/>
        <a:p>
          <a:endParaRPr lang="pl-PL" sz="1000">
            <a:latin typeface="Times New Roman" panose="02020603050405020304" pitchFamily="18" charset="0"/>
            <a:cs typeface="Times New Roman" panose="02020603050405020304" pitchFamily="18" charset="0"/>
          </a:endParaRPr>
        </a:p>
      </dgm:t>
    </dgm:pt>
    <dgm:pt modelId="{18DF41CA-943D-4445-8AB0-B537681DBACD}" type="sibTrans" cxnId="{1A7C25F9-04DA-43D2-92DB-C560B5733CAE}">
      <dgm:prSet/>
      <dgm:spPr/>
      <dgm:t>
        <a:bodyPr/>
        <a:lstStyle/>
        <a:p>
          <a:endParaRPr lang="pl-PL" sz="1000">
            <a:latin typeface="Times New Roman" panose="02020603050405020304" pitchFamily="18" charset="0"/>
            <a:cs typeface="Times New Roman" panose="02020603050405020304" pitchFamily="18" charset="0"/>
          </a:endParaRPr>
        </a:p>
      </dgm:t>
    </dgm:pt>
    <dgm:pt modelId="{55F773E0-F3F9-45FB-9D7A-6927542207BD}">
      <dgm:prSet phldrT="[Tekst]" custT="1"/>
      <dgm:spPr>
        <a:xfrm>
          <a:off x="0" y="354039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13 million unique people benefited from tourism infrastructure covered by programme support. </a:t>
          </a:r>
        </a:p>
      </dgm:t>
    </dgm:pt>
    <dgm:pt modelId="{2A4219C1-6BF8-46C9-97EB-5A1EA2D6ED62}" type="parTrans" cxnId="{70C335B2-6DFA-40EF-B877-FF21BD0A2E2E}">
      <dgm:prSet/>
      <dgm:spPr/>
      <dgm:t>
        <a:bodyPr/>
        <a:lstStyle/>
        <a:p>
          <a:endParaRPr lang="pl-PL" sz="1000">
            <a:latin typeface="Times New Roman" panose="02020603050405020304" pitchFamily="18" charset="0"/>
            <a:cs typeface="Times New Roman" panose="02020603050405020304" pitchFamily="18" charset="0"/>
          </a:endParaRPr>
        </a:p>
      </dgm:t>
    </dgm:pt>
    <dgm:pt modelId="{272934B7-FB23-4CBE-B7FB-DF37829CD993}" type="sibTrans" cxnId="{70C335B2-6DFA-40EF-B877-FF21BD0A2E2E}">
      <dgm:prSet/>
      <dgm:spPr/>
      <dgm:t>
        <a:bodyPr/>
        <a:lstStyle/>
        <a:p>
          <a:endParaRPr lang="pl-PL" sz="1000">
            <a:latin typeface="Times New Roman" panose="02020603050405020304" pitchFamily="18" charset="0"/>
            <a:cs typeface="Times New Roman" panose="02020603050405020304" pitchFamily="18" charset="0"/>
          </a:endParaRPr>
        </a:p>
      </dgm:t>
    </dgm:pt>
    <dgm:pt modelId="{A80F3F74-989E-4849-BA25-A38ED19D2D1F}">
      <dgm:prSet custT="1"/>
      <dgm:spPr>
        <a:xfrm>
          <a:off x="0" y="5206550"/>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Cultural heritage </a:t>
          </a:r>
        </a:p>
      </dgm:t>
    </dgm:pt>
    <dgm:pt modelId="{65AAD2C6-346D-4071-B6AA-8405417D04E2}" type="parTrans" cxnId="{E79EE0C2-C9E3-45F8-900E-3FEE8D2B6577}">
      <dgm:prSet/>
      <dgm:spPr/>
      <dgm:t>
        <a:bodyPr/>
        <a:lstStyle/>
        <a:p>
          <a:endParaRPr lang="pl-PL" sz="1000">
            <a:latin typeface="Times New Roman" panose="02020603050405020304" pitchFamily="18" charset="0"/>
            <a:cs typeface="Times New Roman" panose="02020603050405020304" pitchFamily="18" charset="0"/>
          </a:endParaRPr>
        </a:p>
      </dgm:t>
    </dgm:pt>
    <dgm:pt modelId="{F6EE1FDF-A152-45B1-92B8-4E68C6C5177B}" type="sibTrans" cxnId="{E79EE0C2-C9E3-45F8-900E-3FEE8D2B6577}">
      <dgm:prSet/>
      <dgm:spPr/>
      <dgm:t>
        <a:bodyPr/>
        <a:lstStyle/>
        <a:p>
          <a:endParaRPr lang="pl-PL" sz="1000">
            <a:latin typeface="Times New Roman" panose="02020603050405020304" pitchFamily="18" charset="0"/>
            <a:cs typeface="Times New Roman" panose="02020603050405020304" pitchFamily="18" charset="0"/>
          </a:endParaRPr>
        </a:p>
      </dgm:t>
    </dgm:pt>
    <dgm:pt modelId="{CB475959-630C-40C0-8CED-7CE71E1A8908}">
      <dgm:prSet custT="1"/>
      <dgm: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Environment protection and reclamation</a:t>
          </a:r>
        </a:p>
      </dgm:t>
    </dgm:pt>
    <dgm:pt modelId="{96ABDB87-D69B-4176-B2B7-DFF511F683BE}" type="parTrans" cxnId="{841E3418-9D0C-4C92-9FC6-97B3F0C28A22}">
      <dgm:prSet/>
      <dgm:spPr/>
      <dgm:t>
        <a:bodyPr/>
        <a:lstStyle/>
        <a:p>
          <a:endParaRPr lang="pl-PL" sz="1000">
            <a:latin typeface="Times New Roman" panose="02020603050405020304" pitchFamily="18" charset="0"/>
            <a:cs typeface="Times New Roman" panose="02020603050405020304" pitchFamily="18" charset="0"/>
          </a:endParaRPr>
        </a:p>
      </dgm:t>
    </dgm:pt>
    <dgm:pt modelId="{30732F5A-E58F-4692-955E-B0489E5D6F6C}" type="sibTrans" cxnId="{841E3418-9D0C-4C92-9FC6-97B3F0C28A22}">
      <dgm:prSet/>
      <dgm:spPr/>
      <dgm:t>
        <a:bodyPr/>
        <a:lstStyle/>
        <a:p>
          <a:endParaRPr lang="pl-PL" sz="1000">
            <a:latin typeface="Times New Roman" panose="02020603050405020304" pitchFamily="18" charset="0"/>
            <a:cs typeface="Times New Roman" panose="02020603050405020304" pitchFamily="18" charset="0"/>
          </a:endParaRPr>
        </a:p>
      </dgm:t>
    </dgm:pt>
    <dgm:pt modelId="{A865418D-5B7C-4F1B-A937-B8DDFE6984B8}">
      <dgm:prSet custT="1"/>
      <dgm:spPr>
        <a:xfrm>
          <a:off x="0" y="5206550"/>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142 projects were implemented supporting the culture sector,</a:t>
          </a:r>
        </a:p>
      </dgm:t>
    </dgm:pt>
    <dgm:pt modelId="{1B189465-1846-4B36-B0DE-8D67EA7D9CD4}" type="parTrans" cxnId="{53A614B4-4FAD-45CE-9789-E8F90CF41AC4}">
      <dgm:prSet/>
      <dgm:spPr/>
      <dgm:t>
        <a:bodyPr/>
        <a:lstStyle/>
        <a:p>
          <a:endParaRPr lang="pl-PL" sz="1000">
            <a:latin typeface="Times New Roman" panose="02020603050405020304" pitchFamily="18" charset="0"/>
            <a:cs typeface="Times New Roman" panose="02020603050405020304" pitchFamily="18" charset="0"/>
          </a:endParaRPr>
        </a:p>
      </dgm:t>
    </dgm:pt>
    <dgm:pt modelId="{31812FB5-89D8-436A-B711-8BBCB5E47632}" type="sibTrans" cxnId="{53A614B4-4FAD-45CE-9789-E8F90CF41AC4}">
      <dgm:prSet/>
      <dgm:spPr/>
      <dgm:t>
        <a:bodyPr/>
        <a:lstStyle/>
        <a:p>
          <a:endParaRPr lang="pl-PL" sz="1000">
            <a:latin typeface="Times New Roman" panose="02020603050405020304" pitchFamily="18" charset="0"/>
            <a:cs typeface="Times New Roman" panose="02020603050405020304" pitchFamily="18" charset="0"/>
          </a:endParaRPr>
        </a:p>
      </dgm:t>
    </dgm:pt>
    <dgm:pt modelId="{FDD06492-58FA-47DF-8BE9-1B7466F33028}">
      <dgm:prSet custT="1"/>
      <dgm: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as a result of the project, 48 201 people were connected to sewerage system,</a:t>
          </a:r>
        </a:p>
      </dgm:t>
    </dgm:pt>
    <dgm:pt modelId="{376D0675-F446-49BF-B378-83DFF21294CF}" type="parTrans" cxnId="{22B9AFE5-6C41-4D44-BA78-D3CE2C9FEE92}">
      <dgm:prSet/>
      <dgm:spPr/>
      <dgm:t>
        <a:bodyPr/>
        <a:lstStyle/>
        <a:p>
          <a:endParaRPr lang="pl-PL" sz="1000">
            <a:latin typeface="Times New Roman" panose="02020603050405020304" pitchFamily="18" charset="0"/>
            <a:cs typeface="Times New Roman" panose="02020603050405020304" pitchFamily="18" charset="0"/>
          </a:endParaRPr>
        </a:p>
      </dgm:t>
    </dgm:pt>
    <dgm:pt modelId="{44B5D1DE-850D-40EE-8151-9CEB75C13177}" type="sibTrans" cxnId="{22B9AFE5-6C41-4D44-BA78-D3CE2C9FEE92}">
      <dgm:prSet/>
      <dgm:spPr/>
      <dgm:t>
        <a:bodyPr/>
        <a:lstStyle/>
        <a:p>
          <a:endParaRPr lang="pl-PL" sz="1000">
            <a:latin typeface="Times New Roman" panose="02020603050405020304" pitchFamily="18" charset="0"/>
            <a:cs typeface="Times New Roman" panose="02020603050405020304" pitchFamily="18" charset="0"/>
          </a:endParaRPr>
        </a:p>
      </dgm:t>
    </dgm:pt>
    <dgm:pt modelId="{37E70605-FC6E-4AF6-80EC-F8135733A046}">
      <dgm:prSet custT="1"/>
      <dgm:spPr>
        <a:xfrm>
          <a:off x="0" y="5206550"/>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152 buildings were modernised,</a:t>
          </a:r>
        </a:p>
      </dgm:t>
    </dgm:pt>
    <dgm:pt modelId="{DB4832E5-F2EB-47CE-8B54-C6C9087E87F9}" type="parTrans" cxnId="{CB5F5C29-7839-467C-BFDC-9ACD9775DA7A}">
      <dgm:prSet/>
      <dgm:spPr/>
      <dgm:t>
        <a:bodyPr/>
        <a:lstStyle/>
        <a:p>
          <a:endParaRPr lang="pl-PL" sz="1000">
            <a:latin typeface="Times New Roman" panose="02020603050405020304" pitchFamily="18" charset="0"/>
            <a:cs typeface="Times New Roman" panose="02020603050405020304" pitchFamily="18" charset="0"/>
          </a:endParaRPr>
        </a:p>
      </dgm:t>
    </dgm:pt>
    <dgm:pt modelId="{8DE46BD2-872C-4E30-87E0-8125AC5CD8CB}" type="sibTrans" cxnId="{CB5F5C29-7839-467C-BFDC-9ACD9775DA7A}">
      <dgm:prSet/>
      <dgm:spPr/>
      <dgm:t>
        <a:bodyPr/>
        <a:lstStyle/>
        <a:p>
          <a:endParaRPr lang="pl-PL" sz="1000">
            <a:latin typeface="Times New Roman" panose="02020603050405020304" pitchFamily="18" charset="0"/>
            <a:cs typeface="Times New Roman" panose="02020603050405020304" pitchFamily="18" charset="0"/>
          </a:endParaRPr>
        </a:p>
      </dgm:t>
    </dgm:pt>
    <dgm:pt modelId="{D5FB005B-D9D0-42A1-B9C9-66F360CC1463}">
      <dgm:prSet custT="1"/>
      <dgm:spPr>
        <a:xfrm>
          <a:off x="0" y="5206550"/>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nearly 5 million people used the culture infrastructure.</a:t>
          </a:r>
        </a:p>
      </dgm:t>
    </dgm:pt>
    <dgm:pt modelId="{72A15833-AA7D-4CB8-BBF5-8970718AD4EE}" type="parTrans" cxnId="{B979BDD5-57F3-456E-A8CA-FC1DFF610C51}">
      <dgm:prSet/>
      <dgm:spPr/>
      <dgm:t>
        <a:bodyPr/>
        <a:lstStyle/>
        <a:p>
          <a:endParaRPr lang="pl-PL" sz="1000">
            <a:latin typeface="Times New Roman" panose="02020603050405020304" pitchFamily="18" charset="0"/>
            <a:cs typeface="Times New Roman" panose="02020603050405020304" pitchFamily="18" charset="0"/>
          </a:endParaRPr>
        </a:p>
      </dgm:t>
    </dgm:pt>
    <dgm:pt modelId="{0ABDD90E-72F1-41A7-BE78-7BE1A97B9FBC}" type="sibTrans" cxnId="{B979BDD5-57F3-456E-A8CA-FC1DFF610C51}">
      <dgm:prSet/>
      <dgm:spPr/>
      <dgm:t>
        <a:bodyPr/>
        <a:lstStyle/>
        <a:p>
          <a:endParaRPr lang="pl-PL" sz="1000">
            <a:latin typeface="Times New Roman" panose="02020603050405020304" pitchFamily="18" charset="0"/>
            <a:cs typeface="Times New Roman" panose="02020603050405020304" pitchFamily="18" charset="0"/>
          </a:endParaRPr>
        </a:p>
      </dgm:t>
    </dgm:pt>
    <dgm:pt modelId="{3AAAD48E-F19C-4E84-A082-09C817753434}">
      <dgm:prSet custT="1"/>
      <dgm: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solidFill>
              <a:latin typeface="Times New Roman" panose="02020603050405020304" pitchFamily="18" charset="0"/>
              <a:ea typeface="+mn-ea"/>
              <a:cs typeface="Times New Roman" panose="02020603050405020304" pitchFamily="18" charset="0"/>
            </a:rPr>
            <a:t> the power from installed sources of energy from renewable resources  is over </a:t>
          </a:r>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29 MW,</a:t>
          </a:r>
        </a:p>
      </dgm:t>
    </dgm:pt>
    <dgm:pt modelId="{1CA25712-DD5E-4BDA-864A-B5EA8ADB0F85}" type="parTrans" cxnId="{D285D63C-EAD0-4782-864C-5656B590FE93}">
      <dgm:prSet/>
      <dgm:spPr/>
      <dgm:t>
        <a:bodyPr/>
        <a:lstStyle/>
        <a:p>
          <a:endParaRPr lang="pl-PL" sz="1000">
            <a:latin typeface="Times New Roman" panose="02020603050405020304" pitchFamily="18" charset="0"/>
            <a:cs typeface="Times New Roman" panose="02020603050405020304" pitchFamily="18" charset="0"/>
          </a:endParaRPr>
        </a:p>
      </dgm:t>
    </dgm:pt>
    <dgm:pt modelId="{7A6CB193-6248-4A8B-81A0-1FF9523ED9B0}" type="sibTrans" cxnId="{D285D63C-EAD0-4782-864C-5656B590FE93}">
      <dgm:prSet/>
      <dgm:spPr/>
      <dgm:t>
        <a:bodyPr/>
        <a:lstStyle/>
        <a:p>
          <a:endParaRPr lang="pl-PL" sz="1000">
            <a:latin typeface="Times New Roman" panose="02020603050405020304" pitchFamily="18" charset="0"/>
            <a:cs typeface="Times New Roman" panose="02020603050405020304" pitchFamily="18" charset="0"/>
          </a:endParaRPr>
        </a:p>
      </dgm:t>
    </dgm:pt>
    <dgm:pt modelId="{79E0AED4-3E5E-4114-A6E6-4A815EA201C8}">
      <dgm:prSet custT="1"/>
      <dgm: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328,45 k people were covered by sorted waste collection</a:t>
          </a:r>
        </a:p>
      </dgm:t>
    </dgm:pt>
    <dgm:pt modelId="{CB1E47E1-5FB8-4E01-BB47-489460DD0AB9}" type="parTrans" cxnId="{86E84CC4-9579-4297-9F47-211B3C9F6322}">
      <dgm:prSet/>
      <dgm:spPr/>
      <dgm:t>
        <a:bodyPr/>
        <a:lstStyle/>
        <a:p>
          <a:endParaRPr lang="pl-PL" sz="1000">
            <a:latin typeface="Times New Roman" panose="02020603050405020304" pitchFamily="18" charset="0"/>
            <a:cs typeface="Times New Roman" panose="02020603050405020304" pitchFamily="18" charset="0"/>
          </a:endParaRPr>
        </a:p>
      </dgm:t>
    </dgm:pt>
    <dgm:pt modelId="{2DD340ED-0DB1-4D11-90BD-2129D2B089E6}" type="sibTrans" cxnId="{86E84CC4-9579-4297-9F47-211B3C9F6322}">
      <dgm:prSet/>
      <dgm:spPr/>
      <dgm:t>
        <a:bodyPr/>
        <a:lstStyle/>
        <a:p>
          <a:endParaRPr lang="pl-PL" sz="1000">
            <a:latin typeface="Times New Roman" panose="02020603050405020304" pitchFamily="18" charset="0"/>
            <a:cs typeface="Times New Roman" panose="02020603050405020304" pitchFamily="18" charset="0"/>
          </a:endParaRPr>
        </a:p>
      </dgm:t>
    </dgm:pt>
    <dgm:pt modelId="{5C32CEDB-0873-4BFF-AB3B-7F24A3D5BAF9}">
      <dgm:prSet phldrT="[Tekst]" custT="1"/>
      <dgm:spPr>
        <a:xfrm>
          <a:off x="0" y="184585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over 2 million people received the possibility of connection to broadband Internet. </a:t>
          </a:r>
        </a:p>
      </dgm:t>
    </dgm:pt>
    <dgm:pt modelId="{D3545D4F-8093-48BB-BECA-785C0D37846B}" type="parTrans" cxnId="{19CE83C5-80F2-41E9-965B-7AA81F26A38F}">
      <dgm:prSet/>
      <dgm:spPr/>
      <dgm:t>
        <a:bodyPr/>
        <a:lstStyle/>
        <a:p>
          <a:endParaRPr lang="pl-PL" sz="1000">
            <a:latin typeface="Times New Roman" panose="02020603050405020304" pitchFamily="18" charset="0"/>
            <a:cs typeface="Times New Roman" panose="02020603050405020304" pitchFamily="18" charset="0"/>
          </a:endParaRPr>
        </a:p>
      </dgm:t>
    </dgm:pt>
    <dgm:pt modelId="{D53912BB-63AB-4066-BDDC-93A7E8862934}" type="sibTrans" cxnId="{19CE83C5-80F2-41E9-965B-7AA81F26A38F}">
      <dgm:prSet/>
      <dgm:spPr/>
      <dgm:t>
        <a:bodyPr/>
        <a:lstStyle/>
        <a:p>
          <a:endParaRPr lang="pl-PL" sz="1000">
            <a:latin typeface="Times New Roman" panose="02020603050405020304" pitchFamily="18" charset="0"/>
            <a:cs typeface="Times New Roman" panose="02020603050405020304" pitchFamily="18" charset="0"/>
          </a:endParaRPr>
        </a:p>
      </dgm:t>
    </dgm:pt>
    <dgm:pt modelId="{B54560D3-A677-4F10-8433-14CCEEE27998}">
      <dgm:prSet custT="1"/>
      <dgm: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endParaRPr lang="pl-PL" sz="1000">
            <a:solidFill>
              <a:sysClr val="window" lastClr="FFFFFF"/>
            </a:solidFill>
            <a:latin typeface="Times New Roman" panose="02020603050405020304" pitchFamily="18" charset="0"/>
            <a:ea typeface="+mn-ea"/>
            <a:cs typeface="Times New Roman" panose="02020603050405020304" pitchFamily="18" charset="0"/>
          </a:endParaRPr>
        </a:p>
      </dgm:t>
    </dgm:pt>
    <dgm:pt modelId="{924C940F-AF36-486B-B372-1C9203BD8201}" type="parTrans" cxnId="{0EDCB05E-2EBF-4C77-9A7A-B25648757318}">
      <dgm:prSet/>
      <dgm:spPr/>
      <dgm:t>
        <a:bodyPr/>
        <a:lstStyle/>
        <a:p>
          <a:endParaRPr lang="pl-PL" sz="1000">
            <a:latin typeface="Times New Roman" panose="02020603050405020304" pitchFamily="18" charset="0"/>
            <a:cs typeface="Times New Roman" panose="02020603050405020304" pitchFamily="18" charset="0"/>
          </a:endParaRPr>
        </a:p>
      </dgm:t>
    </dgm:pt>
    <dgm:pt modelId="{BFB51180-DA84-445C-9586-A04255E4BDC7}" type="sibTrans" cxnId="{0EDCB05E-2EBF-4C77-9A7A-B25648757318}">
      <dgm:prSet/>
      <dgm:spPr/>
      <dgm:t>
        <a:bodyPr/>
        <a:lstStyle/>
        <a:p>
          <a:endParaRPr lang="pl-PL" sz="1000">
            <a:latin typeface="Times New Roman" panose="02020603050405020304" pitchFamily="18" charset="0"/>
            <a:cs typeface="Times New Roman" panose="02020603050405020304" pitchFamily="18" charset="0"/>
          </a:endParaRPr>
        </a:p>
      </dgm:t>
    </dgm:pt>
    <dgm:pt modelId="{693D5ADC-2483-4271-BC28-9F1753F018C7}">
      <dgm:prSet phldrT="[Tekst]" custT="1"/>
      <dgm:spPr>
        <a:xfrm>
          <a:off x="0" y="184585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904 PIAPs were launched,</a:t>
          </a:r>
        </a:p>
      </dgm:t>
    </dgm:pt>
    <dgm:pt modelId="{A635512C-CDA3-4757-B34D-9D2C76C068C4}" type="parTrans" cxnId="{EE6114AF-AED6-4AE5-8D5B-B2D7C3F9CB1F}">
      <dgm:prSet/>
      <dgm:spPr/>
      <dgm:t>
        <a:bodyPr/>
        <a:lstStyle/>
        <a:p>
          <a:endParaRPr lang="pl-PL"/>
        </a:p>
      </dgm:t>
    </dgm:pt>
    <dgm:pt modelId="{2535D458-02A3-460B-A1F6-18E7D2C23ABD}" type="sibTrans" cxnId="{EE6114AF-AED6-4AE5-8D5B-B2D7C3F9CB1F}">
      <dgm:prSet/>
      <dgm:spPr/>
      <dgm:t>
        <a:bodyPr/>
        <a:lstStyle/>
        <a:p>
          <a:endParaRPr lang="pl-PL"/>
        </a:p>
      </dgm:t>
    </dgm:pt>
    <dgm:pt modelId="{65CD365E-97E0-48CB-871B-4EFBF4BCBC70}">
      <dgm:prSet custT="1"/>
      <dgm: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3 species were deleted from the regional records of endangered species</a:t>
          </a:r>
        </a:p>
      </dgm:t>
    </dgm:pt>
    <dgm:pt modelId="{43927848-D56D-427F-BC7F-18FBA323A035}" type="parTrans" cxnId="{93BC42A4-7B0F-4D6E-AA5B-3BF7B729E9A3}">
      <dgm:prSet/>
      <dgm:spPr/>
      <dgm:t>
        <a:bodyPr/>
        <a:lstStyle/>
        <a:p>
          <a:endParaRPr lang="pl-PL"/>
        </a:p>
      </dgm:t>
    </dgm:pt>
    <dgm:pt modelId="{3771F518-9E29-4E8B-9C02-F5249BAB140C}" type="sibTrans" cxnId="{93BC42A4-7B0F-4D6E-AA5B-3BF7B729E9A3}">
      <dgm:prSet/>
      <dgm:spPr/>
      <dgm:t>
        <a:bodyPr/>
        <a:lstStyle/>
        <a:p>
          <a:endParaRPr lang="pl-PL"/>
        </a:p>
      </dgm:t>
    </dgm:pt>
    <dgm:pt modelId="{6DF82463-D840-4708-BF1A-7EDF948FAF4E}" type="pres">
      <dgm:prSet presAssocID="{529D8FA4-9586-4CDC-A34C-40A43788838A}" presName="linear" presStyleCnt="0">
        <dgm:presLayoutVars>
          <dgm:dir/>
          <dgm:resizeHandles val="exact"/>
        </dgm:presLayoutVars>
      </dgm:prSet>
      <dgm:spPr/>
      <dgm:t>
        <a:bodyPr/>
        <a:lstStyle/>
        <a:p>
          <a:endParaRPr lang="pl-PL"/>
        </a:p>
      </dgm:t>
    </dgm:pt>
    <dgm:pt modelId="{134F5D30-A4D3-4D81-A75B-C1F7A38A9A71}" type="pres">
      <dgm:prSet presAssocID="{90CFDAC3-A32F-4357-9936-E93245B4A6F1}" presName="comp" presStyleCnt="0"/>
      <dgm:spPr/>
    </dgm:pt>
    <dgm:pt modelId="{6D5157FC-345C-42EA-A0D2-DD6EBAA64FD5}" type="pres">
      <dgm:prSet presAssocID="{90CFDAC3-A32F-4357-9936-E93245B4A6F1}" presName="box" presStyleLbl="node1" presStyleIdx="0" presStyleCnt="5" custScaleY="113738"/>
      <dgm:spPr>
        <a:prstGeom prst="roundRect">
          <a:avLst>
            <a:gd name="adj" fmla="val 10000"/>
          </a:avLst>
        </a:prstGeom>
      </dgm:spPr>
      <dgm:t>
        <a:bodyPr/>
        <a:lstStyle/>
        <a:p>
          <a:endParaRPr lang="pl-PL"/>
        </a:p>
      </dgm:t>
    </dgm:pt>
    <dgm:pt modelId="{7197F60F-601A-49A1-91CD-5FD261F67708}" type="pres">
      <dgm:prSet presAssocID="{90CFDAC3-A32F-4357-9936-E93245B4A6F1}" presName="img" presStyleLbl="fgImgPlace1" presStyleIdx="0" presStyleCnt="5" custScaleX="93269" custScaleY="113875"/>
      <dgm:spPr>
        <a:xfrm>
          <a:off x="190385" y="171447"/>
          <a:ext cx="1078502" cy="1379878"/>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10000" r="-10000"/>
          </a:stretch>
        </a:blipFill>
        <a:ln>
          <a:noFill/>
        </a:ln>
        <a:effectLst/>
      </dgm:spPr>
      <dgm:t>
        <a:bodyPr/>
        <a:lstStyle/>
        <a:p>
          <a:endParaRPr lang="pl-PL"/>
        </a:p>
      </dgm:t>
    </dgm:pt>
    <dgm:pt modelId="{740C7BE1-9757-4BDF-BEF0-5DAF39FEFA01}" type="pres">
      <dgm:prSet presAssocID="{90CFDAC3-A32F-4357-9936-E93245B4A6F1}" presName="text" presStyleLbl="node1" presStyleIdx="0" presStyleCnt="5">
        <dgm:presLayoutVars>
          <dgm:bulletEnabled val="1"/>
        </dgm:presLayoutVars>
      </dgm:prSet>
      <dgm:spPr/>
      <dgm:t>
        <a:bodyPr/>
        <a:lstStyle/>
        <a:p>
          <a:endParaRPr lang="pl-PL"/>
        </a:p>
      </dgm:t>
    </dgm:pt>
    <dgm:pt modelId="{5D70E8CB-0343-46DC-BE8D-745B8B84405B}" type="pres">
      <dgm:prSet presAssocID="{FB463EAD-1CD0-445C-8D25-3C1A347BA44D}" presName="spacer" presStyleCnt="0"/>
      <dgm:spPr/>
    </dgm:pt>
    <dgm:pt modelId="{9E9AE80F-A2E9-4D06-B125-5BF31F3B0FD7}" type="pres">
      <dgm:prSet presAssocID="{251E3682-3EE1-4A22-B76B-4A76590B12D2}" presName="comp" presStyleCnt="0"/>
      <dgm:spPr/>
    </dgm:pt>
    <dgm:pt modelId="{A429B8CF-CE6A-426D-A69A-25DF7A4CF1F6}" type="pres">
      <dgm:prSet presAssocID="{251E3682-3EE1-4A22-B76B-4A76590B12D2}" presName="box" presStyleLbl="node1" presStyleIdx="1" presStyleCnt="5" custLinFactNeighborY="-1874"/>
      <dgm:spPr>
        <a:prstGeom prst="roundRect">
          <a:avLst>
            <a:gd name="adj" fmla="val 10000"/>
          </a:avLst>
        </a:prstGeom>
      </dgm:spPr>
      <dgm:t>
        <a:bodyPr/>
        <a:lstStyle/>
        <a:p>
          <a:endParaRPr lang="pl-PL"/>
        </a:p>
      </dgm:t>
    </dgm:pt>
    <dgm:pt modelId="{BB3AD350-D1E6-4A79-8D7B-BB8E807825B0}" type="pres">
      <dgm:prSet presAssocID="{251E3682-3EE1-4A22-B76B-4A76590B12D2}" presName="img" presStyleLbl="fgImgPlace1" presStyleIdx="1" presStyleCnt="5" custScaleY="102630"/>
      <dgm:spPr>
        <a:xfrm>
          <a:off x="151468" y="2009775"/>
          <a:ext cx="1156334" cy="1243617"/>
        </a:xfrm>
        <a:prstGeom prst="roundRect">
          <a:avLst>
            <a:gd name="adj" fmla="val 1000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11000" b="-11000"/>
          </a:stretch>
        </a:blipFill>
        <a:ln>
          <a:noFill/>
        </a:ln>
        <a:effectLst/>
      </dgm:spPr>
      <dgm:t>
        <a:bodyPr/>
        <a:lstStyle/>
        <a:p>
          <a:endParaRPr lang="pl-PL"/>
        </a:p>
      </dgm:t>
    </dgm:pt>
    <dgm:pt modelId="{45D21050-54E8-4DD2-AE3A-F5F8754DBF57}" type="pres">
      <dgm:prSet presAssocID="{251E3682-3EE1-4A22-B76B-4A76590B12D2}" presName="text" presStyleLbl="node1" presStyleIdx="1" presStyleCnt="5">
        <dgm:presLayoutVars>
          <dgm:bulletEnabled val="1"/>
        </dgm:presLayoutVars>
      </dgm:prSet>
      <dgm:spPr/>
      <dgm:t>
        <a:bodyPr/>
        <a:lstStyle/>
        <a:p>
          <a:endParaRPr lang="pl-PL"/>
        </a:p>
      </dgm:t>
    </dgm:pt>
    <dgm:pt modelId="{A248DF75-248F-4EC0-9FF5-CE86B606AE76}" type="pres">
      <dgm:prSet presAssocID="{14A19171-01D3-4698-B711-F07F169EE9B5}" presName="spacer" presStyleCnt="0"/>
      <dgm:spPr/>
    </dgm:pt>
    <dgm:pt modelId="{55D351F5-DCDE-4258-8320-29B9192B4443}" type="pres">
      <dgm:prSet presAssocID="{6A39A677-9DEB-46B3-85F9-D8CCFFB49241}" presName="comp" presStyleCnt="0"/>
      <dgm:spPr/>
    </dgm:pt>
    <dgm:pt modelId="{B56DEC04-E0E6-4DE1-B0DD-0C4EC4E4DBA1}" type="pres">
      <dgm:prSet presAssocID="{6A39A677-9DEB-46B3-85F9-D8CCFFB49241}" presName="box" presStyleLbl="node1" presStyleIdx="2" presStyleCnt="5"/>
      <dgm:spPr>
        <a:prstGeom prst="roundRect">
          <a:avLst>
            <a:gd name="adj" fmla="val 10000"/>
          </a:avLst>
        </a:prstGeom>
      </dgm:spPr>
      <dgm:t>
        <a:bodyPr/>
        <a:lstStyle/>
        <a:p>
          <a:endParaRPr lang="pl-PL"/>
        </a:p>
      </dgm:t>
    </dgm:pt>
    <dgm:pt modelId="{A97F60E1-ADF3-4DAA-A9F4-448EE0F5B4A7}" type="pres">
      <dgm:prSet presAssocID="{6A39A677-9DEB-46B3-85F9-D8CCFFB49241}" presName="img" presStyleLbl="fgImgPlace1" presStyleIdx="2" presStyleCnt="5" custScaleY="93775" custLinFactNeighborY="-2796"/>
      <dgm:spPr>
        <a:xfrm>
          <a:off x="151468" y="3695699"/>
          <a:ext cx="1156334" cy="1136317"/>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2000" b="-2000"/>
          </a:stretch>
        </a:blipFill>
        <a:ln>
          <a:noFill/>
        </a:ln>
        <a:effectLst/>
      </dgm:spPr>
      <dgm:t>
        <a:bodyPr/>
        <a:lstStyle/>
        <a:p>
          <a:endParaRPr lang="pl-PL"/>
        </a:p>
      </dgm:t>
    </dgm:pt>
    <dgm:pt modelId="{1218147F-AAAD-4569-AED7-6709AA3CE655}" type="pres">
      <dgm:prSet presAssocID="{6A39A677-9DEB-46B3-85F9-D8CCFFB49241}" presName="text" presStyleLbl="node1" presStyleIdx="2" presStyleCnt="5">
        <dgm:presLayoutVars>
          <dgm:bulletEnabled val="1"/>
        </dgm:presLayoutVars>
      </dgm:prSet>
      <dgm:spPr/>
      <dgm:t>
        <a:bodyPr/>
        <a:lstStyle/>
        <a:p>
          <a:endParaRPr lang="pl-PL"/>
        </a:p>
      </dgm:t>
    </dgm:pt>
    <dgm:pt modelId="{73FE7EF6-A789-4414-AAA4-71C24915E299}" type="pres">
      <dgm:prSet presAssocID="{DD8E2FC5-B051-41E8-9195-A9E0C2C4C874}" presName="spacer" presStyleCnt="0"/>
      <dgm:spPr/>
    </dgm:pt>
    <dgm:pt modelId="{E2021F1A-923A-4CC0-8F85-07C4DDA84400}" type="pres">
      <dgm:prSet presAssocID="{A80F3F74-989E-4849-BA25-A38ED19D2D1F}" presName="comp" presStyleCnt="0"/>
      <dgm:spPr/>
    </dgm:pt>
    <dgm:pt modelId="{D19E0EE2-093F-4DA9-8AC1-7CC34B17E214}" type="pres">
      <dgm:prSet presAssocID="{A80F3F74-989E-4849-BA25-A38ED19D2D1F}" presName="box" presStyleLbl="node1" presStyleIdx="3" presStyleCnt="5"/>
      <dgm:spPr>
        <a:prstGeom prst="roundRect">
          <a:avLst>
            <a:gd name="adj" fmla="val 10000"/>
          </a:avLst>
        </a:prstGeom>
      </dgm:spPr>
      <dgm:t>
        <a:bodyPr/>
        <a:lstStyle/>
        <a:p>
          <a:endParaRPr lang="pl-PL"/>
        </a:p>
      </dgm:t>
    </dgm:pt>
    <dgm:pt modelId="{EA54F5A6-0930-4712-974E-9AC7E72403A2}" type="pres">
      <dgm:prSet presAssocID="{A80F3F74-989E-4849-BA25-A38ED19D2D1F}" presName="img" presStyleLbl="fgImgPlace1" presStyleIdx="3" presStyleCnt="5" custScaleY="97676" custLinFactNeighborX="-2604"/>
      <dgm:spPr>
        <a:xfrm>
          <a:off x="121357" y="5372099"/>
          <a:ext cx="1156334" cy="1183587"/>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20000" b="-20000"/>
          </a:stretch>
        </a:blipFill>
        <a:ln>
          <a:noFill/>
        </a:ln>
        <a:effectLst/>
      </dgm:spPr>
      <dgm:t>
        <a:bodyPr/>
        <a:lstStyle/>
        <a:p>
          <a:endParaRPr lang="pl-PL"/>
        </a:p>
      </dgm:t>
    </dgm:pt>
    <dgm:pt modelId="{F79C7464-4D59-433A-82F7-7723E6A0EC0D}" type="pres">
      <dgm:prSet presAssocID="{A80F3F74-989E-4849-BA25-A38ED19D2D1F}" presName="text" presStyleLbl="node1" presStyleIdx="3" presStyleCnt="5">
        <dgm:presLayoutVars>
          <dgm:bulletEnabled val="1"/>
        </dgm:presLayoutVars>
      </dgm:prSet>
      <dgm:spPr/>
      <dgm:t>
        <a:bodyPr/>
        <a:lstStyle/>
        <a:p>
          <a:endParaRPr lang="pl-PL"/>
        </a:p>
      </dgm:t>
    </dgm:pt>
    <dgm:pt modelId="{B22682C1-7C04-4340-94C9-FFCE50A88E42}" type="pres">
      <dgm:prSet presAssocID="{F6EE1FDF-A152-45B1-92B8-4E68C6C5177B}" presName="spacer" presStyleCnt="0"/>
      <dgm:spPr/>
    </dgm:pt>
    <dgm:pt modelId="{E3ED4C92-DA8C-4C4A-A4EC-2619A81EFF54}" type="pres">
      <dgm:prSet presAssocID="{CB475959-630C-40C0-8CED-7CE71E1A8908}" presName="comp" presStyleCnt="0"/>
      <dgm:spPr/>
    </dgm:pt>
    <dgm:pt modelId="{6459102A-A16D-413E-B464-D5C141BFE10B}" type="pres">
      <dgm:prSet presAssocID="{CB475959-630C-40C0-8CED-7CE71E1A8908}" presName="box" presStyleLbl="node1" presStyleIdx="4" presStyleCnt="5"/>
      <dgm:spPr>
        <a:prstGeom prst="roundRect">
          <a:avLst>
            <a:gd name="adj" fmla="val 10000"/>
          </a:avLst>
        </a:prstGeom>
      </dgm:spPr>
      <dgm:t>
        <a:bodyPr/>
        <a:lstStyle/>
        <a:p>
          <a:endParaRPr lang="pl-PL"/>
        </a:p>
      </dgm:t>
    </dgm:pt>
    <dgm:pt modelId="{01EF7B6F-31E7-496C-BBDD-605D1E87D847}" type="pres">
      <dgm:prSet presAssocID="{CB475959-630C-40C0-8CED-7CE71E1A8908}" presName="img" presStyleLbl="fgImgPlace1" presStyleIdx="4" presStyleCnt="5" custScaleY="102273"/>
      <dgm:spPr>
        <a:xfrm>
          <a:off x="151468" y="7010401"/>
          <a:ext cx="1156334" cy="1239291"/>
        </a:xfrm>
        <a:prstGeom prst="roundRect">
          <a:avLst>
            <a:gd name="adj" fmla="val 10000"/>
          </a:avLst>
        </a:prstGeom>
        <a:blipFill>
          <a:blip xmlns:r="http://schemas.openxmlformats.org/officeDocument/2006/relationships" r:embed="rId5">
            <a:extLst>
              <a:ext uri="{28A0092B-C50C-407E-A947-70E740481C1C}">
                <a14:useLocalDpi xmlns:a14="http://schemas.microsoft.com/office/drawing/2010/main" val="0"/>
              </a:ext>
            </a:extLst>
          </a:blip>
          <a:srcRect/>
          <a:stretch>
            <a:fillRect t="-42000" b="-42000"/>
          </a:stretch>
        </a:blipFill>
        <a:ln>
          <a:noFill/>
        </a:ln>
        <a:effectLst/>
      </dgm:spPr>
      <dgm:t>
        <a:bodyPr/>
        <a:lstStyle/>
        <a:p>
          <a:endParaRPr lang="pl-PL"/>
        </a:p>
      </dgm:t>
    </dgm:pt>
    <dgm:pt modelId="{25EFE9BF-80FE-44A6-AC53-1C62B288639F}" type="pres">
      <dgm:prSet presAssocID="{CB475959-630C-40C0-8CED-7CE71E1A8908}" presName="text" presStyleLbl="node1" presStyleIdx="4" presStyleCnt="5">
        <dgm:presLayoutVars>
          <dgm:bulletEnabled val="1"/>
        </dgm:presLayoutVars>
      </dgm:prSet>
      <dgm:spPr/>
      <dgm:t>
        <a:bodyPr/>
        <a:lstStyle/>
        <a:p>
          <a:endParaRPr lang="pl-PL"/>
        </a:p>
      </dgm:t>
    </dgm:pt>
  </dgm:ptLst>
  <dgm:cxnLst>
    <dgm:cxn modelId="{42E9C89F-DA44-4BB2-B7D3-21E87D2BB0B7}" srcId="{529D8FA4-9586-4CDC-A34C-40A43788838A}" destId="{251E3682-3EE1-4A22-B76B-4A76590B12D2}" srcOrd="1" destOrd="0" parTransId="{71F0BA17-EBA2-4556-98C0-03D28225CD9E}" sibTransId="{14A19171-01D3-4698-B711-F07F169EE9B5}"/>
    <dgm:cxn modelId="{E6B24E51-B921-40A7-9B76-77894F3A1642}" type="presOf" srcId="{C85C8832-D10D-45A8-BF3A-BCFF8D9AA957}" destId="{1218147F-AAAD-4569-AED7-6709AA3CE655}" srcOrd="1" destOrd="2" presId="urn:microsoft.com/office/officeart/2005/8/layout/vList4"/>
    <dgm:cxn modelId="{11E35FC4-DDCE-45B2-9520-DB9A14223837}" srcId="{251E3682-3EE1-4A22-B76B-4A76590B12D2}" destId="{1126331F-BAA3-4218-8538-F7DEFB6E8C1F}" srcOrd="2" destOrd="0" parTransId="{03188E37-5367-447C-8DAF-B33FC2EA542C}" sibTransId="{C2D25EE0-D557-4205-A8CF-C220C8CD3B94}"/>
    <dgm:cxn modelId="{D285D63C-EAD0-4782-864C-5656B590FE93}" srcId="{CB475959-630C-40C0-8CED-7CE71E1A8908}" destId="{3AAAD48E-F19C-4E84-A082-09C817753434}" srcOrd="1" destOrd="0" parTransId="{1CA25712-DD5E-4BDA-864A-B5EA8ADB0F85}" sibTransId="{7A6CB193-6248-4A8B-81A0-1FF9523ED9B0}"/>
    <dgm:cxn modelId="{B9369A92-75DD-4E84-8777-C8BC82DEC72F}" type="presOf" srcId="{CB475959-630C-40C0-8CED-7CE71E1A8908}" destId="{25EFE9BF-80FE-44A6-AC53-1C62B288639F}" srcOrd="1" destOrd="0" presId="urn:microsoft.com/office/officeart/2005/8/layout/vList4"/>
    <dgm:cxn modelId="{0A9604D2-D470-4E49-9AA8-779AC2B3EB99}" type="presOf" srcId="{FDD06492-58FA-47DF-8BE9-1B7466F33028}" destId="{6459102A-A16D-413E-B464-D5C141BFE10B}" srcOrd="0" destOrd="1" presId="urn:microsoft.com/office/officeart/2005/8/layout/vList4"/>
    <dgm:cxn modelId="{9EF9F274-17C8-4335-A93D-8E6214FEDC9A}" type="presOf" srcId="{DAEC7B28-8629-40A2-8045-7C923C20CE5B}" destId="{6D5157FC-345C-42EA-A0D2-DD6EBAA64FD5}" srcOrd="0" destOrd="2" presId="urn:microsoft.com/office/officeart/2005/8/layout/vList4"/>
    <dgm:cxn modelId="{9484187F-0FBF-40B0-85EE-F2E6A0887769}" srcId="{90CFDAC3-A32F-4357-9936-E93245B4A6F1}" destId="{5FC29A76-78A4-4FDF-AF7F-BAA1F79C824C}" srcOrd="0" destOrd="0" parTransId="{932FA4EA-A8AF-4538-8155-198BDD87040A}" sibTransId="{4816765B-0F01-4DEB-B301-D79F59C58139}"/>
    <dgm:cxn modelId="{EE881DAE-AED6-439A-AE3D-AC7176D7E39B}" type="presOf" srcId="{529D8FA4-9586-4CDC-A34C-40A43788838A}" destId="{6DF82463-D840-4708-BF1A-7EDF948FAF4E}" srcOrd="0" destOrd="0" presId="urn:microsoft.com/office/officeart/2005/8/layout/vList4"/>
    <dgm:cxn modelId="{4E91A04B-8B18-4E51-A48A-9B91E1BE01B8}" type="presOf" srcId="{3AAAD48E-F19C-4E84-A082-09C817753434}" destId="{25EFE9BF-80FE-44A6-AC53-1C62B288639F}" srcOrd="1" destOrd="2" presId="urn:microsoft.com/office/officeart/2005/8/layout/vList4"/>
    <dgm:cxn modelId="{7C259980-CEC8-4B2B-9D89-846F1600D3ED}" type="presOf" srcId="{6A39A677-9DEB-46B3-85F9-D8CCFFB49241}" destId="{B56DEC04-E0E6-4DE1-B0DD-0C4EC4E4DBA1}" srcOrd="0" destOrd="0" presId="urn:microsoft.com/office/officeart/2005/8/layout/vList4"/>
    <dgm:cxn modelId="{1A7C25F9-04DA-43D2-92DB-C560B5733CAE}" srcId="{6A39A677-9DEB-46B3-85F9-D8CCFFB49241}" destId="{C85C8832-D10D-45A8-BF3A-BCFF8D9AA957}" srcOrd="1" destOrd="0" parTransId="{85F8196C-DF93-4DC1-97EB-4A4808FE3B45}" sibTransId="{18DF41CA-943D-4445-8AB0-B537681DBACD}"/>
    <dgm:cxn modelId="{A480F634-6265-4D47-9054-EED2CC8BDCB3}" type="presOf" srcId="{693D5ADC-2483-4271-BC28-9F1753F018C7}" destId="{A429B8CF-CE6A-426D-A69A-25DF7A4CF1F6}" srcOrd="0" destOrd="2" presId="urn:microsoft.com/office/officeart/2005/8/layout/vList4"/>
    <dgm:cxn modelId="{DF18C4D9-2844-43DD-A519-9CA70847B642}" type="presOf" srcId="{A865418D-5B7C-4F1B-A937-B8DDFE6984B8}" destId="{F79C7464-4D59-433A-82F7-7723E6A0EC0D}" srcOrd="1" destOrd="1" presId="urn:microsoft.com/office/officeart/2005/8/layout/vList4"/>
    <dgm:cxn modelId="{CC95158D-E70F-4439-8E58-9B1E3C6F65FD}" type="presOf" srcId="{A80F3F74-989E-4849-BA25-A38ED19D2D1F}" destId="{D19E0EE2-093F-4DA9-8AC1-7CC34B17E214}" srcOrd="0" destOrd="0" presId="urn:microsoft.com/office/officeart/2005/8/layout/vList4"/>
    <dgm:cxn modelId="{86B95D71-70F8-4A1F-AD05-0AE0AEE78680}" type="presOf" srcId="{C85C8832-D10D-45A8-BF3A-BCFF8D9AA957}" destId="{B56DEC04-E0E6-4DE1-B0DD-0C4EC4E4DBA1}" srcOrd="0" destOrd="2" presId="urn:microsoft.com/office/officeart/2005/8/layout/vList4"/>
    <dgm:cxn modelId="{B8BA16EF-8A79-49B9-910B-4C895BB03046}" type="presOf" srcId="{B54560D3-A677-4F10-8433-14CCEEE27998}" destId="{25EFE9BF-80FE-44A6-AC53-1C62B288639F}" srcOrd="1" destOrd="5" presId="urn:microsoft.com/office/officeart/2005/8/layout/vList4"/>
    <dgm:cxn modelId="{30028F9B-B757-44D0-9770-AE77612B01C9}" type="presOf" srcId="{B54560D3-A677-4F10-8433-14CCEEE27998}" destId="{6459102A-A16D-413E-B464-D5C141BFE10B}" srcOrd="0" destOrd="5" presId="urn:microsoft.com/office/officeart/2005/8/layout/vList4"/>
    <dgm:cxn modelId="{008B1BF8-CDCD-4FA5-90C6-1F68EB127FD6}" type="presOf" srcId="{5C32CEDB-0873-4BFF-AB3B-7F24A3D5BAF9}" destId="{A429B8CF-CE6A-426D-A69A-25DF7A4CF1F6}" srcOrd="0" destOrd="4" presId="urn:microsoft.com/office/officeart/2005/8/layout/vList4"/>
    <dgm:cxn modelId="{44626C2D-92DB-4EBA-8D76-323DEE06A72F}" type="presOf" srcId="{65CD365E-97E0-48CB-871B-4EFBF4BCBC70}" destId="{6459102A-A16D-413E-B464-D5C141BFE10B}" srcOrd="0" destOrd="4" presId="urn:microsoft.com/office/officeart/2005/8/layout/vList4"/>
    <dgm:cxn modelId="{9218837D-4131-46CA-8643-970753438EE1}" type="presOf" srcId="{3D1351E5-7469-4E57-851D-4AAA498CE853}" destId="{B56DEC04-E0E6-4DE1-B0DD-0C4EC4E4DBA1}" srcOrd="0" destOrd="1" presId="urn:microsoft.com/office/officeart/2005/8/layout/vList4"/>
    <dgm:cxn modelId="{B89C1EDE-948E-4DBA-9F2B-DB14BE559C6D}" type="presOf" srcId="{65CD365E-97E0-48CB-871B-4EFBF4BCBC70}" destId="{25EFE9BF-80FE-44A6-AC53-1C62B288639F}" srcOrd="1" destOrd="4" presId="urn:microsoft.com/office/officeart/2005/8/layout/vList4"/>
    <dgm:cxn modelId="{299266D5-F406-4009-9E0E-C8A34CBB05BD}" srcId="{6A39A677-9DEB-46B3-85F9-D8CCFFB49241}" destId="{C98E9E31-00DE-494F-9EFB-832999C2A645}" srcOrd="2" destOrd="0" parTransId="{CE7C87E7-7017-4532-9B17-3CA8CDFA94C1}" sibTransId="{6138D2F4-CDFE-45F2-850F-2DCED31A5A1C}"/>
    <dgm:cxn modelId="{841E3418-9D0C-4C92-9FC6-97B3F0C28A22}" srcId="{529D8FA4-9586-4CDC-A34C-40A43788838A}" destId="{CB475959-630C-40C0-8CED-7CE71E1A8908}" srcOrd="4" destOrd="0" parTransId="{96ABDB87-D69B-4176-B2B7-DFF511F683BE}" sibTransId="{30732F5A-E58F-4692-955E-B0489E5D6F6C}"/>
    <dgm:cxn modelId="{EBD53452-C4AB-46BB-8039-EBA37ACCF73F}" type="presOf" srcId="{D5FB005B-D9D0-42A1-B9C9-66F360CC1463}" destId="{D19E0EE2-093F-4DA9-8AC1-7CC34B17E214}" srcOrd="0" destOrd="3" presId="urn:microsoft.com/office/officeart/2005/8/layout/vList4"/>
    <dgm:cxn modelId="{EE6114AF-AED6-4AE5-8D5B-B2D7C3F9CB1F}" srcId="{251E3682-3EE1-4A22-B76B-4A76590B12D2}" destId="{693D5ADC-2483-4271-BC28-9F1753F018C7}" srcOrd="1" destOrd="0" parTransId="{A635512C-CDA3-4757-B34D-9D2C76C068C4}" sibTransId="{2535D458-02A3-460B-A1F6-18E7D2C23ABD}"/>
    <dgm:cxn modelId="{347E2D0A-0851-4CE9-BD8C-F01EC8A84CBB}" type="presOf" srcId="{1126331F-BAA3-4218-8538-F7DEFB6E8C1F}" destId="{A429B8CF-CE6A-426D-A69A-25DF7A4CF1F6}" srcOrd="0" destOrd="3" presId="urn:microsoft.com/office/officeart/2005/8/layout/vList4"/>
    <dgm:cxn modelId="{70C335B2-6DFA-40EF-B877-FF21BD0A2E2E}" srcId="{6A39A677-9DEB-46B3-85F9-D8CCFFB49241}" destId="{55F773E0-F3F9-45FB-9D7A-6927542207BD}" srcOrd="3" destOrd="0" parTransId="{2A4219C1-6BF8-46C9-97EB-5A1EA2D6ED62}" sibTransId="{272934B7-FB23-4CBE-B7FB-DF37829CD993}"/>
    <dgm:cxn modelId="{73BFA5B3-51D2-486C-AE7C-2A40CD68BC36}" type="presOf" srcId="{C40624AE-EA77-4D7C-BDC5-5280CD8D4A98}" destId="{6D5157FC-345C-42EA-A0D2-DD6EBAA64FD5}" srcOrd="0" destOrd="4" presId="urn:microsoft.com/office/officeart/2005/8/layout/vList4"/>
    <dgm:cxn modelId="{0EDCB05E-2EBF-4C77-9A7A-B25648757318}" srcId="{CB475959-630C-40C0-8CED-7CE71E1A8908}" destId="{B54560D3-A677-4F10-8433-14CCEEE27998}" srcOrd="4" destOrd="0" parTransId="{924C940F-AF36-486B-B372-1C9203BD8201}" sibTransId="{BFB51180-DA84-445C-9586-A04255E4BDC7}"/>
    <dgm:cxn modelId="{E79EE0C2-C9E3-45F8-900E-3FEE8D2B6577}" srcId="{529D8FA4-9586-4CDC-A34C-40A43788838A}" destId="{A80F3F74-989E-4849-BA25-A38ED19D2D1F}" srcOrd="3" destOrd="0" parTransId="{65AAD2C6-346D-4071-B6AA-8405417D04E2}" sibTransId="{F6EE1FDF-A152-45B1-92B8-4E68C6C5177B}"/>
    <dgm:cxn modelId="{E6A66930-26B6-45C8-BCF9-63C61EA86960}" type="presOf" srcId="{69B457AD-00B6-45B4-9E82-D0AF7282BC90}" destId="{A429B8CF-CE6A-426D-A69A-25DF7A4CF1F6}" srcOrd="0" destOrd="1" presId="urn:microsoft.com/office/officeart/2005/8/layout/vList4"/>
    <dgm:cxn modelId="{E821969A-6F47-44B8-8824-B2B13F447F7A}" type="presOf" srcId="{3AAAD48E-F19C-4E84-A082-09C817753434}" destId="{6459102A-A16D-413E-B464-D5C141BFE10B}" srcOrd="0" destOrd="2" presId="urn:microsoft.com/office/officeart/2005/8/layout/vList4"/>
    <dgm:cxn modelId="{47AB408D-FEB8-449F-941F-443F714D8C2E}" type="presOf" srcId="{5FC29A76-78A4-4FDF-AF7F-BAA1F79C824C}" destId="{6D5157FC-345C-42EA-A0D2-DD6EBAA64FD5}" srcOrd="0" destOrd="1" presId="urn:microsoft.com/office/officeart/2005/8/layout/vList4"/>
    <dgm:cxn modelId="{359F52F5-8789-4D0B-8D0A-2CE0A56CB4EB}" type="presOf" srcId="{BDE47B9A-BAC7-429F-9394-A6D0F5F0F99D}" destId="{740C7BE1-9757-4BDF-BEF0-5DAF39FEFA01}" srcOrd="1" destOrd="5" presId="urn:microsoft.com/office/officeart/2005/8/layout/vList4"/>
    <dgm:cxn modelId="{C9870016-7D93-4382-834D-00877BE6E247}" type="presOf" srcId="{79E0AED4-3E5E-4114-A6E6-4A815EA201C8}" destId="{25EFE9BF-80FE-44A6-AC53-1C62B288639F}" srcOrd="1" destOrd="3" presId="urn:microsoft.com/office/officeart/2005/8/layout/vList4"/>
    <dgm:cxn modelId="{24490DD5-8FEA-4D30-8A28-96F46710FCDC}" type="presOf" srcId="{C40624AE-EA77-4D7C-BDC5-5280CD8D4A98}" destId="{740C7BE1-9757-4BDF-BEF0-5DAF39FEFA01}" srcOrd="1" destOrd="4" presId="urn:microsoft.com/office/officeart/2005/8/layout/vList4"/>
    <dgm:cxn modelId="{127FC86F-183A-4989-8EAC-EDD8BAB1C956}" srcId="{90CFDAC3-A32F-4357-9936-E93245B4A6F1}" destId="{C40624AE-EA77-4D7C-BDC5-5280CD8D4A98}" srcOrd="3" destOrd="0" parTransId="{3983010D-1D29-40E7-B834-91FE728D73A4}" sibTransId="{F6D67EC8-6B75-49B5-9CD2-857BBC352168}"/>
    <dgm:cxn modelId="{8CA95FE8-4366-4241-A845-12B74359530A}" type="presOf" srcId="{90CFDAC3-A32F-4357-9936-E93245B4A6F1}" destId="{740C7BE1-9757-4BDF-BEF0-5DAF39FEFA01}" srcOrd="1" destOrd="0" presId="urn:microsoft.com/office/officeart/2005/8/layout/vList4"/>
    <dgm:cxn modelId="{23AD10DB-8B10-4F60-974B-A25A9DE1FDC1}" type="presOf" srcId="{55F773E0-F3F9-45FB-9D7A-6927542207BD}" destId="{B56DEC04-E0E6-4DE1-B0DD-0C4EC4E4DBA1}" srcOrd="0" destOrd="4" presId="urn:microsoft.com/office/officeart/2005/8/layout/vList4"/>
    <dgm:cxn modelId="{997745B7-71B4-4D86-91E2-8ECAA0C97A0C}" type="presOf" srcId="{55F773E0-F3F9-45FB-9D7A-6927542207BD}" destId="{1218147F-AAAD-4569-AED7-6709AA3CE655}" srcOrd="1" destOrd="4" presId="urn:microsoft.com/office/officeart/2005/8/layout/vList4"/>
    <dgm:cxn modelId="{F2F45DA6-926E-4EC4-94C5-08A7B15D55A9}" type="presOf" srcId="{DAEC7B28-8629-40A2-8045-7C923C20CE5B}" destId="{740C7BE1-9757-4BDF-BEF0-5DAF39FEFA01}" srcOrd="1" destOrd="2" presId="urn:microsoft.com/office/officeart/2005/8/layout/vList4"/>
    <dgm:cxn modelId="{A0B419C2-5A18-43D2-93EE-4159A9566A1D}" type="presOf" srcId="{6A39A677-9DEB-46B3-85F9-D8CCFFB49241}" destId="{1218147F-AAAD-4569-AED7-6709AA3CE655}" srcOrd="1" destOrd="0" presId="urn:microsoft.com/office/officeart/2005/8/layout/vList4"/>
    <dgm:cxn modelId="{3705EA2E-CFC3-4419-9863-E6A2BE2B5307}" srcId="{90CFDAC3-A32F-4357-9936-E93245B4A6F1}" destId="{BDE47B9A-BAC7-429F-9394-A6D0F5F0F99D}" srcOrd="4" destOrd="0" parTransId="{E131F322-A58E-4BF0-BAC2-23251B759527}" sibTransId="{D4E609FF-896D-4ABD-8F78-9F2ECA7070CB}"/>
    <dgm:cxn modelId="{86E84CC4-9579-4297-9F47-211B3C9F6322}" srcId="{CB475959-630C-40C0-8CED-7CE71E1A8908}" destId="{79E0AED4-3E5E-4114-A6E6-4A815EA201C8}" srcOrd="2" destOrd="0" parTransId="{CB1E47E1-5FB8-4E01-BB47-489460DD0AB9}" sibTransId="{2DD340ED-0DB1-4D11-90BD-2129D2B089E6}"/>
    <dgm:cxn modelId="{0FD29403-9F70-4121-A104-A93D7C38B5F6}" type="presOf" srcId="{3D1351E5-7469-4E57-851D-4AAA498CE853}" destId="{1218147F-AAAD-4569-AED7-6709AA3CE655}" srcOrd="1" destOrd="1" presId="urn:microsoft.com/office/officeart/2005/8/layout/vList4"/>
    <dgm:cxn modelId="{4ECC2DA9-780F-402E-ADB5-233D9B9B50EB}" type="presOf" srcId="{FDD06492-58FA-47DF-8BE9-1B7466F33028}" destId="{25EFE9BF-80FE-44A6-AC53-1C62B288639F}" srcOrd="1" destOrd="1" presId="urn:microsoft.com/office/officeart/2005/8/layout/vList4"/>
    <dgm:cxn modelId="{3FFCF2CE-E3C5-43DC-AF2F-22C2138FB4A1}" type="presOf" srcId="{693D5ADC-2483-4271-BC28-9F1753F018C7}" destId="{45D21050-54E8-4DD2-AE3A-F5F8754DBF57}" srcOrd="1" destOrd="2" presId="urn:microsoft.com/office/officeart/2005/8/layout/vList4"/>
    <dgm:cxn modelId="{69C74DD3-EEAB-4A07-BEFC-9335786E8191}" srcId="{251E3682-3EE1-4A22-B76B-4A76590B12D2}" destId="{69B457AD-00B6-45B4-9E82-D0AF7282BC90}" srcOrd="0" destOrd="0" parTransId="{8F8CD980-C4C1-43C4-B601-295C3D9DD9AA}" sibTransId="{767314A5-D9A4-4C31-9B61-CEDC16C0D9CB}"/>
    <dgm:cxn modelId="{5E0D8D66-C7D1-4CAC-9F60-47831408C649}" type="presOf" srcId="{251E3682-3EE1-4A22-B76B-4A76590B12D2}" destId="{A429B8CF-CE6A-426D-A69A-25DF7A4CF1F6}" srcOrd="0" destOrd="0" presId="urn:microsoft.com/office/officeart/2005/8/layout/vList4"/>
    <dgm:cxn modelId="{FE81C4D2-33F6-4B7D-998B-A332BA5BBDA3}" srcId="{529D8FA4-9586-4CDC-A34C-40A43788838A}" destId="{6A39A677-9DEB-46B3-85F9-D8CCFFB49241}" srcOrd="2" destOrd="0" parTransId="{9881EAD1-61CD-44A6-8A07-A1390E157FA9}" sibTransId="{DD8E2FC5-B051-41E8-9195-A9E0C2C4C874}"/>
    <dgm:cxn modelId="{BE14E459-7B19-4066-8CD0-6EF5DC7693D5}" type="presOf" srcId="{5C32CEDB-0873-4BFF-AB3B-7F24A3D5BAF9}" destId="{45D21050-54E8-4DD2-AE3A-F5F8754DBF57}" srcOrd="1" destOrd="4" presId="urn:microsoft.com/office/officeart/2005/8/layout/vList4"/>
    <dgm:cxn modelId="{0ADC9525-57FA-44B8-8EAA-43DCF35C2A76}" type="presOf" srcId="{1126331F-BAA3-4218-8538-F7DEFB6E8C1F}" destId="{45D21050-54E8-4DD2-AE3A-F5F8754DBF57}" srcOrd="1" destOrd="3" presId="urn:microsoft.com/office/officeart/2005/8/layout/vList4"/>
    <dgm:cxn modelId="{7B4289E2-347D-481B-9D4C-2099B9D7FC8A}" type="presOf" srcId="{C11145D0-19B4-4BED-AC07-6E61CB3A41C1}" destId="{740C7BE1-9757-4BDF-BEF0-5DAF39FEFA01}" srcOrd="1" destOrd="3" presId="urn:microsoft.com/office/officeart/2005/8/layout/vList4"/>
    <dgm:cxn modelId="{B979BDD5-57F3-456E-A8CA-FC1DFF610C51}" srcId="{A80F3F74-989E-4849-BA25-A38ED19D2D1F}" destId="{D5FB005B-D9D0-42A1-B9C9-66F360CC1463}" srcOrd="2" destOrd="0" parTransId="{72A15833-AA7D-4CB8-BBF5-8970718AD4EE}" sibTransId="{0ABDD90E-72F1-41A7-BE78-7BE1A97B9FBC}"/>
    <dgm:cxn modelId="{53A614B4-4FAD-45CE-9789-E8F90CF41AC4}" srcId="{A80F3F74-989E-4849-BA25-A38ED19D2D1F}" destId="{A865418D-5B7C-4F1B-A937-B8DDFE6984B8}" srcOrd="0" destOrd="0" parTransId="{1B189465-1846-4B36-B0DE-8D67EA7D9CD4}" sibTransId="{31812FB5-89D8-436A-B711-8BBCB5E47632}"/>
    <dgm:cxn modelId="{9947966C-ACFF-4C5F-9965-431D9A2F82DD}" srcId="{6A39A677-9DEB-46B3-85F9-D8CCFFB49241}" destId="{3D1351E5-7469-4E57-851D-4AAA498CE853}" srcOrd="0" destOrd="0" parTransId="{6CF0F2D0-82B9-4435-8959-890E5C8C445A}" sibTransId="{2081240C-0CD6-4AB4-91DC-5C1457CFA2BA}"/>
    <dgm:cxn modelId="{767CC210-0DC3-42C2-8063-8EED12B37847}" srcId="{529D8FA4-9586-4CDC-A34C-40A43788838A}" destId="{90CFDAC3-A32F-4357-9936-E93245B4A6F1}" srcOrd="0" destOrd="0" parTransId="{913BCAA7-C097-4124-9929-CD7E4A7808EB}" sibTransId="{FB463EAD-1CD0-445C-8D25-3C1A347BA44D}"/>
    <dgm:cxn modelId="{01B0D332-7BA2-4207-A228-E3B6B4ACC0C4}" type="presOf" srcId="{A80F3F74-989E-4849-BA25-A38ED19D2D1F}" destId="{F79C7464-4D59-433A-82F7-7723E6A0EC0D}" srcOrd="1" destOrd="0" presId="urn:microsoft.com/office/officeart/2005/8/layout/vList4"/>
    <dgm:cxn modelId="{88DFA755-5295-40D7-91E2-A3ADFC112B97}" srcId="{90CFDAC3-A32F-4357-9936-E93245B4A6F1}" destId="{DAEC7B28-8629-40A2-8045-7C923C20CE5B}" srcOrd="1" destOrd="0" parTransId="{92F60D14-0189-4416-87D4-C3FD302F0D78}" sibTransId="{C1D63250-B2A3-41BB-85B4-F0B69B0B0A27}"/>
    <dgm:cxn modelId="{66EBD27C-DBC7-43DC-B0E8-9439532DD35F}" type="presOf" srcId="{251E3682-3EE1-4A22-B76B-4A76590B12D2}" destId="{45D21050-54E8-4DD2-AE3A-F5F8754DBF57}" srcOrd="1" destOrd="0" presId="urn:microsoft.com/office/officeart/2005/8/layout/vList4"/>
    <dgm:cxn modelId="{80EDFFCB-A6E4-49A7-857A-DAF4413068D5}" type="presOf" srcId="{69B457AD-00B6-45B4-9E82-D0AF7282BC90}" destId="{45D21050-54E8-4DD2-AE3A-F5F8754DBF57}" srcOrd="1" destOrd="1" presId="urn:microsoft.com/office/officeart/2005/8/layout/vList4"/>
    <dgm:cxn modelId="{CB5F5C29-7839-467C-BFDC-9ACD9775DA7A}" srcId="{A80F3F74-989E-4849-BA25-A38ED19D2D1F}" destId="{37E70605-FC6E-4AF6-80EC-F8135733A046}" srcOrd="1" destOrd="0" parTransId="{DB4832E5-F2EB-47CE-8B54-C6C9087E87F9}" sibTransId="{8DE46BD2-872C-4E30-87E0-8125AC5CD8CB}"/>
    <dgm:cxn modelId="{EED4E997-AABF-4D39-BF1A-393E98ADEC94}" type="presOf" srcId="{C11145D0-19B4-4BED-AC07-6E61CB3A41C1}" destId="{6D5157FC-345C-42EA-A0D2-DD6EBAA64FD5}" srcOrd="0" destOrd="3" presId="urn:microsoft.com/office/officeart/2005/8/layout/vList4"/>
    <dgm:cxn modelId="{2F5810B3-C0FA-45C6-B35D-85A1AC48E9AB}" type="presOf" srcId="{79E0AED4-3E5E-4114-A6E6-4A815EA201C8}" destId="{6459102A-A16D-413E-B464-D5C141BFE10B}" srcOrd="0" destOrd="3" presId="urn:microsoft.com/office/officeart/2005/8/layout/vList4"/>
    <dgm:cxn modelId="{4BEE7D46-2A70-4D06-9C5A-7F1847601317}" type="presOf" srcId="{37E70605-FC6E-4AF6-80EC-F8135733A046}" destId="{D19E0EE2-093F-4DA9-8AC1-7CC34B17E214}" srcOrd="0" destOrd="2" presId="urn:microsoft.com/office/officeart/2005/8/layout/vList4"/>
    <dgm:cxn modelId="{22A7C4A1-2DB2-4F23-9BE0-890753B625CC}" type="presOf" srcId="{CB475959-630C-40C0-8CED-7CE71E1A8908}" destId="{6459102A-A16D-413E-B464-D5C141BFE10B}" srcOrd="0" destOrd="0" presId="urn:microsoft.com/office/officeart/2005/8/layout/vList4"/>
    <dgm:cxn modelId="{B89978E3-B57B-4BC8-BB1A-E3D8A6957351}" type="presOf" srcId="{C98E9E31-00DE-494F-9EFB-832999C2A645}" destId="{B56DEC04-E0E6-4DE1-B0DD-0C4EC4E4DBA1}" srcOrd="0" destOrd="3" presId="urn:microsoft.com/office/officeart/2005/8/layout/vList4"/>
    <dgm:cxn modelId="{CDB37DDF-A1BE-4853-9035-3C41388A724B}" type="presOf" srcId="{C98E9E31-00DE-494F-9EFB-832999C2A645}" destId="{1218147F-AAAD-4569-AED7-6709AA3CE655}" srcOrd="1" destOrd="3" presId="urn:microsoft.com/office/officeart/2005/8/layout/vList4"/>
    <dgm:cxn modelId="{28EAE620-CC79-48FA-A318-0C04769C9EE0}" srcId="{90CFDAC3-A32F-4357-9936-E93245B4A6F1}" destId="{C11145D0-19B4-4BED-AC07-6E61CB3A41C1}" srcOrd="2" destOrd="0" parTransId="{A2498AEC-05AC-4F4E-97BA-39D3F891C6CD}" sibTransId="{94C6DAB5-53B5-459F-BAA7-842AE8379ACA}"/>
    <dgm:cxn modelId="{19CE83C5-80F2-41E9-965B-7AA81F26A38F}" srcId="{251E3682-3EE1-4A22-B76B-4A76590B12D2}" destId="{5C32CEDB-0873-4BFF-AB3B-7F24A3D5BAF9}" srcOrd="3" destOrd="0" parTransId="{D3545D4F-8093-48BB-BECA-785C0D37846B}" sibTransId="{D53912BB-63AB-4066-BDDC-93A7E8862934}"/>
    <dgm:cxn modelId="{93BC42A4-7B0F-4D6E-AA5B-3BF7B729E9A3}" srcId="{CB475959-630C-40C0-8CED-7CE71E1A8908}" destId="{65CD365E-97E0-48CB-871B-4EFBF4BCBC70}" srcOrd="3" destOrd="0" parTransId="{43927848-D56D-427F-BC7F-18FBA323A035}" sibTransId="{3771F518-9E29-4E8B-9C02-F5249BAB140C}"/>
    <dgm:cxn modelId="{A36D65EB-54B5-4A73-8EF8-FCEF3EEB5DA3}" type="presOf" srcId="{D5FB005B-D9D0-42A1-B9C9-66F360CC1463}" destId="{F79C7464-4D59-433A-82F7-7723E6A0EC0D}" srcOrd="1" destOrd="3" presId="urn:microsoft.com/office/officeart/2005/8/layout/vList4"/>
    <dgm:cxn modelId="{4D071FB4-94DE-416F-9DE9-E82029ED809C}" type="presOf" srcId="{A865418D-5B7C-4F1B-A937-B8DDFE6984B8}" destId="{D19E0EE2-093F-4DA9-8AC1-7CC34B17E214}" srcOrd="0" destOrd="1" presId="urn:microsoft.com/office/officeart/2005/8/layout/vList4"/>
    <dgm:cxn modelId="{F91A3CEE-362A-413B-99C9-81A94490C437}" type="presOf" srcId="{90CFDAC3-A32F-4357-9936-E93245B4A6F1}" destId="{6D5157FC-345C-42EA-A0D2-DD6EBAA64FD5}" srcOrd="0" destOrd="0" presId="urn:microsoft.com/office/officeart/2005/8/layout/vList4"/>
    <dgm:cxn modelId="{EE0513FC-845F-40EE-880A-78263FACF6B3}" type="presOf" srcId="{5FC29A76-78A4-4FDF-AF7F-BAA1F79C824C}" destId="{740C7BE1-9757-4BDF-BEF0-5DAF39FEFA01}" srcOrd="1" destOrd="1" presId="urn:microsoft.com/office/officeart/2005/8/layout/vList4"/>
    <dgm:cxn modelId="{22B9AFE5-6C41-4D44-BA78-D3CE2C9FEE92}" srcId="{CB475959-630C-40C0-8CED-7CE71E1A8908}" destId="{FDD06492-58FA-47DF-8BE9-1B7466F33028}" srcOrd="0" destOrd="0" parTransId="{376D0675-F446-49BF-B378-83DFF21294CF}" sibTransId="{44B5D1DE-850D-40EE-8151-9CEB75C13177}"/>
    <dgm:cxn modelId="{214E503A-34E8-481C-A3B3-09E65F4AB6B5}" type="presOf" srcId="{BDE47B9A-BAC7-429F-9394-A6D0F5F0F99D}" destId="{6D5157FC-345C-42EA-A0D2-DD6EBAA64FD5}" srcOrd="0" destOrd="5" presId="urn:microsoft.com/office/officeart/2005/8/layout/vList4"/>
    <dgm:cxn modelId="{13CF7EB4-4840-4AD0-A5E8-FFECA3C66FB6}" type="presOf" srcId="{37E70605-FC6E-4AF6-80EC-F8135733A046}" destId="{F79C7464-4D59-433A-82F7-7723E6A0EC0D}" srcOrd="1" destOrd="2" presId="urn:microsoft.com/office/officeart/2005/8/layout/vList4"/>
    <dgm:cxn modelId="{84271713-FFBF-42C6-8C9B-9AA492ED9487}" type="presParOf" srcId="{6DF82463-D840-4708-BF1A-7EDF948FAF4E}" destId="{134F5D30-A4D3-4D81-A75B-C1F7A38A9A71}" srcOrd="0" destOrd="0" presId="urn:microsoft.com/office/officeart/2005/8/layout/vList4"/>
    <dgm:cxn modelId="{0B3CCEA4-96B4-4557-A296-9A5AA4CAF296}" type="presParOf" srcId="{134F5D30-A4D3-4D81-A75B-C1F7A38A9A71}" destId="{6D5157FC-345C-42EA-A0D2-DD6EBAA64FD5}" srcOrd="0" destOrd="0" presId="urn:microsoft.com/office/officeart/2005/8/layout/vList4"/>
    <dgm:cxn modelId="{4A5BF6AB-4882-4C43-9C7A-95F70B88AD6B}" type="presParOf" srcId="{134F5D30-A4D3-4D81-A75B-C1F7A38A9A71}" destId="{7197F60F-601A-49A1-91CD-5FD261F67708}" srcOrd="1" destOrd="0" presId="urn:microsoft.com/office/officeart/2005/8/layout/vList4"/>
    <dgm:cxn modelId="{94E19F56-CCB6-444D-BB04-2F66C2591A69}" type="presParOf" srcId="{134F5D30-A4D3-4D81-A75B-C1F7A38A9A71}" destId="{740C7BE1-9757-4BDF-BEF0-5DAF39FEFA01}" srcOrd="2" destOrd="0" presId="urn:microsoft.com/office/officeart/2005/8/layout/vList4"/>
    <dgm:cxn modelId="{32BEB9CB-22E7-427C-BD34-12928881A90A}" type="presParOf" srcId="{6DF82463-D840-4708-BF1A-7EDF948FAF4E}" destId="{5D70E8CB-0343-46DC-BE8D-745B8B84405B}" srcOrd="1" destOrd="0" presId="urn:microsoft.com/office/officeart/2005/8/layout/vList4"/>
    <dgm:cxn modelId="{14BD4841-CED1-4A5B-BE16-4F6041CD9BCA}" type="presParOf" srcId="{6DF82463-D840-4708-BF1A-7EDF948FAF4E}" destId="{9E9AE80F-A2E9-4D06-B125-5BF31F3B0FD7}" srcOrd="2" destOrd="0" presId="urn:microsoft.com/office/officeart/2005/8/layout/vList4"/>
    <dgm:cxn modelId="{B8D37FAD-068E-430B-8C0C-03BB8E590E85}" type="presParOf" srcId="{9E9AE80F-A2E9-4D06-B125-5BF31F3B0FD7}" destId="{A429B8CF-CE6A-426D-A69A-25DF7A4CF1F6}" srcOrd="0" destOrd="0" presId="urn:microsoft.com/office/officeart/2005/8/layout/vList4"/>
    <dgm:cxn modelId="{4ECEF067-35EE-4875-9528-767B585A7D33}" type="presParOf" srcId="{9E9AE80F-A2E9-4D06-B125-5BF31F3B0FD7}" destId="{BB3AD350-D1E6-4A79-8D7B-BB8E807825B0}" srcOrd="1" destOrd="0" presId="urn:microsoft.com/office/officeart/2005/8/layout/vList4"/>
    <dgm:cxn modelId="{3A8FB56E-ECA9-4B38-BCB7-4A991807778B}" type="presParOf" srcId="{9E9AE80F-A2E9-4D06-B125-5BF31F3B0FD7}" destId="{45D21050-54E8-4DD2-AE3A-F5F8754DBF57}" srcOrd="2" destOrd="0" presId="urn:microsoft.com/office/officeart/2005/8/layout/vList4"/>
    <dgm:cxn modelId="{791D8BAB-76C5-4BEF-A9BE-3262DE23ED13}" type="presParOf" srcId="{6DF82463-D840-4708-BF1A-7EDF948FAF4E}" destId="{A248DF75-248F-4EC0-9FF5-CE86B606AE76}" srcOrd="3" destOrd="0" presId="urn:microsoft.com/office/officeart/2005/8/layout/vList4"/>
    <dgm:cxn modelId="{A1327CF4-B00F-44B6-A08D-E53A55158744}" type="presParOf" srcId="{6DF82463-D840-4708-BF1A-7EDF948FAF4E}" destId="{55D351F5-DCDE-4258-8320-29B9192B4443}" srcOrd="4" destOrd="0" presId="urn:microsoft.com/office/officeart/2005/8/layout/vList4"/>
    <dgm:cxn modelId="{11FCB096-E433-44BA-B93A-19D4E8917472}" type="presParOf" srcId="{55D351F5-DCDE-4258-8320-29B9192B4443}" destId="{B56DEC04-E0E6-4DE1-B0DD-0C4EC4E4DBA1}" srcOrd="0" destOrd="0" presId="urn:microsoft.com/office/officeart/2005/8/layout/vList4"/>
    <dgm:cxn modelId="{A46923C5-C1E2-4D36-ADC4-BA713BFFC2A6}" type="presParOf" srcId="{55D351F5-DCDE-4258-8320-29B9192B4443}" destId="{A97F60E1-ADF3-4DAA-A9F4-448EE0F5B4A7}" srcOrd="1" destOrd="0" presId="urn:microsoft.com/office/officeart/2005/8/layout/vList4"/>
    <dgm:cxn modelId="{A146827D-36E8-4C9F-8BB2-F70E8F90FD72}" type="presParOf" srcId="{55D351F5-DCDE-4258-8320-29B9192B4443}" destId="{1218147F-AAAD-4569-AED7-6709AA3CE655}" srcOrd="2" destOrd="0" presId="urn:microsoft.com/office/officeart/2005/8/layout/vList4"/>
    <dgm:cxn modelId="{C45EA1F7-56E1-42DB-9DF3-FE71C6723185}" type="presParOf" srcId="{6DF82463-D840-4708-BF1A-7EDF948FAF4E}" destId="{73FE7EF6-A789-4414-AAA4-71C24915E299}" srcOrd="5" destOrd="0" presId="urn:microsoft.com/office/officeart/2005/8/layout/vList4"/>
    <dgm:cxn modelId="{0E68CABD-F0C9-4A3C-BE68-BEE109A3536B}" type="presParOf" srcId="{6DF82463-D840-4708-BF1A-7EDF948FAF4E}" destId="{E2021F1A-923A-4CC0-8F85-07C4DDA84400}" srcOrd="6" destOrd="0" presId="urn:microsoft.com/office/officeart/2005/8/layout/vList4"/>
    <dgm:cxn modelId="{41846704-8413-431C-B5C8-83454E3383F0}" type="presParOf" srcId="{E2021F1A-923A-4CC0-8F85-07C4DDA84400}" destId="{D19E0EE2-093F-4DA9-8AC1-7CC34B17E214}" srcOrd="0" destOrd="0" presId="urn:microsoft.com/office/officeart/2005/8/layout/vList4"/>
    <dgm:cxn modelId="{0EDB6F6B-581E-4E09-B54D-5C2E3A3350B4}" type="presParOf" srcId="{E2021F1A-923A-4CC0-8F85-07C4DDA84400}" destId="{EA54F5A6-0930-4712-974E-9AC7E72403A2}" srcOrd="1" destOrd="0" presId="urn:microsoft.com/office/officeart/2005/8/layout/vList4"/>
    <dgm:cxn modelId="{693DBA5C-1F6A-41EA-8166-875CD96BF704}" type="presParOf" srcId="{E2021F1A-923A-4CC0-8F85-07C4DDA84400}" destId="{F79C7464-4D59-433A-82F7-7723E6A0EC0D}" srcOrd="2" destOrd="0" presId="urn:microsoft.com/office/officeart/2005/8/layout/vList4"/>
    <dgm:cxn modelId="{DBD5BEEB-0837-4C40-8A0A-CAE4B54B6B37}" type="presParOf" srcId="{6DF82463-D840-4708-BF1A-7EDF948FAF4E}" destId="{B22682C1-7C04-4340-94C9-FFCE50A88E42}" srcOrd="7" destOrd="0" presId="urn:microsoft.com/office/officeart/2005/8/layout/vList4"/>
    <dgm:cxn modelId="{24EEB383-48BA-4CB5-8809-8DB0DCA00635}" type="presParOf" srcId="{6DF82463-D840-4708-BF1A-7EDF948FAF4E}" destId="{E3ED4C92-DA8C-4C4A-A4EC-2619A81EFF54}" srcOrd="8" destOrd="0" presId="urn:microsoft.com/office/officeart/2005/8/layout/vList4"/>
    <dgm:cxn modelId="{82E2570F-D442-4609-8ABB-543F01C000D9}" type="presParOf" srcId="{E3ED4C92-DA8C-4C4A-A4EC-2619A81EFF54}" destId="{6459102A-A16D-413E-B464-D5C141BFE10B}" srcOrd="0" destOrd="0" presId="urn:microsoft.com/office/officeart/2005/8/layout/vList4"/>
    <dgm:cxn modelId="{5C759923-E5B3-4636-B5EE-4E517A526F56}" type="presParOf" srcId="{E3ED4C92-DA8C-4C4A-A4EC-2619A81EFF54}" destId="{01EF7B6F-31E7-496C-BBDD-605D1E87D847}" srcOrd="1" destOrd="0" presId="urn:microsoft.com/office/officeart/2005/8/layout/vList4"/>
    <dgm:cxn modelId="{2C8C0CAB-4F4E-44FA-BA44-EB3CB6685FA3}" type="presParOf" srcId="{E3ED4C92-DA8C-4C4A-A4EC-2619A81EFF54}" destId="{25EFE9BF-80FE-44A6-AC53-1C62B288639F}" srcOrd="2" destOrd="0" presId="urn:microsoft.com/office/officeart/2005/8/layout/vList4"/>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A3C4F71-FD09-4506-9088-B210CC6C565B}" type="doc">
      <dgm:prSet loTypeId="urn:microsoft.com/office/officeart/2005/8/layout/vList4" loCatId="list" qsTypeId="urn:microsoft.com/office/officeart/2005/8/quickstyle/simple4" qsCatId="simple" csTypeId="urn:microsoft.com/office/officeart/2005/8/colors/accent0_1" csCatId="mainScheme" phldr="1"/>
      <dgm:spPr/>
      <dgm:t>
        <a:bodyPr/>
        <a:lstStyle/>
        <a:p>
          <a:endParaRPr lang="pl-PL"/>
        </a:p>
      </dgm:t>
    </dgm:pt>
    <dgm:pt modelId="{57E7F40D-A63D-4CE9-B91D-64AB98BDB8B7}">
      <dgm:prSet phldrT="[Tekst]" custT="1"/>
      <dgm:spPr>
        <a:xfrm>
          <a:off x="0" y="0"/>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endPar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l"/>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road transport</a:t>
          </a:r>
        </a:p>
      </dgm:t>
    </dgm:pt>
    <dgm:pt modelId="{22409201-C735-450E-82C2-26A84ACC557A}" type="parTrans" cxnId="{CDAF6744-81E5-45E5-BFB8-1D030D4C531C}">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9C51E07B-6402-485D-96E1-8AC842AEB171}" type="sibTrans" cxnId="{CDAF6744-81E5-45E5-BFB8-1D030D4C531C}">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190371AA-6F82-4248-B235-2EEFC038EE54}">
      <dgm:prSet phldrT="[Tekst]" custT="1"/>
      <dgm:spPr>
        <a:xfrm>
          <a:off x="0" y="0"/>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60.57 km of new road were constructed,</a:t>
          </a:r>
        </a:p>
      </dgm:t>
    </dgm:pt>
    <dgm:pt modelId="{FB18E18F-DCE2-4D36-BBDD-C80CC45FC445}" type="parTrans" cxnId="{39239C1D-C5A2-4ABF-81D7-B63CE40AB11D}">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92DC8061-9752-4804-A1BF-797C99CBDCBA}" type="sibTrans" cxnId="{39239C1D-C5A2-4ABF-81D7-B63CE40AB11D}">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BDC2ED0F-9A2E-4A0B-9F42-447ED98B5CE0}">
      <dgm:prSet phldrT="[Tekst]" custT="1"/>
      <dgm:spPr>
        <a:xfrm>
          <a:off x="0" y="1656341"/>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endPar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l"/>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More effective transport links</a:t>
          </a:r>
        </a:p>
      </dgm:t>
    </dgm:pt>
    <dgm:pt modelId="{8D35298D-A66C-4104-9256-32BC339D554E}" type="parTrans" cxnId="{923CC817-97C6-406A-9A02-CFF4848BB5DE}">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5C7B78F1-7FA4-4A5F-B302-AA40D8D80DF9}" type="sibTrans" cxnId="{923CC817-97C6-406A-9A02-CFF4848BB5DE}">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E577F059-20D2-4B04-AF02-B978E33168A1}">
      <dgm:prSet phldrT="[Tekst]" custT="1"/>
      <dgm:spPr>
        <a:xfrm>
          <a:off x="0" y="1656341"/>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13 pieces of railway stock were bought,</a:t>
          </a:r>
        </a:p>
      </dgm:t>
    </dgm:pt>
    <dgm:pt modelId="{AFB28C9B-9000-46C0-91D1-CBABBE0172FD}" type="parTrans" cxnId="{8157B641-8482-4778-9A78-690F77EDAB2B}">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53999C26-BFAD-456F-9B23-6258D46E65E3}" type="sibTrans" cxnId="{8157B641-8482-4778-9A78-690F77EDAB2B}">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854F0327-B728-40C5-8112-DC3F8BDF584D}">
      <dgm:prSet phldrT="[Tekst]" custT="1"/>
      <dgm:spPr>
        <a:xfrm>
          <a:off x="0" y="3312683"/>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endPar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l"/>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More effective education</a:t>
          </a:r>
        </a:p>
      </dgm:t>
    </dgm:pt>
    <dgm:pt modelId="{68160EB8-385A-4243-9A60-37B10C44919A}" type="parTrans" cxnId="{3162025A-CF7B-46D8-987A-D5D8710E87D1}">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7C1D6761-B370-44BA-A7FF-C7EA3BC9638A}" type="sibTrans" cxnId="{3162025A-CF7B-46D8-987A-D5D8710E87D1}">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FDE1F0A1-C527-4194-9345-C3993E1A78FA}">
      <dgm:prSet phldrT="[Tekst]" custT="1"/>
      <dgm:spPr>
        <a:xfrm>
          <a:off x="0" y="3312683"/>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111 education projects were implemented,</a:t>
          </a:r>
        </a:p>
      </dgm:t>
    </dgm:pt>
    <dgm:pt modelId="{58FEDCA4-4949-44A6-811A-E8A3D160A86C}" type="parTrans" cxnId="{8ACD9005-0881-4736-B3A0-6E85EBD42085}">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D949905E-15C1-46C9-A2CD-A3EE9E20639C}" type="sibTrans" cxnId="{8ACD9005-0881-4736-B3A0-6E85EBD42085}">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31EEB207-5231-40F2-BC7A-B48F8D4B6AF3}">
      <dgm:prSet phldrT="[Tekst]" custT="1"/>
      <dgm:spPr>
        <a:xfrm>
          <a:off x="0" y="0"/>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413.86 km of roads were reconstructed, including 27.79 km regional roads and 386.07 km local roads,</a:t>
          </a:r>
        </a:p>
      </dgm:t>
    </dgm:pt>
    <dgm:pt modelId="{B298D0E9-15F7-499A-BE61-59AF81A1626C}" type="parTrans" cxnId="{0FE6CE0C-7064-48EC-B96B-6E7FB9B6DBE5}">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BC6B0ABE-C049-4AC6-B752-D99F45E84CFF}" type="sibTrans" cxnId="{0FE6CE0C-7064-48EC-B96B-6E7FB9B6DBE5}">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2355C68B-F758-4C14-AE33-656524282810}">
      <dgm:prSet phldrT="[Tekst]" custT="1"/>
      <dgm:spPr>
        <a:xfrm>
          <a:off x="0" y="0"/>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solidFill>
              <a:latin typeface="Times New Roman" panose="02020603050405020304" pitchFamily="18" charset="0"/>
              <a:ea typeface="+mn-ea"/>
              <a:cs typeface="Times New Roman" panose="02020603050405020304" pitchFamily="18" charset="0"/>
            </a:rPr>
            <a:t>6</a:t>
          </a:r>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6.01 million EUR was saved for new and reconstructed roads in passenger and cargo carriages.</a:t>
          </a:r>
        </a:p>
      </dgm:t>
    </dgm:pt>
    <dgm:pt modelId="{2CA19FA3-C7AC-41C5-A847-9F3CA0ABC007}" type="parTrans" cxnId="{61D23FB5-F1D9-4061-B0C1-79BFF9AE7D22}">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8DAF7193-6FA6-488A-ABB7-6817CA8A3C84}" type="sibTrans" cxnId="{61D23FB5-F1D9-4061-B0C1-79BFF9AE7D22}">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EEA3B202-40A6-4491-BA7D-82BC077FEC87}">
      <dgm:prSet custT="1"/>
      <dgm:spPr>
        <a:xfrm>
          <a:off x="0" y="3312683"/>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85 k students benefited from the supported education infrastructure,</a:t>
          </a:r>
        </a:p>
      </dgm:t>
    </dgm:pt>
    <dgm:pt modelId="{E2057256-1CDF-4544-B9E0-0CADE9292FDE}" type="parTrans" cxnId="{B1B6D4DA-72A2-4C05-AE82-6E520367AB3C}">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CEA98A13-1C4D-4FFB-828A-249B85769DE9}" type="sibTrans" cxnId="{B1B6D4DA-72A2-4C05-AE82-6E520367AB3C}">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4E4F4C94-2834-4A0A-B167-0E3BA13E7A92}">
      <dgm:prSet custT="1"/>
      <dgm:spPr>
        <a:xfrm>
          <a:off x="0" y="3312683"/>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17 continuous education centres were supported</a:t>
          </a:r>
        </a:p>
      </dgm:t>
    </dgm:pt>
    <dgm:pt modelId="{A465358D-860F-4A54-A360-1D12875BA1D9}" type="parTrans" cxnId="{901A6038-2680-4B26-9D69-BD47B0876495}">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C99B44C0-0083-43AD-A458-CA18803E1851}" type="sibTrans" cxnId="{901A6038-2680-4B26-9D69-BD47B0876495}">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217A2BC2-12B6-4C72-A825-CAD2CDEE64ED}">
      <dgm:prSet custT="1"/>
      <dgm:spPr>
        <a:xfrm>
          <a:off x="0" y="4987667"/>
          <a:ext cx="6267450" cy="1682527"/>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endPar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l"/>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healthcare sector</a:t>
          </a:r>
        </a:p>
      </dgm:t>
    </dgm:pt>
    <dgm:pt modelId="{743905F0-D2A1-44FB-8DC4-A7BB19447AEB}" type="parTrans" cxnId="{54D3E51A-2734-4688-871E-C4C02DD5775F}">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ADA71020-1DF0-45CE-917D-6C9380850BFC}" type="sibTrans" cxnId="{54D3E51A-2734-4688-871E-C4C02DD5775F}">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1F42B9D3-A42D-46BF-BC23-C32B1AB72B81}">
      <dgm:prSet custT="1"/>
      <dgm:spPr>
        <a:xfrm>
          <a:off x="0" y="6802129"/>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endPar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l"/>
          <a:r>
            <a:rPr lang="pl-PL" sz="105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Sports infrastructure</a:t>
          </a:r>
          <a:endPar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808ECAA6-7DC1-48E7-A05E-C8287119F459}" type="parTrans" cxnId="{3EC2986F-89F2-42F5-8273-9042D78608B9}">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339A8B1F-1828-4D8C-B1FC-1627A7D4BEE7}" type="sibTrans" cxnId="{3EC2986F-89F2-42F5-8273-9042D78608B9}">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20232FD9-1268-4B10-AB0A-7103F8691F96}">
      <dgm:prSet custT="1"/>
      <dgm:spPr>
        <a:xfrm>
          <a:off x="0" y="4987667"/>
          <a:ext cx="6267450" cy="1682527"/>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112 healthcare projects were implemented,</a:t>
          </a:r>
        </a:p>
      </dgm:t>
    </dgm:pt>
    <dgm:pt modelId="{D59F4757-9111-419E-A251-64291B9E2FA9}" type="parTrans" cxnId="{BE17F619-8B81-4BD5-B177-0DBDBB86F6F1}">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07B3EB84-4B86-478F-8BEC-B23375D9DEAF}" type="sibTrans" cxnId="{BE17F619-8B81-4BD5-B177-0DBDBB86F6F1}">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DA823E0A-73D2-4073-8094-CA54BE5E2764}">
      <dgm:prSet custT="1"/>
      <dgm:spPr>
        <a:xfrm>
          <a:off x="0" y="6802129"/>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nearly 1.6 million people benefited from the funded sports infrastructure.</a:t>
          </a:r>
        </a:p>
      </dgm:t>
    </dgm:pt>
    <dgm:pt modelId="{7A04916F-ABD5-4023-AC72-0A9FD46A94D5}" type="parTrans" cxnId="{13185941-D103-493C-9C43-72F59DF9955D}">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63842D87-7A54-40CF-9BDF-69B3E89E2828}" type="sibTrans" cxnId="{13185941-D103-493C-9C43-72F59DF9955D}">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1E95AF0E-0766-493A-B8CA-EBDC62AE959F}">
      <dgm:prSet custT="1"/>
      <dgm:spPr>
        <a:xfrm>
          <a:off x="0" y="4987667"/>
          <a:ext cx="6267450" cy="1682527"/>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122 healthcare centres were refurbished/modernised, or additionally equipped with medical equipment,</a:t>
          </a:r>
        </a:p>
      </dgm:t>
    </dgm:pt>
    <dgm:pt modelId="{49361916-B463-41C8-99EE-F8AD6E6A0D94}" type="parTrans" cxnId="{0D4F741A-2699-4BEF-A4AE-FE785068B641}">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944CAC80-3496-402A-AF8D-FB74753F9192}" type="sibTrans" cxnId="{0D4F741A-2699-4BEF-A4AE-FE785068B641}">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007F6BF1-26F3-4681-A39C-FCF657885BA2}">
      <dgm:prSet custT="1"/>
      <dgm:spPr>
        <a:xfrm>
          <a:off x="0" y="4987667"/>
          <a:ext cx="6267450" cy="1682527"/>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2,25 million pieces of advice were given, using the healthcare infrastructure supported under the programme.</a:t>
          </a:r>
        </a:p>
      </dgm:t>
    </dgm:pt>
    <dgm:pt modelId="{1D734ACE-AC44-4519-A3C4-156C9F4C8EE9}" type="parTrans" cxnId="{481ABF5B-6901-450F-B057-82B0F114357D}">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91743296-7A83-4297-B8B3-4AE722E82724}" type="sibTrans" cxnId="{481ABF5B-6901-450F-B057-82B0F114357D}">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0D4699AA-95D9-4DBD-95FA-44D7CD1AD035}">
      <dgm:prSet phldrT="[Tekst]" custT="1"/>
      <dgm:spPr>
        <a:xfrm>
          <a:off x="0" y="1656341"/>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4,6 km of new tramway line was constructed.</a:t>
          </a:r>
        </a:p>
      </dgm:t>
    </dgm:pt>
    <dgm:pt modelId="{D8736E10-8786-4F4D-8685-3761CBFD96AD}" type="parTrans" cxnId="{A4C02BF4-D06D-46C0-979C-A6FBFB11420F}">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18F7987D-E732-46C5-8E3A-ACDB2F1D82F1}" type="sibTrans" cxnId="{A4C02BF4-D06D-46C0-979C-A6FBFB11420F}">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555F3BD4-DE82-4ED0-A5C6-FAC3DEA078EA}">
      <dgm:prSet custT="1"/>
      <dgm:spPr>
        <a:xfrm>
          <a:off x="0" y="6802129"/>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45 outdoor and indoor sports facilities were supported,</a:t>
          </a:r>
        </a:p>
      </dgm:t>
    </dgm:pt>
    <dgm:pt modelId="{C12F9CA8-8B48-4A55-8006-2B50635355B4}" type="parTrans" cxnId="{4146AB97-391C-42F9-8520-B6A75D19BDC3}">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54B26801-D1F7-4EE2-BCAD-88BFC17AE244}" type="sibTrans" cxnId="{4146AB97-391C-42F9-8520-B6A75D19BDC3}">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FDBAC319-6F16-4FA2-B6BB-428B0E4D1863}">
      <dgm:prSet phldrT="[Tekst]" custT="1"/>
      <dgm:spPr>
        <a:xfrm>
          <a:off x="0" y="1656341"/>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gm:spPr>
      <dgm:t>
        <a:bodyPr/>
        <a:lstStyle/>
        <a:p>
          <a:pPr algn="l"/>
          <a:r>
            <a:rPr lang="pl-PL" sz="1050">
              <a:solidFill>
                <a:sysClr val="windowText" lastClr="000000"/>
              </a:solidFill>
              <a:latin typeface="Times New Roman" panose="02020603050405020304" pitchFamily="18" charset="0"/>
              <a:ea typeface="+mn-ea"/>
              <a:cs typeface="Times New Roman" panose="02020603050405020304" pitchFamily="18" charset="0"/>
            </a:rPr>
            <a:t>235 pieces of urban transport stock were bought including 7 new tramways</a:t>
          </a:r>
          <a:r>
            <a:rPr lang="pl-PL" sz="105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gm:t>
    </dgm:pt>
    <dgm:pt modelId="{B86CDE02-5100-4AA2-BAC8-7EE77423AC85}" type="sibTrans" cxnId="{15AEBC7E-70DB-4BA4-ACE7-500555977EB0}">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C16BB4C5-055D-458F-ADBA-36B1DE142359}" type="parTrans" cxnId="{15AEBC7E-70DB-4BA4-ACE7-500555977EB0}">
      <dgm:prSet/>
      <dgm:spPr/>
      <dgm:t>
        <a:bodyPr/>
        <a:lstStyle/>
        <a:p>
          <a:pPr algn="l"/>
          <a:endParaRPr lang="pl-PL" sz="1050">
            <a:latin typeface="Times New Roman" panose="02020603050405020304" pitchFamily="18" charset="0"/>
            <a:cs typeface="Times New Roman" panose="02020603050405020304" pitchFamily="18" charset="0"/>
          </a:endParaRPr>
        </a:p>
      </dgm:t>
    </dgm:pt>
    <dgm:pt modelId="{28AC6654-4F27-4DB0-8F76-3C7B38A0816E}" type="pres">
      <dgm:prSet presAssocID="{2A3C4F71-FD09-4506-9088-B210CC6C565B}" presName="linear" presStyleCnt="0">
        <dgm:presLayoutVars>
          <dgm:dir/>
          <dgm:resizeHandles val="exact"/>
        </dgm:presLayoutVars>
      </dgm:prSet>
      <dgm:spPr/>
      <dgm:t>
        <a:bodyPr/>
        <a:lstStyle/>
        <a:p>
          <a:endParaRPr lang="pl-PL"/>
        </a:p>
      </dgm:t>
    </dgm:pt>
    <dgm:pt modelId="{9C5FEEBB-7036-4B43-BDD2-9E5210FEF15B}" type="pres">
      <dgm:prSet presAssocID="{57E7F40D-A63D-4CE9-B91D-64AB98BDB8B7}" presName="comp" presStyleCnt="0"/>
      <dgm:spPr/>
    </dgm:pt>
    <dgm:pt modelId="{95D67C81-E270-46D8-8834-5C2E41F7EF35}" type="pres">
      <dgm:prSet presAssocID="{57E7F40D-A63D-4CE9-B91D-64AB98BDB8B7}" presName="box" presStyleLbl="node1" presStyleIdx="0" presStyleCnt="5" custLinFactNeighborX="-433" custLinFactNeighborY="-48120"/>
      <dgm:spPr>
        <a:prstGeom prst="roundRect">
          <a:avLst>
            <a:gd name="adj" fmla="val 10000"/>
          </a:avLst>
        </a:prstGeom>
      </dgm:spPr>
      <dgm:t>
        <a:bodyPr/>
        <a:lstStyle/>
        <a:p>
          <a:endParaRPr lang="pl-PL"/>
        </a:p>
      </dgm:t>
    </dgm:pt>
    <dgm:pt modelId="{55B2446D-BD47-4761-85F8-948559852989}" type="pres">
      <dgm:prSet presAssocID="{57E7F40D-A63D-4CE9-B91D-64AB98BDB8B7}" presName="img" presStyleLbl="fgImgPlace1" presStyleIdx="0" presStyleCnt="5" custScaleY="64283"/>
      <dgm:spPr>
        <a:xfrm>
          <a:off x="150576" y="365702"/>
          <a:ext cx="1253490" cy="774360"/>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2000" r="-22000"/>
          </a:stretch>
        </a:blipFill>
        <a:ln>
          <a:noFill/>
        </a:ln>
        <a:effectLst/>
      </dgm:spPr>
      <dgm:t>
        <a:bodyPr/>
        <a:lstStyle/>
        <a:p>
          <a:endParaRPr lang="pl-PL"/>
        </a:p>
      </dgm:t>
    </dgm:pt>
    <dgm:pt modelId="{7D99DB06-FDA6-4622-8839-42EF32A1EC6E}" type="pres">
      <dgm:prSet presAssocID="{57E7F40D-A63D-4CE9-B91D-64AB98BDB8B7}" presName="text" presStyleLbl="node1" presStyleIdx="0" presStyleCnt="5">
        <dgm:presLayoutVars>
          <dgm:bulletEnabled val="1"/>
        </dgm:presLayoutVars>
      </dgm:prSet>
      <dgm:spPr/>
      <dgm:t>
        <a:bodyPr/>
        <a:lstStyle/>
        <a:p>
          <a:endParaRPr lang="pl-PL"/>
        </a:p>
      </dgm:t>
    </dgm:pt>
    <dgm:pt modelId="{CB137BC2-154E-470C-9C86-E31F5D2E3DE8}" type="pres">
      <dgm:prSet presAssocID="{9C51E07B-6402-485D-96E1-8AC842AEB171}" presName="spacer" presStyleCnt="0"/>
      <dgm:spPr/>
    </dgm:pt>
    <dgm:pt modelId="{24E1BE75-03B2-41BE-91F2-03F5FE055B8F}" type="pres">
      <dgm:prSet presAssocID="{BDC2ED0F-9A2E-4A0B-9F42-447ED98B5CE0}" presName="comp" presStyleCnt="0"/>
      <dgm:spPr/>
    </dgm:pt>
    <dgm:pt modelId="{1E0F086C-B266-4EB4-9CA9-6DC3D87E8910}" type="pres">
      <dgm:prSet presAssocID="{BDC2ED0F-9A2E-4A0B-9F42-447ED98B5CE0}" presName="box" presStyleLbl="node1" presStyleIdx="1" presStyleCnt="5" custLinFactNeighborX="7"/>
      <dgm:spPr>
        <a:prstGeom prst="roundRect">
          <a:avLst>
            <a:gd name="adj" fmla="val 10000"/>
          </a:avLst>
        </a:prstGeom>
      </dgm:spPr>
      <dgm:t>
        <a:bodyPr/>
        <a:lstStyle/>
        <a:p>
          <a:endParaRPr lang="pl-PL"/>
        </a:p>
      </dgm:t>
    </dgm:pt>
    <dgm:pt modelId="{76276C71-E75E-49AE-B883-1A5435C1C5F1}" type="pres">
      <dgm:prSet presAssocID="{BDC2ED0F-9A2E-4A0B-9F42-447ED98B5CE0}" presName="img" presStyleLbl="fgImgPlace1" presStyleIdx="1" presStyleCnt="5" custScaleY="68996"/>
      <dgm:spPr>
        <a:xfrm>
          <a:off x="150576" y="1993657"/>
          <a:ext cx="1253490" cy="831134"/>
        </a:xfrm>
        <a:prstGeom prst="roundRect">
          <a:avLst>
            <a:gd name="adj" fmla="val 10000"/>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33000" r="-33000"/>
          </a:stretch>
        </a:blipFill>
        <a:ln>
          <a:noFill/>
        </a:ln>
        <a:effectLst/>
      </dgm:spPr>
      <dgm:t>
        <a:bodyPr/>
        <a:lstStyle/>
        <a:p>
          <a:endParaRPr lang="pl-PL"/>
        </a:p>
      </dgm:t>
    </dgm:pt>
    <dgm:pt modelId="{00A0DDC1-455E-43BB-B68C-FE447EDE407C}" type="pres">
      <dgm:prSet presAssocID="{BDC2ED0F-9A2E-4A0B-9F42-447ED98B5CE0}" presName="text" presStyleLbl="node1" presStyleIdx="1" presStyleCnt="5">
        <dgm:presLayoutVars>
          <dgm:bulletEnabled val="1"/>
        </dgm:presLayoutVars>
      </dgm:prSet>
      <dgm:spPr/>
      <dgm:t>
        <a:bodyPr/>
        <a:lstStyle/>
        <a:p>
          <a:endParaRPr lang="pl-PL"/>
        </a:p>
      </dgm:t>
    </dgm:pt>
    <dgm:pt modelId="{124AF958-7BF4-49F4-BAB8-5A61A683BCF1}" type="pres">
      <dgm:prSet presAssocID="{5C7B78F1-7FA4-4A5F-B302-AA40D8D80DF9}" presName="spacer" presStyleCnt="0"/>
      <dgm:spPr/>
    </dgm:pt>
    <dgm:pt modelId="{ABD298E8-F0BC-4E80-BF75-F22A505A12A2}" type="pres">
      <dgm:prSet presAssocID="{854F0327-B728-40C5-8112-DC3F8BDF584D}" presName="comp" presStyleCnt="0"/>
      <dgm:spPr/>
    </dgm:pt>
    <dgm:pt modelId="{A5D03F75-3113-4D1F-B643-182E8AF97173}" type="pres">
      <dgm:prSet presAssocID="{854F0327-B728-40C5-8112-DC3F8BDF584D}" presName="box" presStyleLbl="node1" presStyleIdx="2" presStyleCnt="5"/>
      <dgm:spPr>
        <a:prstGeom prst="roundRect">
          <a:avLst>
            <a:gd name="adj" fmla="val 10000"/>
          </a:avLst>
        </a:prstGeom>
      </dgm:spPr>
      <dgm:t>
        <a:bodyPr/>
        <a:lstStyle/>
        <a:p>
          <a:endParaRPr lang="pl-PL"/>
        </a:p>
      </dgm:t>
    </dgm:pt>
    <dgm:pt modelId="{92C3832B-AA73-409F-BE6E-7B14B3959981}" type="pres">
      <dgm:prSet presAssocID="{854F0327-B728-40C5-8112-DC3F8BDF584D}" presName="img" presStyleLbl="fgImgPlace1" presStyleIdx="2" presStyleCnt="5" custScaleY="66888"/>
      <dgm:spPr>
        <a:xfrm>
          <a:off x="150576" y="3662696"/>
          <a:ext cx="1253490" cy="805741"/>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18000" r="-18000"/>
          </a:stretch>
        </a:blipFill>
        <a:ln>
          <a:noFill/>
        </a:ln>
        <a:effectLst/>
      </dgm:spPr>
      <dgm:t>
        <a:bodyPr/>
        <a:lstStyle/>
        <a:p>
          <a:endParaRPr lang="pl-PL"/>
        </a:p>
      </dgm:t>
    </dgm:pt>
    <dgm:pt modelId="{18583EBE-953F-4F71-8020-6BD7F34750B6}" type="pres">
      <dgm:prSet presAssocID="{854F0327-B728-40C5-8112-DC3F8BDF584D}" presName="text" presStyleLbl="node1" presStyleIdx="2" presStyleCnt="5">
        <dgm:presLayoutVars>
          <dgm:bulletEnabled val="1"/>
        </dgm:presLayoutVars>
      </dgm:prSet>
      <dgm:spPr/>
      <dgm:t>
        <a:bodyPr/>
        <a:lstStyle/>
        <a:p>
          <a:endParaRPr lang="pl-PL"/>
        </a:p>
      </dgm:t>
    </dgm:pt>
    <dgm:pt modelId="{6EFE8F36-3611-4A3A-836A-CA194A8C8925}" type="pres">
      <dgm:prSet presAssocID="{7C1D6761-B370-44BA-A7FF-C7EA3BC9638A}" presName="spacer" presStyleCnt="0"/>
      <dgm:spPr/>
    </dgm:pt>
    <dgm:pt modelId="{2A86D2F2-A5BA-463C-B50D-F282B2B98B29}" type="pres">
      <dgm:prSet presAssocID="{217A2BC2-12B6-4C72-A825-CAD2CDEE64ED}" presName="comp" presStyleCnt="0"/>
      <dgm:spPr/>
    </dgm:pt>
    <dgm:pt modelId="{F1CDE5CB-5E94-4B02-9386-D1A89FA6C2AF}" type="pres">
      <dgm:prSet presAssocID="{217A2BC2-12B6-4C72-A825-CAD2CDEE64ED}" presName="box" presStyleLbl="node1" presStyleIdx="3" presStyleCnt="5" custScaleY="111739" custLinFactNeighborX="7" custLinFactNeighborY="1238"/>
      <dgm:spPr>
        <a:prstGeom prst="roundRect">
          <a:avLst>
            <a:gd name="adj" fmla="val 10000"/>
          </a:avLst>
        </a:prstGeom>
      </dgm:spPr>
      <dgm:t>
        <a:bodyPr/>
        <a:lstStyle/>
        <a:p>
          <a:endParaRPr lang="pl-PL"/>
        </a:p>
      </dgm:t>
    </dgm:pt>
    <dgm:pt modelId="{AB95DE6D-83F6-48A0-93D6-DDF2DD445FD8}" type="pres">
      <dgm:prSet presAssocID="{217A2BC2-12B6-4C72-A825-CAD2CDEE64ED}" presName="img" presStyleLbl="fgImgPlace1" presStyleIdx="3" presStyleCnt="5" custScaleY="69053"/>
      <dgm:spPr>
        <a:xfrm>
          <a:off x="150576" y="5394379"/>
          <a:ext cx="1253490" cy="831820"/>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22000" r="-22000"/>
          </a:stretch>
        </a:blipFill>
        <a:ln>
          <a:noFill/>
        </a:ln>
        <a:effectLst/>
      </dgm:spPr>
      <dgm:t>
        <a:bodyPr/>
        <a:lstStyle/>
        <a:p>
          <a:endParaRPr lang="pl-PL"/>
        </a:p>
      </dgm:t>
    </dgm:pt>
    <dgm:pt modelId="{4119ACF4-FF1D-4499-84B6-7104D84113F4}" type="pres">
      <dgm:prSet presAssocID="{217A2BC2-12B6-4C72-A825-CAD2CDEE64ED}" presName="text" presStyleLbl="node1" presStyleIdx="3" presStyleCnt="5">
        <dgm:presLayoutVars>
          <dgm:bulletEnabled val="1"/>
        </dgm:presLayoutVars>
      </dgm:prSet>
      <dgm:spPr/>
      <dgm:t>
        <a:bodyPr/>
        <a:lstStyle/>
        <a:p>
          <a:endParaRPr lang="pl-PL"/>
        </a:p>
      </dgm:t>
    </dgm:pt>
    <dgm:pt modelId="{617AAF2E-3A14-4A39-8CCB-F5F0BFAF1851}" type="pres">
      <dgm:prSet presAssocID="{ADA71020-1DF0-45CE-917D-6C9380850BFC}" presName="spacer" presStyleCnt="0"/>
      <dgm:spPr/>
    </dgm:pt>
    <dgm:pt modelId="{E6BE11D0-BD4B-4533-8D54-228F89C9B7E4}" type="pres">
      <dgm:prSet presAssocID="{1F42B9D3-A42D-46BF-BC23-C32B1AB72B81}" presName="comp" presStyleCnt="0"/>
      <dgm:spPr/>
    </dgm:pt>
    <dgm:pt modelId="{185E2FDF-AC72-4D5C-8B22-C7357965A844}" type="pres">
      <dgm:prSet presAssocID="{1F42B9D3-A42D-46BF-BC23-C32B1AB72B81}" presName="box" presStyleLbl="node1" presStyleIdx="4" presStyleCnt="5"/>
      <dgm:spPr>
        <a:prstGeom prst="roundRect">
          <a:avLst>
            <a:gd name="adj" fmla="val 10000"/>
          </a:avLst>
        </a:prstGeom>
      </dgm:spPr>
      <dgm:t>
        <a:bodyPr/>
        <a:lstStyle/>
        <a:p>
          <a:endParaRPr lang="pl-PL"/>
        </a:p>
      </dgm:t>
    </dgm:pt>
    <dgm:pt modelId="{6AB19C08-8490-4C7E-A619-4119E9FB6B8F}" type="pres">
      <dgm:prSet presAssocID="{1F42B9D3-A42D-46BF-BC23-C32B1AB72B81}" presName="img" presStyleLbl="fgImgPlace1" presStyleIdx="4" presStyleCnt="5" custScaleY="73907"/>
      <dgm:spPr>
        <a:xfrm>
          <a:off x="150576" y="7109866"/>
          <a:ext cx="1253490" cy="890292"/>
        </a:xfrm>
        <a:prstGeom prst="roundRect">
          <a:avLst>
            <a:gd name="adj" fmla="val 10000"/>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5000" r="-25000"/>
          </a:stretch>
        </a:blipFill>
        <a:ln>
          <a:noFill/>
        </a:ln>
        <a:effectLst/>
      </dgm:spPr>
      <dgm:t>
        <a:bodyPr/>
        <a:lstStyle/>
        <a:p>
          <a:endParaRPr lang="pl-PL"/>
        </a:p>
      </dgm:t>
    </dgm:pt>
    <dgm:pt modelId="{25B60FB7-A62E-4777-8254-91E8386C7086}" type="pres">
      <dgm:prSet presAssocID="{1F42B9D3-A42D-46BF-BC23-C32B1AB72B81}" presName="text" presStyleLbl="node1" presStyleIdx="4" presStyleCnt="5">
        <dgm:presLayoutVars>
          <dgm:bulletEnabled val="1"/>
        </dgm:presLayoutVars>
      </dgm:prSet>
      <dgm:spPr/>
      <dgm:t>
        <a:bodyPr/>
        <a:lstStyle/>
        <a:p>
          <a:endParaRPr lang="pl-PL"/>
        </a:p>
      </dgm:t>
    </dgm:pt>
  </dgm:ptLst>
  <dgm:cxnLst>
    <dgm:cxn modelId="{829F6B1D-B0BE-438B-835D-B208FE055DAF}" type="presOf" srcId="{FDE1F0A1-C527-4194-9345-C3993E1A78FA}" destId="{A5D03F75-3113-4D1F-B643-182E8AF97173}" srcOrd="0" destOrd="1" presId="urn:microsoft.com/office/officeart/2005/8/layout/vList4"/>
    <dgm:cxn modelId="{182127C0-8EFE-4B2D-B185-A449CC0A31A8}" type="presOf" srcId="{31EEB207-5231-40F2-BC7A-B48F8D4B6AF3}" destId="{7D99DB06-FDA6-4622-8839-42EF32A1EC6E}" srcOrd="1" destOrd="2" presId="urn:microsoft.com/office/officeart/2005/8/layout/vList4"/>
    <dgm:cxn modelId="{13185941-D103-493C-9C43-72F59DF9955D}" srcId="{1F42B9D3-A42D-46BF-BC23-C32B1AB72B81}" destId="{DA823E0A-73D2-4073-8094-CA54BE5E2764}" srcOrd="1" destOrd="0" parTransId="{7A04916F-ABD5-4023-AC72-0A9FD46A94D5}" sibTransId="{63842D87-7A54-40CF-9BDF-69B3E89E2828}"/>
    <dgm:cxn modelId="{901A6038-2680-4B26-9D69-BD47B0876495}" srcId="{854F0327-B728-40C5-8112-DC3F8BDF584D}" destId="{4E4F4C94-2834-4A0A-B167-0E3BA13E7A92}" srcOrd="2" destOrd="0" parTransId="{A465358D-860F-4A54-A360-1D12875BA1D9}" sibTransId="{C99B44C0-0083-43AD-A458-CA18803E1851}"/>
    <dgm:cxn modelId="{481ABF5B-6901-450F-B057-82B0F114357D}" srcId="{217A2BC2-12B6-4C72-A825-CAD2CDEE64ED}" destId="{007F6BF1-26F3-4681-A39C-FCF657885BA2}" srcOrd="2" destOrd="0" parTransId="{1D734ACE-AC44-4519-A3C4-156C9F4C8EE9}" sibTransId="{91743296-7A83-4297-B8B3-4AE722E82724}"/>
    <dgm:cxn modelId="{BA81BD4B-7521-4EB6-860E-402F1FCB2084}" type="presOf" srcId="{555F3BD4-DE82-4ED0-A5C6-FAC3DEA078EA}" destId="{25B60FB7-A62E-4777-8254-91E8386C7086}" srcOrd="1" destOrd="1" presId="urn:microsoft.com/office/officeart/2005/8/layout/vList4"/>
    <dgm:cxn modelId="{8807A6AD-0773-4808-93FF-84EB2F96B52E}" type="presOf" srcId="{2A3C4F71-FD09-4506-9088-B210CC6C565B}" destId="{28AC6654-4F27-4DB0-8F76-3C7B38A0816E}" srcOrd="0" destOrd="0" presId="urn:microsoft.com/office/officeart/2005/8/layout/vList4"/>
    <dgm:cxn modelId="{BE17F619-8B81-4BD5-B177-0DBDBB86F6F1}" srcId="{217A2BC2-12B6-4C72-A825-CAD2CDEE64ED}" destId="{20232FD9-1268-4B10-AB0A-7103F8691F96}" srcOrd="0" destOrd="0" parTransId="{D59F4757-9111-419E-A251-64291B9E2FA9}" sibTransId="{07B3EB84-4B86-478F-8BEC-B23375D9DEAF}"/>
    <dgm:cxn modelId="{190D0E71-2509-42D1-B52A-5C72C03DA93A}" type="presOf" srcId="{4E4F4C94-2834-4A0A-B167-0E3BA13E7A92}" destId="{18583EBE-953F-4F71-8020-6BD7F34750B6}" srcOrd="1" destOrd="3" presId="urn:microsoft.com/office/officeart/2005/8/layout/vList4"/>
    <dgm:cxn modelId="{0BE69EC4-02C0-4911-9E5C-6944F006C639}" type="presOf" srcId="{EEA3B202-40A6-4491-BA7D-82BC077FEC87}" destId="{18583EBE-953F-4F71-8020-6BD7F34750B6}" srcOrd="1" destOrd="2" presId="urn:microsoft.com/office/officeart/2005/8/layout/vList4"/>
    <dgm:cxn modelId="{15AEBC7E-70DB-4BA4-ACE7-500555977EB0}" srcId="{BDC2ED0F-9A2E-4A0B-9F42-447ED98B5CE0}" destId="{FDBAC319-6F16-4FA2-B6BB-428B0E4D1863}" srcOrd="0" destOrd="0" parTransId="{C16BB4C5-055D-458F-ADBA-36B1DE142359}" sibTransId="{B86CDE02-5100-4AA2-BAC8-7EE77423AC85}"/>
    <dgm:cxn modelId="{41921731-8A29-4CA3-81DA-D7FEC4D62BAC}" type="presOf" srcId="{E577F059-20D2-4B04-AF02-B978E33168A1}" destId="{00A0DDC1-455E-43BB-B68C-FE447EDE407C}" srcOrd="1" destOrd="2" presId="urn:microsoft.com/office/officeart/2005/8/layout/vList4"/>
    <dgm:cxn modelId="{43A0B418-1B64-4037-8A51-D0C3B6291F60}" type="presOf" srcId="{20232FD9-1268-4B10-AB0A-7103F8691F96}" destId="{F1CDE5CB-5E94-4B02-9386-D1A89FA6C2AF}" srcOrd="0" destOrd="1" presId="urn:microsoft.com/office/officeart/2005/8/layout/vList4"/>
    <dgm:cxn modelId="{DBF9198D-98A7-4275-8F11-4C28A5BCEF2E}" type="presOf" srcId="{2355C68B-F758-4C14-AE33-656524282810}" destId="{7D99DB06-FDA6-4622-8839-42EF32A1EC6E}" srcOrd="1" destOrd="3" presId="urn:microsoft.com/office/officeart/2005/8/layout/vList4"/>
    <dgm:cxn modelId="{54D3E51A-2734-4688-871E-C4C02DD5775F}" srcId="{2A3C4F71-FD09-4506-9088-B210CC6C565B}" destId="{217A2BC2-12B6-4C72-A825-CAD2CDEE64ED}" srcOrd="3" destOrd="0" parTransId="{743905F0-D2A1-44FB-8DC4-A7BB19447AEB}" sibTransId="{ADA71020-1DF0-45CE-917D-6C9380850BFC}"/>
    <dgm:cxn modelId="{7D1D6862-E174-481F-A540-9B32AB8A8A09}" type="presOf" srcId="{0D4699AA-95D9-4DBD-95FA-44D7CD1AD035}" destId="{00A0DDC1-455E-43BB-B68C-FE447EDE407C}" srcOrd="1" destOrd="3" presId="urn:microsoft.com/office/officeart/2005/8/layout/vList4"/>
    <dgm:cxn modelId="{D31C47D6-0EC1-454C-82D7-FF8C434FA1FD}" type="presOf" srcId="{1E95AF0E-0766-493A-B8CA-EBDC62AE959F}" destId="{4119ACF4-FF1D-4499-84B6-7104D84113F4}" srcOrd="1" destOrd="2" presId="urn:microsoft.com/office/officeart/2005/8/layout/vList4"/>
    <dgm:cxn modelId="{84A4C8BD-8204-4989-A525-40B6F17119D8}" type="presOf" srcId="{31EEB207-5231-40F2-BC7A-B48F8D4B6AF3}" destId="{95D67C81-E270-46D8-8834-5C2E41F7EF35}" srcOrd="0" destOrd="2" presId="urn:microsoft.com/office/officeart/2005/8/layout/vList4"/>
    <dgm:cxn modelId="{0698B5C8-1328-4E10-ADFC-5A4AC6E752CF}" type="presOf" srcId="{854F0327-B728-40C5-8112-DC3F8BDF584D}" destId="{A5D03F75-3113-4D1F-B643-182E8AF97173}" srcOrd="0" destOrd="0" presId="urn:microsoft.com/office/officeart/2005/8/layout/vList4"/>
    <dgm:cxn modelId="{2DAAF429-EB1B-4B5F-B528-FE8BBFE06F4D}" type="presOf" srcId="{E577F059-20D2-4B04-AF02-B978E33168A1}" destId="{1E0F086C-B266-4EB4-9CA9-6DC3D87E8910}" srcOrd="0" destOrd="2" presId="urn:microsoft.com/office/officeart/2005/8/layout/vList4"/>
    <dgm:cxn modelId="{4146AB97-391C-42F9-8520-B6A75D19BDC3}" srcId="{1F42B9D3-A42D-46BF-BC23-C32B1AB72B81}" destId="{555F3BD4-DE82-4ED0-A5C6-FAC3DEA078EA}" srcOrd="0" destOrd="0" parTransId="{C12F9CA8-8B48-4A55-8006-2B50635355B4}" sibTransId="{54B26801-D1F7-4EE2-BCAD-88BFC17AE244}"/>
    <dgm:cxn modelId="{F2CEC5FC-3E22-4CF9-9F2A-E547E5445097}" type="presOf" srcId="{FDBAC319-6F16-4FA2-B6BB-428B0E4D1863}" destId="{00A0DDC1-455E-43BB-B68C-FE447EDE407C}" srcOrd="1" destOrd="1" presId="urn:microsoft.com/office/officeart/2005/8/layout/vList4"/>
    <dgm:cxn modelId="{FFEF563B-6629-4B9F-986C-613BDB3A597C}" type="presOf" srcId="{EEA3B202-40A6-4491-BA7D-82BC077FEC87}" destId="{A5D03F75-3113-4D1F-B643-182E8AF97173}" srcOrd="0" destOrd="2" presId="urn:microsoft.com/office/officeart/2005/8/layout/vList4"/>
    <dgm:cxn modelId="{E42AF5D7-7C54-4A7A-9048-BECA6FB19058}" type="presOf" srcId="{2355C68B-F758-4C14-AE33-656524282810}" destId="{95D67C81-E270-46D8-8834-5C2E41F7EF35}" srcOrd="0" destOrd="3" presId="urn:microsoft.com/office/officeart/2005/8/layout/vList4"/>
    <dgm:cxn modelId="{61D23FB5-F1D9-4061-B0C1-79BFF9AE7D22}" srcId="{57E7F40D-A63D-4CE9-B91D-64AB98BDB8B7}" destId="{2355C68B-F758-4C14-AE33-656524282810}" srcOrd="2" destOrd="0" parTransId="{2CA19FA3-C7AC-41C5-A847-9F3CA0ABC007}" sibTransId="{8DAF7193-6FA6-488A-ABB7-6817CA8A3C84}"/>
    <dgm:cxn modelId="{8157B641-8482-4778-9A78-690F77EDAB2B}" srcId="{BDC2ED0F-9A2E-4A0B-9F42-447ED98B5CE0}" destId="{E577F059-20D2-4B04-AF02-B978E33168A1}" srcOrd="1" destOrd="0" parTransId="{AFB28C9B-9000-46C0-91D1-CBABBE0172FD}" sibTransId="{53999C26-BFAD-456F-9B23-6258D46E65E3}"/>
    <dgm:cxn modelId="{3162025A-CF7B-46D8-987A-D5D8710E87D1}" srcId="{2A3C4F71-FD09-4506-9088-B210CC6C565B}" destId="{854F0327-B728-40C5-8112-DC3F8BDF584D}" srcOrd="2" destOrd="0" parTransId="{68160EB8-385A-4243-9A60-37B10C44919A}" sibTransId="{7C1D6761-B370-44BA-A7FF-C7EA3BC9638A}"/>
    <dgm:cxn modelId="{CDAF6744-81E5-45E5-BFB8-1D030D4C531C}" srcId="{2A3C4F71-FD09-4506-9088-B210CC6C565B}" destId="{57E7F40D-A63D-4CE9-B91D-64AB98BDB8B7}" srcOrd="0" destOrd="0" parTransId="{22409201-C735-450E-82C2-26A84ACC557A}" sibTransId="{9C51E07B-6402-485D-96E1-8AC842AEB171}"/>
    <dgm:cxn modelId="{E180FFAC-1FDA-42BD-A25F-F94E41E338C2}" type="presOf" srcId="{DA823E0A-73D2-4073-8094-CA54BE5E2764}" destId="{185E2FDF-AC72-4D5C-8B22-C7357965A844}" srcOrd="0" destOrd="2" presId="urn:microsoft.com/office/officeart/2005/8/layout/vList4"/>
    <dgm:cxn modelId="{BC13412D-021C-49F8-B84A-0E52A587456F}" type="presOf" srcId="{190371AA-6F82-4248-B235-2EEFC038EE54}" destId="{95D67C81-E270-46D8-8834-5C2E41F7EF35}" srcOrd="0" destOrd="1" presId="urn:microsoft.com/office/officeart/2005/8/layout/vList4"/>
    <dgm:cxn modelId="{3EC2986F-89F2-42F5-8273-9042D78608B9}" srcId="{2A3C4F71-FD09-4506-9088-B210CC6C565B}" destId="{1F42B9D3-A42D-46BF-BC23-C32B1AB72B81}" srcOrd="4" destOrd="0" parTransId="{808ECAA6-7DC1-48E7-A05E-C8287119F459}" sibTransId="{339A8B1F-1828-4D8C-B1FC-1627A7D4BEE7}"/>
    <dgm:cxn modelId="{3FF678CE-A048-4DF3-BD99-2338954FC1A0}" type="presOf" srcId="{007F6BF1-26F3-4681-A39C-FCF657885BA2}" destId="{F1CDE5CB-5E94-4B02-9386-D1A89FA6C2AF}" srcOrd="0" destOrd="3" presId="urn:microsoft.com/office/officeart/2005/8/layout/vList4"/>
    <dgm:cxn modelId="{D663353D-B18E-48BC-BF10-E3D7E58FD971}" type="presOf" srcId="{0D4699AA-95D9-4DBD-95FA-44D7CD1AD035}" destId="{1E0F086C-B266-4EB4-9CA9-6DC3D87E8910}" srcOrd="0" destOrd="3" presId="urn:microsoft.com/office/officeart/2005/8/layout/vList4"/>
    <dgm:cxn modelId="{B1B6D4DA-72A2-4C05-AE82-6E520367AB3C}" srcId="{854F0327-B728-40C5-8112-DC3F8BDF584D}" destId="{EEA3B202-40A6-4491-BA7D-82BC077FEC87}" srcOrd="1" destOrd="0" parTransId="{E2057256-1CDF-4544-B9E0-0CADE9292FDE}" sibTransId="{CEA98A13-1C4D-4FFB-828A-249B85769DE9}"/>
    <dgm:cxn modelId="{FB8609AD-BBB4-4986-80BA-38762994000B}" type="presOf" srcId="{BDC2ED0F-9A2E-4A0B-9F42-447ED98B5CE0}" destId="{1E0F086C-B266-4EB4-9CA9-6DC3D87E8910}" srcOrd="0" destOrd="0" presId="urn:microsoft.com/office/officeart/2005/8/layout/vList4"/>
    <dgm:cxn modelId="{0D4F741A-2699-4BEF-A4AE-FE785068B641}" srcId="{217A2BC2-12B6-4C72-A825-CAD2CDEE64ED}" destId="{1E95AF0E-0766-493A-B8CA-EBDC62AE959F}" srcOrd="1" destOrd="0" parTransId="{49361916-B463-41C8-99EE-F8AD6E6A0D94}" sibTransId="{944CAC80-3496-402A-AF8D-FB74753F9192}"/>
    <dgm:cxn modelId="{4880A71B-1197-407B-A8D7-D3E02549DF35}" type="presOf" srcId="{BDC2ED0F-9A2E-4A0B-9F42-447ED98B5CE0}" destId="{00A0DDC1-455E-43BB-B68C-FE447EDE407C}" srcOrd="1" destOrd="0" presId="urn:microsoft.com/office/officeart/2005/8/layout/vList4"/>
    <dgm:cxn modelId="{2AC54179-E3AF-4122-90C3-6689A5ADCF6F}" type="presOf" srcId="{217A2BC2-12B6-4C72-A825-CAD2CDEE64ED}" destId="{F1CDE5CB-5E94-4B02-9386-D1A89FA6C2AF}" srcOrd="0" destOrd="0" presId="urn:microsoft.com/office/officeart/2005/8/layout/vList4"/>
    <dgm:cxn modelId="{8C8BC294-4855-4B3B-B996-75DFFEC4F156}" type="presOf" srcId="{4E4F4C94-2834-4A0A-B167-0E3BA13E7A92}" destId="{A5D03F75-3113-4D1F-B643-182E8AF97173}" srcOrd="0" destOrd="3" presId="urn:microsoft.com/office/officeart/2005/8/layout/vList4"/>
    <dgm:cxn modelId="{784A1CFE-F3E2-4344-9B1A-1B6C0691552B}" type="presOf" srcId="{854F0327-B728-40C5-8112-DC3F8BDF584D}" destId="{18583EBE-953F-4F71-8020-6BD7F34750B6}" srcOrd="1" destOrd="0" presId="urn:microsoft.com/office/officeart/2005/8/layout/vList4"/>
    <dgm:cxn modelId="{FC225656-D7A7-4FD7-A46D-F50740C5313B}" type="presOf" srcId="{1E95AF0E-0766-493A-B8CA-EBDC62AE959F}" destId="{F1CDE5CB-5E94-4B02-9386-D1A89FA6C2AF}" srcOrd="0" destOrd="2" presId="urn:microsoft.com/office/officeart/2005/8/layout/vList4"/>
    <dgm:cxn modelId="{B50A284F-409E-4EED-B972-5CB4A87339D0}" type="presOf" srcId="{FDBAC319-6F16-4FA2-B6BB-428B0E4D1863}" destId="{1E0F086C-B266-4EB4-9CA9-6DC3D87E8910}" srcOrd="0" destOrd="1" presId="urn:microsoft.com/office/officeart/2005/8/layout/vList4"/>
    <dgm:cxn modelId="{EC7B1689-6A66-4151-A1C8-747982A17509}" type="presOf" srcId="{1F42B9D3-A42D-46BF-BC23-C32B1AB72B81}" destId="{185E2FDF-AC72-4D5C-8B22-C7357965A844}" srcOrd="0" destOrd="0" presId="urn:microsoft.com/office/officeart/2005/8/layout/vList4"/>
    <dgm:cxn modelId="{3CEDDFFC-01ED-497D-B4EF-9E1CAA164648}" type="presOf" srcId="{DA823E0A-73D2-4073-8094-CA54BE5E2764}" destId="{25B60FB7-A62E-4777-8254-91E8386C7086}" srcOrd="1" destOrd="2" presId="urn:microsoft.com/office/officeart/2005/8/layout/vList4"/>
    <dgm:cxn modelId="{1AF5DBD8-EFCC-46DA-A232-0CD209C10CFF}" type="presOf" srcId="{190371AA-6F82-4248-B235-2EEFC038EE54}" destId="{7D99DB06-FDA6-4622-8839-42EF32A1EC6E}" srcOrd="1" destOrd="1" presId="urn:microsoft.com/office/officeart/2005/8/layout/vList4"/>
    <dgm:cxn modelId="{5A76FF8B-A737-4AE5-83C1-CA1A66168347}" type="presOf" srcId="{217A2BC2-12B6-4C72-A825-CAD2CDEE64ED}" destId="{4119ACF4-FF1D-4499-84B6-7104D84113F4}" srcOrd="1" destOrd="0" presId="urn:microsoft.com/office/officeart/2005/8/layout/vList4"/>
    <dgm:cxn modelId="{3F1A2C6C-8A78-4A48-A664-9E6B1D2D84F9}" type="presOf" srcId="{20232FD9-1268-4B10-AB0A-7103F8691F96}" destId="{4119ACF4-FF1D-4499-84B6-7104D84113F4}" srcOrd="1" destOrd="1" presId="urn:microsoft.com/office/officeart/2005/8/layout/vList4"/>
    <dgm:cxn modelId="{09D1F7B1-F41A-4B8A-9465-E3CA930962F1}" type="presOf" srcId="{1F42B9D3-A42D-46BF-BC23-C32B1AB72B81}" destId="{25B60FB7-A62E-4777-8254-91E8386C7086}" srcOrd="1" destOrd="0" presId="urn:microsoft.com/office/officeart/2005/8/layout/vList4"/>
    <dgm:cxn modelId="{5A45FEAF-0ABA-4E60-A451-673F2FDFCBA2}" type="presOf" srcId="{007F6BF1-26F3-4681-A39C-FCF657885BA2}" destId="{4119ACF4-FF1D-4499-84B6-7104D84113F4}" srcOrd="1" destOrd="3" presId="urn:microsoft.com/office/officeart/2005/8/layout/vList4"/>
    <dgm:cxn modelId="{5FF28A07-7E96-49B0-894F-8BA15A0211CF}" type="presOf" srcId="{57E7F40D-A63D-4CE9-B91D-64AB98BDB8B7}" destId="{95D67C81-E270-46D8-8834-5C2E41F7EF35}" srcOrd="0" destOrd="0" presId="urn:microsoft.com/office/officeart/2005/8/layout/vList4"/>
    <dgm:cxn modelId="{A4C02BF4-D06D-46C0-979C-A6FBFB11420F}" srcId="{BDC2ED0F-9A2E-4A0B-9F42-447ED98B5CE0}" destId="{0D4699AA-95D9-4DBD-95FA-44D7CD1AD035}" srcOrd="2" destOrd="0" parTransId="{D8736E10-8786-4F4D-8685-3761CBFD96AD}" sibTransId="{18F7987D-E732-46C5-8E3A-ACDB2F1D82F1}"/>
    <dgm:cxn modelId="{923CC817-97C6-406A-9A02-CFF4848BB5DE}" srcId="{2A3C4F71-FD09-4506-9088-B210CC6C565B}" destId="{BDC2ED0F-9A2E-4A0B-9F42-447ED98B5CE0}" srcOrd="1" destOrd="0" parTransId="{8D35298D-A66C-4104-9256-32BC339D554E}" sibTransId="{5C7B78F1-7FA4-4A5F-B302-AA40D8D80DF9}"/>
    <dgm:cxn modelId="{0FE6CE0C-7064-48EC-B96B-6E7FB9B6DBE5}" srcId="{57E7F40D-A63D-4CE9-B91D-64AB98BDB8B7}" destId="{31EEB207-5231-40F2-BC7A-B48F8D4B6AF3}" srcOrd="1" destOrd="0" parTransId="{B298D0E9-15F7-499A-BE61-59AF81A1626C}" sibTransId="{BC6B0ABE-C049-4AC6-B752-D99F45E84CFF}"/>
    <dgm:cxn modelId="{8ACD9005-0881-4736-B3A0-6E85EBD42085}" srcId="{854F0327-B728-40C5-8112-DC3F8BDF584D}" destId="{FDE1F0A1-C527-4194-9345-C3993E1A78FA}" srcOrd="0" destOrd="0" parTransId="{58FEDCA4-4949-44A6-811A-E8A3D160A86C}" sibTransId="{D949905E-15C1-46C9-A2CD-A3EE9E20639C}"/>
    <dgm:cxn modelId="{5A961269-EFE2-4925-9E35-E19CD6B502C5}" type="presOf" srcId="{FDE1F0A1-C527-4194-9345-C3993E1A78FA}" destId="{18583EBE-953F-4F71-8020-6BD7F34750B6}" srcOrd="1" destOrd="1" presId="urn:microsoft.com/office/officeart/2005/8/layout/vList4"/>
    <dgm:cxn modelId="{39239C1D-C5A2-4ABF-81D7-B63CE40AB11D}" srcId="{57E7F40D-A63D-4CE9-B91D-64AB98BDB8B7}" destId="{190371AA-6F82-4248-B235-2EEFC038EE54}" srcOrd="0" destOrd="0" parTransId="{FB18E18F-DCE2-4D36-BBDD-C80CC45FC445}" sibTransId="{92DC8061-9752-4804-A1BF-797C99CBDCBA}"/>
    <dgm:cxn modelId="{0A7F609A-8D8A-4F7F-98BB-76A19CEFC4CF}" type="presOf" srcId="{555F3BD4-DE82-4ED0-A5C6-FAC3DEA078EA}" destId="{185E2FDF-AC72-4D5C-8B22-C7357965A844}" srcOrd="0" destOrd="1" presId="urn:microsoft.com/office/officeart/2005/8/layout/vList4"/>
    <dgm:cxn modelId="{79ECE041-E43F-4679-97F6-AF0D8B3623D4}" type="presOf" srcId="{57E7F40D-A63D-4CE9-B91D-64AB98BDB8B7}" destId="{7D99DB06-FDA6-4622-8839-42EF32A1EC6E}" srcOrd="1" destOrd="0" presId="urn:microsoft.com/office/officeart/2005/8/layout/vList4"/>
    <dgm:cxn modelId="{13480FFB-B17D-465F-B0F5-D297C957DAD2}" type="presParOf" srcId="{28AC6654-4F27-4DB0-8F76-3C7B38A0816E}" destId="{9C5FEEBB-7036-4B43-BDD2-9E5210FEF15B}" srcOrd="0" destOrd="0" presId="urn:microsoft.com/office/officeart/2005/8/layout/vList4"/>
    <dgm:cxn modelId="{99D7232C-4FC8-4253-A693-1D925D5FD814}" type="presParOf" srcId="{9C5FEEBB-7036-4B43-BDD2-9E5210FEF15B}" destId="{95D67C81-E270-46D8-8834-5C2E41F7EF35}" srcOrd="0" destOrd="0" presId="urn:microsoft.com/office/officeart/2005/8/layout/vList4"/>
    <dgm:cxn modelId="{252AA998-C2F2-4023-96F0-6D0B64F542B4}" type="presParOf" srcId="{9C5FEEBB-7036-4B43-BDD2-9E5210FEF15B}" destId="{55B2446D-BD47-4761-85F8-948559852989}" srcOrd="1" destOrd="0" presId="urn:microsoft.com/office/officeart/2005/8/layout/vList4"/>
    <dgm:cxn modelId="{532ED070-C01A-4B0E-A5EF-A0FAAF87E3D4}" type="presParOf" srcId="{9C5FEEBB-7036-4B43-BDD2-9E5210FEF15B}" destId="{7D99DB06-FDA6-4622-8839-42EF32A1EC6E}" srcOrd="2" destOrd="0" presId="urn:microsoft.com/office/officeart/2005/8/layout/vList4"/>
    <dgm:cxn modelId="{238019BA-DA1F-4E3F-8E8F-A712FC9116D5}" type="presParOf" srcId="{28AC6654-4F27-4DB0-8F76-3C7B38A0816E}" destId="{CB137BC2-154E-470C-9C86-E31F5D2E3DE8}" srcOrd="1" destOrd="0" presId="urn:microsoft.com/office/officeart/2005/8/layout/vList4"/>
    <dgm:cxn modelId="{D74D4BDF-B9DF-45D9-B55D-FFFE1992537E}" type="presParOf" srcId="{28AC6654-4F27-4DB0-8F76-3C7B38A0816E}" destId="{24E1BE75-03B2-41BE-91F2-03F5FE055B8F}" srcOrd="2" destOrd="0" presId="urn:microsoft.com/office/officeart/2005/8/layout/vList4"/>
    <dgm:cxn modelId="{A3D67FA5-2143-41DF-B536-9730F817D038}" type="presParOf" srcId="{24E1BE75-03B2-41BE-91F2-03F5FE055B8F}" destId="{1E0F086C-B266-4EB4-9CA9-6DC3D87E8910}" srcOrd="0" destOrd="0" presId="urn:microsoft.com/office/officeart/2005/8/layout/vList4"/>
    <dgm:cxn modelId="{E48C1E78-664B-46E6-BF65-E28EED2605B3}" type="presParOf" srcId="{24E1BE75-03B2-41BE-91F2-03F5FE055B8F}" destId="{76276C71-E75E-49AE-B883-1A5435C1C5F1}" srcOrd="1" destOrd="0" presId="urn:microsoft.com/office/officeart/2005/8/layout/vList4"/>
    <dgm:cxn modelId="{7E5DE26F-1F8D-41BB-9377-1B10BE746660}" type="presParOf" srcId="{24E1BE75-03B2-41BE-91F2-03F5FE055B8F}" destId="{00A0DDC1-455E-43BB-B68C-FE447EDE407C}" srcOrd="2" destOrd="0" presId="urn:microsoft.com/office/officeart/2005/8/layout/vList4"/>
    <dgm:cxn modelId="{4019DDEB-2741-486B-A37A-78BB5C30D12A}" type="presParOf" srcId="{28AC6654-4F27-4DB0-8F76-3C7B38A0816E}" destId="{124AF958-7BF4-49F4-BAB8-5A61A683BCF1}" srcOrd="3" destOrd="0" presId="urn:microsoft.com/office/officeart/2005/8/layout/vList4"/>
    <dgm:cxn modelId="{CD0BB96A-DF9F-477C-8E4B-A7C52CD96662}" type="presParOf" srcId="{28AC6654-4F27-4DB0-8F76-3C7B38A0816E}" destId="{ABD298E8-F0BC-4E80-BF75-F22A505A12A2}" srcOrd="4" destOrd="0" presId="urn:microsoft.com/office/officeart/2005/8/layout/vList4"/>
    <dgm:cxn modelId="{4329FD6A-9D08-4F53-9F90-BCA5512035AC}" type="presParOf" srcId="{ABD298E8-F0BC-4E80-BF75-F22A505A12A2}" destId="{A5D03F75-3113-4D1F-B643-182E8AF97173}" srcOrd="0" destOrd="0" presId="urn:microsoft.com/office/officeart/2005/8/layout/vList4"/>
    <dgm:cxn modelId="{775B93EF-68B0-453C-95B0-498818E9E7CE}" type="presParOf" srcId="{ABD298E8-F0BC-4E80-BF75-F22A505A12A2}" destId="{92C3832B-AA73-409F-BE6E-7B14B3959981}" srcOrd="1" destOrd="0" presId="urn:microsoft.com/office/officeart/2005/8/layout/vList4"/>
    <dgm:cxn modelId="{B33BE0F6-8CE9-46FC-A331-171C02F6B2BD}" type="presParOf" srcId="{ABD298E8-F0BC-4E80-BF75-F22A505A12A2}" destId="{18583EBE-953F-4F71-8020-6BD7F34750B6}" srcOrd="2" destOrd="0" presId="urn:microsoft.com/office/officeart/2005/8/layout/vList4"/>
    <dgm:cxn modelId="{D22C29CF-F23F-4B4A-92FC-9497AF3B52C0}" type="presParOf" srcId="{28AC6654-4F27-4DB0-8F76-3C7B38A0816E}" destId="{6EFE8F36-3611-4A3A-836A-CA194A8C8925}" srcOrd="5" destOrd="0" presId="urn:microsoft.com/office/officeart/2005/8/layout/vList4"/>
    <dgm:cxn modelId="{69778E90-BD36-4757-A175-091A8C152260}" type="presParOf" srcId="{28AC6654-4F27-4DB0-8F76-3C7B38A0816E}" destId="{2A86D2F2-A5BA-463C-B50D-F282B2B98B29}" srcOrd="6" destOrd="0" presId="urn:microsoft.com/office/officeart/2005/8/layout/vList4"/>
    <dgm:cxn modelId="{DBAC32D9-29CD-4259-8043-AE0AA8839955}" type="presParOf" srcId="{2A86D2F2-A5BA-463C-B50D-F282B2B98B29}" destId="{F1CDE5CB-5E94-4B02-9386-D1A89FA6C2AF}" srcOrd="0" destOrd="0" presId="urn:microsoft.com/office/officeart/2005/8/layout/vList4"/>
    <dgm:cxn modelId="{F100470E-E307-4D7B-A91E-2C177AEBDA83}" type="presParOf" srcId="{2A86D2F2-A5BA-463C-B50D-F282B2B98B29}" destId="{AB95DE6D-83F6-48A0-93D6-DDF2DD445FD8}" srcOrd="1" destOrd="0" presId="urn:microsoft.com/office/officeart/2005/8/layout/vList4"/>
    <dgm:cxn modelId="{C7F3E12E-81E8-46FB-8B49-A7A26CC2B8C0}" type="presParOf" srcId="{2A86D2F2-A5BA-463C-B50D-F282B2B98B29}" destId="{4119ACF4-FF1D-4499-84B6-7104D84113F4}" srcOrd="2" destOrd="0" presId="urn:microsoft.com/office/officeart/2005/8/layout/vList4"/>
    <dgm:cxn modelId="{46C3F920-EED3-4973-9ED7-F81052F2310A}" type="presParOf" srcId="{28AC6654-4F27-4DB0-8F76-3C7B38A0816E}" destId="{617AAF2E-3A14-4A39-8CCB-F5F0BFAF1851}" srcOrd="7" destOrd="0" presId="urn:microsoft.com/office/officeart/2005/8/layout/vList4"/>
    <dgm:cxn modelId="{800FAFA4-6BD5-4256-9FF0-FB64314D6D43}" type="presParOf" srcId="{28AC6654-4F27-4DB0-8F76-3C7B38A0816E}" destId="{E6BE11D0-BD4B-4533-8D54-228F89C9B7E4}" srcOrd="8" destOrd="0" presId="urn:microsoft.com/office/officeart/2005/8/layout/vList4"/>
    <dgm:cxn modelId="{1BE219FE-8DAE-4BE8-B683-5CFECE08DE78}" type="presParOf" srcId="{E6BE11D0-BD4B-4533-8D54-228F89C9B7E4}" destId="{185E2FDF-AC72-4D5C-8B22-C7357965A844}" srcOrd="0" destOrd="0" presId="urn:microsoft.com/office/officeart/2005/8/layout/vList4"/>
    <dgm:cxn modelId="{188AACFA-B204-4937-B1CF-3A62320D0DA0}" type="presParOf" srcId="{E6BE11D0-BD4B-4533-8D54-228F89C9B7E4}" destId="{6AB19C08-8490-4C7E-A619-4119E9FB6B8F}" srcOrd="1" destOrd="0" presId="urn:microsoft.com/office/officeart/2005/8/layout/vList4"/>
    <dgm:cxn modelId="{74881F14-2A4A-4B52-A41E-635ED8CD30D1}" type="presParOf" srcId="{E6BE11D0-BD4B-4533-8D54-228F89C9B7E4}" destId="{25B60FB7-A62E-4777-8254-91E8386C7086}" srcOrd="2" destOrd="0" presId="urn:microsoft.com/office/officeart/2005/8/layout/vList4"/>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DCA5E0A-231E-440C-AB94-0D749DD99903}" type="doc">
      <dgm:prSet loTypeId="urn:microsoft.com/office/officeart/2005/8/layout/hierarchy4" loCatId="list" qsTypeId="urn:microsoft.com/office/officeart/2005/8/quickstyle/simple2" qsCatId="simple" csTypeId="urn:microsoft.com/office/officeart/2005/8/colors/accent0_3" csCatId="mainScheme" phldr="1"/>
      <dgm:spPr/>
      <dgm:t>
        <a:bodyPr/>
        <a:lstStyle/>
        <a:p>
          <a:endParaRPr lang="pl-PL"/>
        </a:p>
      </dgm:t>
    </dgm:pt>
    <dgm:pt modelId="{11C8A10A-E498-49AA-A948-3EC0EC964FC7}">
      <dgm:prSet phldrT="[Tekst]" custT="1"/>
      <dgm:spPr/>
      <dgm:t>
        <a:bodyPr/>
        <a:lstStyle/>
        <a:p>
          <a:r>
            <a:rPr lang="pl-PL" sz="1000" b="1">
              <a:latin typeface="Times New Roman" pitchFamily="18" charset="0"/>
              <a:cs typeface="Times New Roman" pitchFamily="18" charset="0"/>
            </a:rPr>
            <a:t>DOKUMENTY</a:t>
          </a:r>
        </a:p>
      </dgm:t>
    </dgm:pt>
    <dgm:pt modelId="{DD1F6368-5826-4891-91A6-BB9E776294A4}" type="parTrans" cxnId="{367B265F-CA4A-4F0A-9A29-D7764264365D}">
      <dgm:prSet/>
      <dgm:spPr/>
      <dgm:t>
        <a:bodyPr/>
        <a:lstStyle/>
        <a:p>
          <a:endParaRPr lang="pl-PL" sz="1000" b="1">
            <a:solidFill>
              <a:sysClr val="windowText" lastClr="000000"/>
            </a:solidFill>
            <a:latin typeface="Times New Roman" pitchFamily="18" charset="0"/>
            <a:cs typeface="Times New Roman" pitchFamily="18" charset="0"/>
          </a:endParaRPr>
        </a:p>
      </dgm:t>
    </dgm:pt>
    <dgm:pt modelId="{95433E04-0957-43EE-BA68-3DB43C2953BA}" type="sibTrans" cxnId="{367B265F-CA4A-4F0A-9A29-D7764264365D}">
      <dgm:prSet/>
      <dgm:spPr/>
      <dgm:t>
        <a:bodyPr/>
        <a:lstStyle/>
        <a:p>
          <a:endParaRPr lang="pl-PL" sz="1000" b="1">
            <a:solidFill>
              <a:sysClr val="windowText" lastClr="000000"/>
            </a:solidFill>
            <a:latin typeface="Times New Roman" pitchFamily="18" charset="0"/>
            <a:cs typeface="Times New Roman" pitchFamily="18" charset="0"/>
          </a:endParaRPr>
        </a:p>
      </dgm:t>
    </dgm:pt>
    <dgm:pt modelId="{F456C490-6EDD-42DF-9EB8-2A74D02B15A3}">
      <dgm:prSet phldrT="[Tekst]" custT="1"/>
      <dgm:spPr/>
      <dgm:t>
        <a:bodyPr/>
        <a:lstStyle/>
        <a:p>
          <a:r>
            <a:rPr lang="pl-PL" sz="1000" b="1">
              <a:latin typeface="Times New Roman" pitchFamily="18" charset="0"/>
              <a:cs typeface="Times New Roman" pitchFamily="18" charset="0"/>
            </a:rPr>
            <a:t>PROGRAMOWANIE</a:t>
          </a:r>
        </a:p>
      </dgm:t>
    </dgm:pt>
    <dgm:pt modelId="{FA037C5A-023D-4517-AD1A-AA6418D0F660}" type="parTrans" cxnId="{B3286FD9-C5D2-4F6C-89CB-1655100ADC95}">
      <dgm:prSet/>
      <dgm:spPr/>
      <dgm:t>
        <a:bodyPr/>
        <a:lstStyle/>
        <a:p>
          <a:endParaRPr lang="pl-PL" sz="1000" b="1">
            <a:solidFill>
              <a:sysClr val="windowText" lastClr="000000"/>
            </a:solidFill>
            <a:latin typeface="Times New Roman" pitchFamily="18" charset="0"/>
            <a:cs typeface="Times New Roman" pitchFamily="18" charset="0"/>
          </a:endParaRPr>
        </a:p>
      </dgm:t>
    </dgm:pt>
    <dgm:pt modelId="{89265B72-68EA-4A95-8AD5-5F1178F19169}" type="sibTrans" cxnId="{B3286FD9-C5D2-4F6C-89CB-1655100ADC95}">
      <dgm:prSet/>
      <dgm:spPr/>
      <dgm:t>
        <a:bodyPr/>
        <a:lstStyle/>
        <a:p>
          <a:endParaRPr lang="pl-PL" sz="1000" b="1">
            <a:solidFill>
              <a:sysClr val="windowText" lastClr="000000"/>
            </a:solidFill>
            <a:latin typeface="Times New Roman" pitchFamily="18" charset="0"/>
            <a:cs typeface="Times New Roman" pitchFamily="18" charset="0"/>
          </a:endParaRPr>
        </a:p>
      </dgm:t>
    </dgm:pt>
    <dgm:pt modelId="{491DA094-2CE2-4E8A-AE32-CC75FC78F65D}">
      <dgm:prSet phldrT="[Tekst]" custT="1"/>
      <dgm:spPr/>
      <dgm:t>
        <a:bodyPr/>
        <a:lstStyle/>
        <a:p>
          <a:r>
            <a:rPr lang="pl-PL" sz="1000" b="1">
              <a:latin typeface="Times New Roman" pitchFamily="18" charset="0"/>
              <a:cs typeface="Times New Roman" pitchFamily="18" charset="0"/>
            </a:rPr>
            <a:t>WDRAŻANIE</a:t>
          </a:r>
        </a:p>
      </dgm:t>
    </dgm:pt>
    <dgm:pt modelId="{40F9CCD8-11DE-46B0-B66A-253488A5E253}" type="parTrans" cxnId="{741D6119-882F-4DE6-8AB5-B010F779E557}">
      <dgm:prSet/>
      <dgm:spPr/>
      <dgm:t>
        <a:bodyPr/>
        <a:lstStyle/>
        <a:p>
          <a:endParaRPr lang="pl-PL" sz="1000" b="1">
            <a:solidFill>
              <a:sysClr val="windowText" lastClr="000000"/>
            </a:solidFill>
            <a:latin typeface="Times New Roman" pitchFamily="18" charset="0"/>
            <a:cs typeface="Times New Roman" pitchFamily="18" charset="0"/>
          </a:endParaRPr>
        </a:p>
      </dgm:t>
    </dgm:pt>
    <dgm:pt modelId="{26168749-E59A-42C6-AFFE-70847FAA088D}" type="sibTrans" cxnId="{741D6119-882F-4DE6-8AB5-B010F779E557}">
      <dgm:prSet/>
      <dgm:spPr/>
      <dgm:t>
        <a:bodyPr/>
        <a:lstStyle/>
        <a:p>
          <a:endParaRPr lang="pl-PL" sz="1000" b="1">
            <a:solidFill>
              <a:sysClr val="windowText" lastClr="000000"/>
            </a:solidFill>
            <a:latin typeface="Times New Roman" pitchFamily="18" charset="0"/>
            <a:cs typeface="Times New Roman" pitchFamily="18" charset="0"/>
          </a:endParaRPr>
        </a:p>
      </dgm:t>
    </dgm:pt>
    <dgm:pt modelId="{9FCFA48B-3920-4695-B08D-76E230101342}">
      <dgm:prSet phldrT="[Tekst]" custT="1"/>
      <dgm:spPr/>
      <dgm:t>
        <a:bodyPr/>
        <a:lstStyle/>
        <a:p>
          <a:r>
            <a:rPr lang="pl-PL" sz="900" b="1">
              <a:latin typeface="Times New Roman" pitchFamily="18" charset="0"/>
              <a:cs typeface="Times New Roman" pitchFamily="18" charset="0"/>
            </a:rPr>
            <a:t>PODRĘCZNIK PROCEDUR IZ RPO WSL</a:t>
          </a:r>
        </a:p>
      </dgm:t>
    </dgm:pt>
    <dgm:pt modelId="{4139A315-4E02-4703-9A78-651293470E44}" type="parTrans" cxnId="{681D1915-052D-45DF-87BD-AEA565587F8E}">
      <dgm:prSet/>
      <dgm:spPr/>
      <dgm:t>
        <a:bodyPr/>
        <a:lstStyle/>
        <a:p>
          <a:endParaRPr lang="pl-PL" sz="1000" b="1">
            <a:solidFill>
              <a:sysClr val="windowText" lastClr="000000"/>
            </a:solidFill>
            <a:latin typeface="Times New Roman" pitchFamily="18" charset="0"/>
            <a:cs typeface="Times New Roman" pitchFamily="18" charset="0"/>
          </a:endParaRPr>
        </a:p>
      </dgm:t>
    </dgm:pt>
    <dgm:pt modelId="{E63073C7-2B86-42FD-B8ED-39A8B18C4B4D}" type="sibTrans" cxnId="{681D1915-052D-45DF-87BD-AEA565587F8E}">
      <dgm:prSet/>
      <dgm:spPr/>
      <dgm:t>
        <a:bodyPr/>
        <a:lstStyle/>
        <a:p>
          <a:endParaRPr lang="pl-PL" sz="1000" b="1">
            <a:solidFill>
              <a:sysClr val="windowText" lastClr="000000"/>
            </a:solidFill>
            <a:latin typeface="Times New Roman" pitchFamily="18" charset="0"/>
            <a:cs typeface="Times New Roman" pitchFamily="18" charset="0"/>
          </a:endParaRPr>
        </a:p>
      </dgm:t>
    </dgm:pt>
    <dgm:pt modelId="{1618E7CA-E934-4055-9561-21791D2E27EC}">
      <dgm:prSet custT="1"/>
      <dgm:spPr/>
      <dgm:t>
        <a:bodyPr/>
        <a:lstStyle/>
        <a:p>
          <a:r>
            <a:rPr lang="pl-PL" sz="1000" b="1">
              <a:latin typeface="Times New Roman" pitchFamily="18" charset="0"/>
              <a:cs typeface="Times New Roman" pitchFamily="18" charset="0"/>
            </a:rPr>
            <a:t>ZARZĄDZANIE</a:t>
          </a:r>
        </a:p>
      </dgm:t>
    </dgm:pt>
    <dgm:pt modelId="{70FA0A2D-5404-49D9-8AF7-4DA65B4C438D}" type="parTrans" cxnId="{F9AE9170-7BD4-405E-AA87-A681A70BF2CE}">
      <dgm:prSet/>
      <dgm:spPr/>
      <dgm:t>
        <a:bodyPr/>
        <a:lstStyle/>
        <a:p>
          <a:endParaRPr lang="pl-PL" sz="1000" b="1">
            <a:solidFill>
              <a:sysClr val="windowText" lastClr="000000"/>
            </a:solidFill>
            <a:latin typeface="Times New Roman" pitchFamily="18" charset="0"/>
            <a:cs typeface="Times New Roman" pitchFamily="18" charset="0"/>
          </a:endParaRPr>
        </a:p>
      </dgm:t>
    </dgm:pt>
    <dgm:pt modelId="{391337B0-ABA6-424C-B089-848919D97777}" type="sibTrans" cxnId="{F9AE9170-7BD4-405E-AA87-A681A70BF2CE}">
      <dgm:prSet/>
      <dgm:spPr/>
      <dgm:t>
        <a:bodyPr/>
        <a:lstStyle/>
        <a:p>
          <a:endParaRPr lang="pl-PL" sz="1000" b="1">
            <a:solidFill>
              <a:sysClr val="windowText" lastClr="000000"/>
            </a:solidFill>
            <a:latin typeface="Times New Roman" pitchFamily="18" charset="0"/>
            <a:cs typeface="Times New Roman" pitchFamily="18" charset="0"/>
          </a:endParaRPr>
        </a:p>
      </dgm:t>
    </dgm:pt>
    <dgm:pt modelId="{B72E25D3-6843-4AAF-B71D-4695A96D597F}">
      <dgm:prSet custT="1"/>
      <dgm:spPr/>
      <dgm:t>
        <a:bodyPr/>
        <a:lstStyle/>
        <a:p>
          <a:r>
            <a:rPr lang="pl-PL" sz="1000" b="1">
              <a:latin typeface="Times New Roman" pitchFamily="18" charset="0"/>
              <a:cs typeface="Times New Roman" pitchFamily="18" charset="0"/>
            </a:rPr>
            <a:t>OSZiK</a:t>
          </a:r>
        </a:p>
      </dgm:t>
    </dgm:pt>
    <dgm:pt modelId="{20CD7E40-3AE4-41ED-A26A-CDB2703F864C}" type="parTrans" cxnId="{6E842C2D-BCC0-4518-B260-27B0F10243C4}">
      <dgm:prSet/>
      <dgm:spPr/>
      <dgm:t>
        <a:bodyPr/>
        <a:lstStyle/>
        <a:p>
          <a:endParaRPr lang="pl-PL" sz="1000" b="1">
            <a:solidFill>
              <a:sysClr val="windowText" lastClr="000000"/>
            </a:solidFill>
            <a:latin typeface="Times New Roman" pitchFamily="18" charset="0"/>
            <a:cs typeface="Times New Roman" pitchFamily="18" charset="0"/>
          </a:endParaRPr>
        </a:p>
      </dgm:t>
    </dgm:pt>
    <dgm:pt modelId="{F7037C76-815C-4AF3-B6D5-2ABD87AFB562}" type="sibTrans" cxnId="{6E842C2D-BCC0-4518-B260-27B0F10243C4}">
      <dgm:prSet/>
      <dgm:spPr/>
      <dgm:t>
        <a:bodyPr/>
        <a:lstStyle/>
        <a:p>
          <a:endParaRPr lang="pl-PL" sz="1000" b="1">
            <a:solidFill>
              <a:sysClr val="windowText" lastClr="000000"/>
            </a:solidFill>
            <a:latin typeface="Times New Roman" pitchFamily="18" charset="0"/>
            <a:cs typeface="Times New Roman" pitchFamily="18" charset="0"/>
          </a:endParaRPr>
        </a:p>
      </dgm:t>
    </dgm:pt>
    <dgm:pt modelId="{468190A6-0BD9-4248-B6B9-FB9D3DF2F593}">
      <dgm:prSet custT="1"/>
      <dgm:spPr/>
      <dgm:t>
        <a:bodyPr/>
        <a:lstStyle/>
        <a:p>
          <a:r>
            <a:rPr lang="pl-PL" sz="1000" b="1">
              <a:latin typeface="Times New Roman" pitchFamily="18" charset="0"/>
              <a:cs typeface="Times New Roman" pitchFamily="18" charset="0"/>
            </a:rPr>
            <a:t>WYTYCZNE IZ RPO WSL</a:t>
          </a:r>
        </a:p>
      </dgm:t>
    </dgm:pt>
    <dgm:pt modelId="{502A2F83-D898-4FF3-89AD-97AD47B27D3A}" type="parTrans" cxnId="{D74B66DF-C844-4AB1-A2E1-C2F2FC029FB8}">
      <dgm:prSet/>
      <dgm:spPr/>
      <dgm:t>
        <a:bodyPr/>
        <a:lstStyle/>
        <a:p>
          <a:endParaRPr lang="pl-PL" sz="1000" b="1">
            <a:solidFill>
              <a:sysClr val="windowText" lastClr="000000"/>
            </a:solidFill>
            <a:latin typeface="Times New Roman" pitchFamily="18" charset="0"/>
            <a:cs typeface="Times New Roman" pitchFamily="18" charset="0"/>
          </a:endParaRPr>
        </a:p>
      </dgm:t>
    </dgm:pt>
    <dgm:pt modelId="{7EF51755-76A8-4934-8E8C-BB5EB74E8FB9}" type="sibTrans" cxnId="{D74B66DF-C844-4AB1-A2E1-C2F2FC029FB8}">
      <dgm:prSet/>
      <dgm:spPr/>
      <dgm:t>
        <a:bodyPr/>
        <a:lstStyle/>
        <a:p>
          <a:endParaRPr lang="pl-PL" sz="1000" b="1">
            <a:solidFill>
              <a:sysClr val="windowText" lastClr="000000"/>
            </a:solidFill>
            <a:latin typeface="Times New Roman" pitchFamily="18" charset="0"/>
            <a:cs typeface="Times New Roman" pitchFamily="18" charset="0"/>
          </a:endParaRPr>
        </a:p>
      </dgm:t>
    </dgm:pt>
    <dgm:pt modelId="{CAF2B11D-6DF7-4DBA-97E7-779E830B655E}">
      <dgm:prSet custT="1"/>
      <dgm:spPr/>
      <dgm:t>
        <a:bodyPr/>
        <a:lstStyle/>
        <a:p>
          <a:r>
            <a:rPr lang="pl-PL" sz="1000" b="1">
              <a:latin typeface="Times New Roman" pitchFamily="18" charset="0"/>
              <a:cs typeface="Times New Roman" pitchFamily="18" charset="0"/>
            </a:rPr>
            <a:t>URPO WSL</a:t>
          </a:r>
        </a:p>
      </dgm:t>
    </dgm:pt>
    <dgm:pt modelId="{FE0664DE-1A84-44DD-BE93-F0973778DD44}" type="parTrans" cxnId="{601CD6B1-5E02-43CD-A239-C621A2B4FFF1}">
      <dgm:prSet/>
      <dgm:spPr/>
      <dgm:t>
        <a:bodyPr/>
        <a:lstStyle/>
        <a:p>
          <a:endParaRPr lang="pl-PL" sz="1000" b="1">
            <a:solidFill>
              <a:sysClr val="windowText" lastClr="000000"/>
            </a:solidFill>
            <a:latin typeface="Times New Roman" pitchFamily="18" charset="0"/>
            <a:cs typeface="Times New Roman" pitchFamily="18" charset="0"/>
          </a:endParaRPr>
        </a:p>
      </dgm:t>
    </dgm:pt>
    <dgm:pt modelId="{DF526BD9-B58B-423C-9291-CDD4CF71124E}" type="sibTrans" cxnId="{601CD6B1-5E02-43CD-A239-C621A2B4FFF1}">
      <dgm:prSet/>
      <dgm:spPr/>
      <dgm:t>
        <a:bodyPr/>
        <a:lstStyle/>
        <a:p>
          <a:endParaRPr lang="pl-PL" sz="1000" b="1">
            <a:solidFill>
              <a:sysClr val="windowText" lastClr="000000"/>
            </a:solidFill>
            <a:latin typeface="Times New Roman" pitchFamily="18" charset="0"/>
            <a:cs typeface="Times New Roman" pitchFamily="18" charset="0"/>
          </a:endParaRPr>
        </a:p>
      </dgm:t>
    </dgm:pt>
    <dgm:pt modelId="{85B17B8F-EE4C-4D6D-9722-63F3149BA178}">
      <dgm:prSet custT="1"/>
      <dgm:spPr/>
      <dgm:t>
        <a:bodyPr/>
        <a:lstStyle/>
        <a:p>
          <a:r>
            <a:rPr lang="pl-PL" sz="1000" b="1">
              <a:latin typeface="Times New Roman" pitchFamily="18" charset="0"/>
              <a:cs typeface="Times New Roman" pitchFamily="18" charset="0"/>
            </a:rPr>
            <a:t>RPO WSL</a:t>
          </a:r>
        </a:p>
      </dgm:t>
    </dgm:pt>
    <dgm:pt modelId="{C48ED31D-881C-405B-8617-1C08FE03FCAA}" type="parTrans" cxnId="{B225F2CA-41B6-4559-A430-09E00263389B}">
      <dgm:prSet/>
      <dgm:spPr/>
      <dgm:t>
        <a:bodyPr/>
        <a:lstStyle/>
        <a:p>
          <a:endParaRPr lang="pl-PL" sz="1000" b="1">
            <a:solidFill>
              <a:sysClr val="windowText" lastClr="000000"/>
            </a:solidFill>
            <a:latin typeface="Times New Roman" pitchFamily="18" charset="0"/>
            <a:cs typeface="Times New Roman" pitchFamily="18" charset="0"/>
          </a:endParaRPr>
        </a:p>
      </dgm:t>
    </dgm:pt>
    <dgm:pt modelId="{4B45FB2E-93A2-4F9A-89B0-32CF54F67D6D}" type="sibTrans" cxnId="{B225F2CA-41B6-4559-A430-09E00263389B}">
      <dgm:prSet/>
      <dgm:spPr/>
      <dgm:t>
        <a:bodyPr/>
        <a:lstStyle/>
        <a:p>
          <a:endParaRPr lang="pl-PL" sz="1000" b="1">
            <a:solidFill>
              <a:sysClr val="windowText" lastClr="000000"/>
            </a:solidFill>
            <a:latin typeface="Times New Roman" pitchFamily="18" charset="0"/>
            <a:cs typeface="Times New Roman" pitchFamily="18" charset="0"/>
          </a:endParaRPr>
        </a:p>
      </dgm:t>
    </dgm:pt>
    <dgm:pt modelId="{5C2381C7-C01D-4C0C-9CC6-BD19BB4295DD}">
      <dgm:prSet custT="1"/>
      <dgm:spPr/>
      <dgm:t>
        <a:bodyPr/>
        <a:lstStyle/>
        <a:p>
          <a:r>
            <a:rPr lang="pl-PL" sz="700" b="1">
              <a:latin typeface="Times New Roman" pitchFamily="18" charset="0"/>
              <a:cs typeface="Times New Roman" pitchFamily="18" charset="0"/>
            </a:rPr>
            <a:t>POROZUMIENIE Z IP2 RPO WSL</a:t>
          </a:r>
        </a:p>
      </dgm:t>
    </dgm:pt>
    <dgm:pt modelId="{88376AE3-2F57-431D-B989-BEA1C07E40F4}" type="parTrans" cxnId="{EEBF064B-F415-48AC-8A7D-2527D4794A74}">
      <dgm:prSet/>
      <dgm:spPr/>
      <dgm:t>
        <a:bodyPr/>
        <a:lstStyle/>
        <a:p>
          <a:endParaRPr lang="pl-PL" sz="1000" b="1">
            <a:solidFill>
              <a:sysClr val="windowText" lastClr="000000"/>
            </a:solidFill>
            <a:latin typeface="Times New Roman" pitchFamily="18" charset="0"/>
            <a:cs typeface="Times New Roman" pitchFamily="18" charset="0"/>
          </a:endParaRPr>
        </a:p>
      </dgm:t>
    </dgm:pt>
    <dgm:pt modelId="{24FBD1C4-6151-4E3B-9DF1-2ADD5EF19981}" type="sibTrans" cxnId="{EEBF064B-F415-48AC-8A7D-2527D4794A74}">
      <dgm:prSet/>
      <dgm:spPr/>
      <dgm:t>
        <a:bodyPr/>
        <a:lstStyle/>
        <a:p>
          <a:endParaRPr lang="pl-PL" sz="1000" b="1">
            <a:solidFill>
              <a:sysClr val="windowText" lastClr="000000"/>
            </a:solidFill>
            <a:latin typeface="Times New Roman" pitchFamily="18" charset="0"/>
            <a:cs typeface="Times New Roman" pitchFamily="18" charset="0"/>
          </a:endParaRPr>
        </a:p>
      </dgm:t>
    </dgm:pt>
    <dgm:pt modelId="{90D7C3DB-CA20-439C-B61D-168AF979EE7A}" type="pres">
      <dgm:prSet presAssocID="{4DCA5E0A-231E-440C-AB94-0D749DD99903}" presName="Name0" presStyleCnt="0">
        <dgm:presLayoutVars>
          <dgm:chPref val="1"/>
          <dgm:dir/>
          <dgm:animOne val="branch"/>
          <dgm:animLvl val="lvl"/>
          <dgm:resizeHandles/>
        </dgm:presLayoutVars>
      </dgm:prSet>
      <dgm:spPr/>
      <dgm:t>
        <a:bodyPr/>
        <a:lstStyle/>
        <a:p>
          <a:endParaRPr lang="pl-PL"/>
        </a:p>
      </dgm:t>
    </dgm:pt>
    <dgm:pt modelId="{A982A3E0-6B9B-445C-8A48-215BA6FBA14B}" type="pres">
      <dgm:prSet presAssocID="{11C8A10A-E498-49AA-A948-3EC0EC964FC7}" presName="vertOne" presStyleCnt="0"/>
      <dgm:spPr/>
      <dgm:t>
        <a:bodyPr/>
        <a:lstStyle/>
        <a:p>
          <a:endParaRPr lang="pl-PL"/>
        </a:p>
      </dgm:t>
    </dgm:pt>
    <dgm:pt modelId="{CD026840-7B39-483B-9F38-2C15C2CB4864}" type="pres">
      <dgm:prSet presAssocID="{11C8A10A-E498-49AA-A948-3EC0EC964FC7}" presName="txOne" presStyleLbl="node0" presStyleIdx="0" presStyleCnt="1" custScaleY="41341" custLinFactNeighborX="57" custLinFactNeighborY="-246">
        <dgm:presLayoutVars>
          <dgm:chPref val="3"/>
        </dgm:presLayoutVars>
      </dgm:prSet>
      <dgm:spPr>
        <a:prstGeom prst="round2SameRect">
          <a:avLst/>
        </a:prstGeom>
      </dgm:spPr>
      <dgm:t>
        <a:bodyPr/>
        <a:lstStyle/>
        <a:p>
          <a:endParaRPr lang="pl-PL"/>
        </a:p>
      </dgm:t>
    </dgm:pt>
    <dgm:pt modelId="{B02381B5-05A5-42D5-A9EE-30D14AB3BF29}" type="pres">
      <dgm:prSet presAssocID="{11C8A10A-E498-49AA-A948-3EC0EC964FC7}" presName="parTransOne" presStyleCnt="0"/>
      <dgm:spPr/>
      <dgm:t>
        <a:bodyPr/>
        <a:lstStyle/>
        <a:p>
          <a:endParaRPr lang="pl-PL"/>
        </a:p>
      </dgm:t>
    </dgm:pt>
    <dgm:pt modelId="{6B0617CE-4755-4F0F-9D97-C5D69286AC1D}" type="pres">
      <dgm:prSet presAssocID="{11C8A10A-E498-49AA-A948-3EC0EC964FC7}" presName="horzOne" presStyleCnt="0"/>
      <dgm:spPr/>
      <dgm:t>
        <a:bodyPr/>
        <a:lstStyle/>
        <a:p>
          <a:endParaRPr lang="pl-PL"/>
        </a:p>
      </dgm:t>
    </dgm:pt>
    <dgm:pt modelId="{445089F4-0A9C-4DF7-ACA3-AD239EEAAEDC}" type="pres">
      <dgm:prSet presAssocID="{F456C490-6EDD-42DF-9EB8-2A74D02B15A3}" presName="vertTwo" presStyleCnt="0"/>
      <dgm:spPr/>
      <dgm:t>
        <a:bodyPr/>
        <a:lstStyle/>
        <a:p>
          <a:endParaRPr lang="pl-PL"/>
        </a:p>
      </dgm:t>
    </dgm:pt>
    <dgm:pt modelId="{4B27C010-AECA-4D85-B365-29AF38CA3C0E}" type="pres">
      <dgm:prSet presAssocID="{F456C490-6EDD-42DF-9EB8-2A74D02B15A3}" presName="txTwo" presStyleLbl="node2" presStyleIdx="0" presStyleCnt="3">
        <dgm:presLayoutVars>
          <dgm:chPref val="3"/>
        </dgm:presLayoutVars>
      </dgm:prSet>
      <dgm:spPr/>
      <dgm:t>
        <a:bodyPr/>
        <a:lstStyle/>
        <a:p>
          <a:endParaRPr lang="pl-PL"/>
        </a:p>
      </dgm:t>
    </dgm:pt>
    <dgm:pt modelId="{4D8FB90D-7D91-4BAD-98F7-56934042E14E}" type="pres">
      <dgm:prSet presAssocID="{F456C490-6EDD-42DF-9EB8-2A74D02B15A3}" presName="parTransTwo" presStyleCnt="0"/>
      <dgm:spPr/>
      <dgm:t>
        <a:bodyPr/>
        <a:lstStyle/>
        <a:p>
          <a:endParaRPr lang="pl-PL"/>
        </a:p>
      </dgm:t>
    </dgm:pt>
    <dgm:pt modelId="{260016AB-FEBB-4190-BF3A-18E79005978A}" type="pres">
      <dgm:prSet presAssocID="{F456C490-6EDD-42DF-9EB8-2A74D02B15A3}" presName="horzTwo" presStyleCnt="0"/>
      <dgm:spPr/>
      <dgm:t>
        <a:bodyPr/>
        <a:lstStyle/>
        <a:p>
          <a:endParaRPr lang="pl-PL"/>
        </a:p>
      </dgm:t>
    </dgm:pt>
    <dgm:pt modelId="{84072295-241B-41CD-B83A-82032D8D66F1}" type="pres">
      <dgm:prSet presAssocID="{85B17B8F-EE4C-4D6D-9722-63F3149BA178}" presName="vertThree" presStyleCnt="0"/>
      <dgm:spPr/>
      <dgm:t>
        <a:bodyPr/>
        <a:lstStyle/>
        <a:p>
          <a:endParaRPr lang="pl-PL"/>
        </a:p>
      </dgm:t>
    </dgm:pt>
    <dgm:pt modelId="{569BD355-4C5E-4A99-9326-8310C89402F8}" type="pres">
      <dgm:prSet presAssocID="{85B17B8F-EE4C-4D6D-9722-63F3149BA178}" presName="txThree" presStyleLbl="node3" presStyleIdx="0" presStyleCnt="6">
        <dgm:presLayoutVars>
          <dgm:chPref val="3"/>
        </dgm:presLayoutVars>
      </dgm:prSet>
      <dgm:spPr/>
      <dgm:t>
        <a:bodyPr/>
        <a:lstStyle/>
        <a:p>
          <a:endParaRPr lang="pl-PL"/>
        </a:p>
      </dgm:t>
    </dgm:pt>
    <dgm:pt modelId="{62BC1F03-9705-4A88-8C19-45F198A8621C}" type="pres">
      <dgm:prSet presAssocID="{85B17B8F-EE4C-4D6D-9722-63F3149BA178}" presName="horzThree" presStyleCnt="0"/>
      <dgm:spPr/>
      <dgm:t>
        <a:bodyPr/>
        <a:lstStyle/>
        <a:p>
          <a:endParaRPr lang="pl-PL"/>
        </a:p>
      </dgm:t>
    </dgm:pt>
    <dgm:pt modelId="{00B35E4B-7EFB-4E6A-B301-CA27FBAEC4F1}" type="pres">
      <dgm:prSet presAssocID="{4B45FB2E-93A2-4F9A-89B0-32CF54F67D6D}" presName="sibSpaceThree" presStyleCnt="0"/>
      <dgm:spPr/>
      <dgm:t>
        <a:bodyPr/>
        <a:lstStyle/>
        <a:p>
          <a:endParaRPr lang="pl-PL"/>
        </a:p>
      </dgm:t>
    </dgm:pt>
    <dgm:pt modelId="{749AC431-01C8-4662-8BE0-E41FEB2E8923}" type="pres">
      <dgm:prSet presAssocID="{CAF2B11D-6DF7-4DBA-97E7-779E830B655E}" presName="vertThree" presStyleCnt="0"/>
      <dgm:spPr/>
      <dgm:t>
        <a:bodyPr/>
        <a:lstStyle/>
        <a:p>
          <a:endParaRPr lang="pl-PL"/>
        </a:p>
      </dgm:t>
    </dgm:pt>
    <dgm:pt modelId="{4D85E698-CA5D-4D80-82C5-47D159FB7013}" type="pres">
      <dgm:prSet presAssocID="{CAF2B11D-6DF7-4DBA-97E7-779E830B655E}" presName="txThree" presStyleLbl="node3" presStyleIdx="1" presStyleCnt="6">
        <dgm:presLayoutVars>
          <dgm:chPref val="3"/>
        </dgm:presLayoutVars>
      </dgm:prSet>
      <dgm:spPr/>
      <dgm:t>
        <a:bodyPr/>
        <a:lstStyle/>
        <a:p>
          <a:endParaRPr lang="pl-PL"/>
        </a:p>
      </dgm:t>
    </dgm:pt>
    <dgm:pt modelId="{1EB0DA27-273F-4847-A17F-27D5856497F1}" type="pres">
      <dgm:prSet presAssocID="{CAF2B11D-6DF7-4DBA-97E7-779E830B655E}" presName="horzThree" presStyleCnt="0"/>
      <dgm:spPr/>
      <dgm:t>
        <a:bodyPr/>
        <a:lstStyle/>
        <a:p>
          <a:endParaRPr lang="pl-PL"/>
        </a:p>
      </dgm:t>
    </dgm:pt>
    <dgm:pt modelId="{D558263D-D1C9-4998-AF7A-AA183D05719A}" type="pres">
      <dgm:prSet presAssocID="{89265B72-68EA-4A95-8AD5-5F1178F19169}" presName="sibSpaceTwo" presStyleCnt="0"/>
      <dgm:spPr/>
      <dgm:t>
        <a:bodyPr/>
        <a:lstStyle/>
        <a:p>
          <a:endParaRPr lang="pl-PL"/>
        </a:p>
      </dgm:t>
    </dgm:pt>
    <dgm:pt modelId="{F7B6F2B8-82F2-4249-81C2-B01ACCC07610}" type="pres">
      <dgm:prSet presAssocID="{1618E7CA-E934-4055-9561-21791D2E27EC}" presName="vertTwo" presStyleCnt="0"/>
      <dgm:spPr/>
      <dgm:t>
        <a:bodyPr/>
        <a:lstStyle/>
        <a:p>
          <a:endParaRPr lang="pl-PL"/>
        </a:p>
      </dgm:t>
    </dgm:pt>
    <dgm:pt modelId="{8D06874B-0820-4A3C-B709-F61AF17A70BF}" type="pres">
      <dgm:prSet presAssocID="{1618E7CA-E934-4055-9561-21791D2E27EC}" presName="txTwo" presStyleLbl="node2" presStyleIdx="1" presStyleCnt="3">
        <dgm:presLayoutVars>
          <dgm:chPref val="3"/>
        </dgm:presLayoutVars>
      </dgm:prSet>
      <dgm:spPr/>
      <dgm:t>
        <a:bodyPr/>
        <a:lstStyle/>
        <a:p>
          <a:endParaRPr lang="pl-PL"/>
        </a:p>
      </dgm:t>
    </dgm:pt>
    <dgm:pt modelId="{533899AD-82FF-4F28-BF3A-DC052D753C69}" type="pres">
      <dgm:prSet presAssocID="{1618E7CA-E934-4055-9561-21791D2E27EC}" presName="parTransTwo" presStyleCnt="0"/>
      <dgm:spPr/>
      <dgm:t>
        <a:bodyPr/>
        <a:lstStyle/>
        <a:p>
          <a:endParaRPr lang="pl-PL"/>
        </a:p>
      </dgm:t>
    </dgm:pt>
    <dgm:pt modelId="{46384EE2-7C58-4FCE-828D-AFA64122E80F}" type="pres">
      <dgm:prSet presAssocID="{1618E7CA-E934-4055-9561-21791D2E27EC}" presName="horzTwo" presStyleCnt="0"/>
      <dgm:spPr/>
      <dgm:t>
        <a:bodyPr/>
        <a:lstStyle/>
        <a:p>
          <a:endParaRPr lang="pl-PL"/>
        </a:p>
      </dgm:t>
    </dgm:pt>
    <dgm:pt modelId="{351CC0D1-3110-4A44-B0F6-CCCB9623A449}" type="pres">
      <dgm:prSet presAssocID="{B72E25D3-6843-4AAF-B71D-4695A96D597F}" presName="vertThree" presStyleCnt="0"/>
      <dgm:spPr/>
      <dgm:t>
        <a:bodyPr/>
        <a:lstStyle/>
        <a:p>
          <a:endParaRPr lang="pl-PL"/>
        </a:p>
      </dgm:t>
    </dgm:pt>
    <dgm:pt modelId="{950A61BF-7F26-4FB5-9F44-6C19AEA6E56A}" type="pres">
      <dgm:prSet presAssocID="{B72E25D3-6843-4AAF-B71D-4695A96D597F}" presName="txThree" presStyleLbl="node3" presStyleIdx="2" presStyleCnt="6">
        <dgm:presLayoutVars>
          <dgm:chPref val="3"/>
        </dgm:presLayoutVars>
      </dgm:prSet>
      <dgm:spPr/>
      <dgm:t>
        <a:bodyPr/>
        <a:lstStyle/>
        <a:p>
          <a:endParaRPr lang="pl-PL"/>
        </a:p>
      </dgm:t>
    </dgm:pt>
    <dgm:pt modelId="{D3C3C8F8-682C-464A-BD15-811471D74E69}" type="pres">
      <dgm:prSet presAssocID="{B72E25D3-6843-4AAF-B71D-4695A96D597F}" presName="horzThree" presStyleCnt="0"/>
      <dgm:spPr/>
      <dgm:t>
        <a:bodyPr/>
        <a:lstStyle/>
        <a:p>
          <a:endParaRPr lang="pl-PL"/>
        </a:p>
      </dgm:t>
    </dgm:pt>
    <dgm:pt modelId="{E647B255-9282-4920-AB36-142AF5284CEF}" type="pres">
      <dgm:prSet presAssocID="{F7037C76-815C-4AF3-B6D5-2ABD87AFB562}" presName="sibSpaceThree" presStyleCnt="0"/>
      <dgm:spPr/>
      <dgm:t>
        <a:bodyPr/>
        <a:lstStyle/>
        <a:p>
          <a:endParaRPr lang="pl-PL"/>
        </a:p>
      </dgm:t>
    </dgm:pt>
    <dgm:pt modelId="{33FC8870-8FDE-4FA5-824A-DB304FC797EF}" type="pres">
      <dgm:prSet presAssocID="{5C2381C7-C01D-4C0C-9CC6-BD19BB4295DD}" presName="vertThree" presStyleCnt="0"/>
      <dgm:spPr/>
      <dgm:t>
        <a:bodyPr/>
        <a:lstStyle/>
        <a:p>
          <a:endParaRPr lang="pl-PL"/>
        </a:p>
      </dgm:t>
    </dgm:pt>
    <dgm:pt modelId="{8944A22B-BF51-41DB-95B1-51C431D4DF09}" type="pres">
      <dgm:prSet presAssocID="{5C2381C7-C01D-4C0C-9CC6-BD19BB4295DD}" presName="txThree" presStyleLbl="node3" presStyleIdx="3" presStyleCnt="6">
        <dgm:presLayoutVars>
          <dgm:chPref val="3"/>
        </dgm:presLayoutVars>
      </dgm:prSet>
      <dgm:spPr/>
      <dgm:t>
        <a:bodyPr/>
        <a:lstStyle/>
        <a:p>
          <a:endParaRPr lang="pl-PL"/>
        </a:p>
      </dgm:t>
    </dgm:pt>
    <dgm:pt modelId="{28092B09-1AD0-4DA7-97AF-C3AD75401AC2}" type="pres">
      <dgm:prSet presAssocID="{5C2381C7-C01D-4C0C-9CC6-BD19BB4295DD}" presName="horzThree" presStyleCnt="0"/>
      <dgm:spPr/>
      <dgm:t>
        <a:bodyPr/>
        <a:lstStyle/>
        <a:p>
          <a:endParaRPr lang="pl-PL"/>
        </a:p>
      </dgm:t>
    </dgm:pt>
    <dgm:pt modelId="{EEB4C3E2-4648-4FA2-AE36-17715857C0EF}" type="pres">
      <dgm:prSet presAssocID="{391337B0-ABA6-424C-B089-848919D97777}" presName="sibSpaceTwo" presStyleCnt="0"/>
      <dgm:spPr/>
      <dgm:t>
        <a:bodyPr/>
        <a:lstStyle/>
        <a:p>
          <a:endParaRPr lang="pl-PL"/>
        </a:p>
      </dgm:t>
    </dgm:pt>
    <dgm:pt modelId="{83B230B2-9D2F-4CE4-A97B-85A5D8ECF6C5}" type="pres">
      <dgm:prSet presAssocID="{491DA094-2CE2-4E8A-AE32-CC75FC78F65D}" presName="vertTwo" presStyleCnt="0"/>
      <dgm:spPr/>
      <dgm:t>
        <a:bodyPr/>
        <a:lstStyle/>
        <a:p>
          <a:endParaRPr lang="pl-PL"/>
        </a:p>
      </dgm:t>
    </dgm:pt>
    <dgm:pt modelId="{B7324BE1-7F0E-4032-B7CB-F5BFEDC26143}" type="pres">
      <dgm:prSet presAssocID="{491DA094-2CE2-4E8A-AE32-CC75FC78F65D}" presName="txTwo" presStyleLbl="node2" presStyleIdx="2" presStyleCnt="3">
        <dgm:presLayoutVars>
          <dgm:chPref val="3"/>
        </dgm:presLayoutVars>
      </dgm:prSet>
      <dgm:spPr/>
      <dgm:t>
        <a:bodyPr/>
        <a:lstStyle/>
        <a:p>
          <a:endParaRPr lang="pl-PL"/>
        </a:p>
      </dgm:t>
    </dgm:pt>
    <dgm:pt modelId="{C301DFB6-2E7B-4B9B-B982-D7813B6A7C09}" type="pres">
      <dgm:prSet presAssocID="{491DA094-2CE2-4E8A-AE32-CC75FC78F65D}" presName="parTransTwo" presStyleCnt="0"/>
      <dgm:spPr/>
      <dgm:t>
        <a:bodyPr/>
        <a:lstStyle/>
        <a:p>
          <a:endParaRPr lang="pl-PL"/>
        </a:p>
      </dgm:t>
    </dgm:pt>
    <dgm:pt modelId="{DCB57D51-044E-4F0F-AEF1-E0C6AFF7A29D}" type="pres">
      <dgm:prSet presAssocID="{491DA094-2CE2-4E8A-AE32-CC75FC78F65D}" presName="horzTwo" presStyleCnt="0"/>
      <dgm:spPr/>
      <dgm:t>
        <a:bodyPr/>
        <a:lstStyle/>
        <a:p>
          <a:endParaRPr lang="pl-PL"/>
        </a:p>
      </dgm:t>
    </dgm:pt>
    <dgm:pt modelId="{0E76772C-65F3-494C-AECA-545C1B86DA86}" type="pres">
      <dgm:prSet presAssocID="{9FCFA48B-3920-4695-B08D-76E230101342}" presName="vertThree" presStyleCnt="0"/>
      <dgm:spPr/>
      <dgm:t>
        <a:bodyPr/>
        <a:lstStyle/>
        <a:p>
          <a:endParaRPr lang="pl-PL"/>
        </a:p>
      </dgm:t>
    </dgm:pt>
    <dgm:pt modelId="{99394EE1-5764-4C79-8749-11855583F7E0}" type="pres">
      <dgm:prSet presAssocID="{9FCFA48B-3920-4695-B08D-76E230101342}" presName="txThree" presStyleLbl="node3" presStyleIdx="4" presStyleCnt="6">
        <dgm:presLayoutVars>
          <dgm:chPref val="3"/>
        </dgm:presLayoutVars>
      </dgm:prSet>
      <dgm:spPr/>
      <dgm:t>
        <a:bodyPr/>
        <a:lstStyle/>
        <a:p>
          <a:endParaRPr lang="pl-PL"/>
        </a:p>
      </dgm:t>
    </dgm:pt>
    <dgm:pt modelId="{28B86F9B-152A-403F-831C-E0F6D76CA2C4}" type="pres">
      <dgm:prSet presAssocID="{9FCFA48B-3920-4695-B08D-76E230101342}" presName="horzThree" presStyleCnt="0"/>
      <dgm:spPr/>
      <dgm:t>
        <a:bodyPr/>
        <a:lstStyle/>
        <a:p>
          <a:endParaRPr lang="pl-PL"/>
        </a:p>
      </dgm:t>
    </dgm:pt>
    <dgm:pt modelId="{188D9525-619A-4211-815B-9E755130CCCE}" type="pres">
      <dgm:prSet presAssocID="{E63073C7-2B86-42FD-B8ED-39A8B18C4B4D}" presName="sibSpaceThree" presStyleCnt="0"/>
      <dgm:spPr/>
      <dgm:t>
        <a:bodyPr/>
        <a:lstStyle/>
        <a:p>
          <a:endParaRPr lang="pl-PL"/>
        </a:p>
      </dgm:t>
    </dgm:pt>
    <dgm:pt modelId="{81F4E43E-A1BF-4524-B4C9-CA0D00746D6C}" type="pres">
      <dgm:prSet presAssocID="{468190A6-0BD9-4248-B6B9-FB9D3DF2F593}" presName="vertThree" presStyleCnt="0"/>
      <dgm:spPr/>
      <dgm:t>
        <a:bodyPr/>
        <a:lstStyle/>
        <a:p>
          <a:endParaRPr lang="pl-PL"/>
        </a:p>
      </dgm:t>
    </dgm:pt>
    <dgm:pt modelId="{4AA103ED-4A6B-417A-AB81-D447A11990D7}" type="pres">
      <dgm:prSet presAssocID="{468190A6-0BD9-4248-B6B9-FB9D3DF2F593}" presName="txThree" presStyleLbl="node3" presStyleIdx="5" presStyleCnt="6">
        <dgm:presLayoutVars>
          <dgm:chPref val="3"/>
        </dgm:presLayoutVars>
      </dgm:prSet>
      <dgm:spPr/>
      <dgm:t>
        <a:bodyPr/>
        <a:lstStyle/>
        <a:p>
          <a:endParaRPr lang="pl-PL"/>
        </a:p>
      </dgm:t>
    </dgm:pt>
    <dgm:pt modelId="{CB70FB51-7359-47C3-A2B0-13E29E100F93}" type="pres">
      <dgm:prSet presAssocID="{468190A6-0BD9-4248-B6B9-FB9D3DF2F593}" presName="horzThree" presStyleCnt="0"/>
      <dgm:spPr/>
      <dgm:t>
        <a:bodyPr/>
        <a:lstStyle/>
        <a:p>
          <a:endParaRPr lang="pl-PL"/>
        </a:p>
      </dgm:t>
    </dgm:pt>
  </dgm:ptLst>
  <dgm:cxnLst>
    <dgm:cxn modelId="{741D6119-882F-4DE6-8AB5-B010F779E557}" srcId="{11C8A10A-E498-49AA-A948-3EC0EC964FC7}" destId="{491DA094-2CE2-4E8A-AE32-CC75FC78F65D}" srcOrd="2" destOrd="0" parTransId="{40F9CCD8-11DE-46B0-B66A-253488A5E253}" sibTransId="{26168749-E59A-42C6-AFFE-70847FAA088D}"/>
    <dgm:cxn modelId="{A696D200-A4B5-46B6-9018-CD33EE2358B0}" type="presOf" srcId="{F456C490-6EDD-42DF-9EB8-2A74D02B15A3}" destId="{4B27C010-AECA-4D85-B365-29AF38CA3C0E}" srcOrd="0" destOrd="0" presId="urn:microsoft.com/office/officeart/2005/8/layout/hierarchy4"/>
    <dgm:cxn modelId="{C93D73C1-7790-445A-82AE-1A775D7C0442}" type="presOf" srcId="{468190A6-0BD9-4248-B6B9-FB9D3DF2F593}" destId="{4AA103ED-4A6B-417A-AB81-D447A11990D7}" srcOrd="0" destOrd="0" presId="urn:microsoft.com/office/officeart/2005/8/layout/hierarchy4"/>
    <dgm:cxn modelId="{F9AE9170-7BD4-405E-AA87-A681A70BF2CE}" srcId="{11C8A10A-E498-49AA-A948-3EC0EC964FC7}" destId="{1618E7CA-E934-4055-9561-21791D2E27EC}" srcOrd="1" destOrd="0" parTransId="{70FA0A2D-5404-49D9-8AF7-4DA65B4C438D}" sibTransId="{391337B0-ABA6-424C-B089-848919D97777}"/>
    <dgm:cxn modelId="{FEF1E91A-319D-400B-BDCF-FF4A490BCBA6}" type="presOf" srcId="{85B17B8F-EE4C-4D6D-9722-63F3149BA178}" destId="{569BD355-4C5E-4A99-9326-8310C89402F8}" srcOrd="0" destOrd="0" presId="urn:microsoft.com/office/officeart/2005/8/layout/hierarchy4"/>
    <dgm:cxn modelId="{B0D1A49E-322B-4913-87B6-EBBA58223356}" type="presOf" srcId="{4DCA5E0A-231E-440C-AB94-0D749DD99903}" destId="{90D7C3DB-CA20-439C-B61D-168AF979EE7A}" srcOrd="0" destOrd="0" presId="urn:microsoft.com/office/officeart/2005/8/layout/hierarchy4"/>
    <dgm:cxn modelId="{EEBF064B-F415-48AC-8A7D-2527D4794A74}" srcId="{1618E7CA-E934-4055-9561-21791D2E27EC}" destId="{5C2381C7-C01D-4C0C-9CC6-BD19BB4295DD}" srcOrd="1" destOrd="0" parTransId="{88376AE3-2F57-431D-B989-BEA1C07E40F4}" sibTransId="{24FBD1C4-6151-4E3B-9DF1-2ADD5EF19981}"/>
    <dgm:cxn modelId="{B3286FD9-C5D2-4F6C-89CB-1655100ADC95}" srcId="{11C8A10A-E498-49AA-A948-3EC0EC964FC7}" destId="{F456C490-6EDD-42DF-9EB8-2A74D02B15A3}" srcOrd="0" destOrd="0" parTransId="{FA037C5A-023D-4517-AD1A-AA6418D0F660}" sibTransId="{89265B72-68EA-4A95-8AD5-5F1178F19169}"/>
    <dgm:cxn modelId="{B225F2CA-41B6-4559-A430-09E00263389B}" srcId="{F456C490-6EDD-42DF-9EB8-2A74D02B15A3}" destId="{85B17B8F-EE4C-4D6D-9722-63F3149BA178}" srcOrd="0" destOrd="0" parTransId="{C48ED31D-881C-405B-8617-1C08FE03FCAA}" sibTransId="{4B45FB2E-93A2-4F9A-89B0-32CF54F67D6D}"/>
    <dgm:cxn modelId="{49E49EB5-B046-413B-9532-021073DD4738}" type="presOf" srcId="{5C2381C7-C01D-4C0C-9CC6-BD19BB4295DD}" destId="{8944A22B-BF51-41DB-95B1-51C431D4DF09}" srcOrd="0" destOrd="0" presId="urn:microsoft.com/office/officeart/2005/8/layout/hierarchy4"/>
    <dgm:cxn modelId="{32DA4B97-612D-40BF-81B9-93713B95E00D}" type="presOf" srcId="{1618E7CA-E934-4055-9561-21791D2E27EC}" destId="{8D06874B-0820-4A3C-B709-F61AF17A70BF}" srcOrd="0" destOrd="0" presId="urn:microsoft.com/office/officeart/2005/8/layout/hierarchy4"/>
    <dgm:cxn modelId="{49F993AC-D820-4EBD-8DB6-AAB3E647F55C}" type="presOf" srcId="{CAF2B11D-6DF7-4DBA-97E7-779E830B655E}" destId="{4D85E698-CA5D-4D80-82C5-47D159FB7013}" srcOrd="0" destOrd="0" presId="urn:microsoft.com/office/officeart/2005/8/layout/hierarchy4"/>
    <dgm:cxn modelId="{681D1915-052D-45DF-87BD-AEA565587F8E}" srcId="{491DA094-2CE2-4E8A-AE32-CC75FC78F65D}" destId="{9FCFA48B-3920-4695-B08D-76E230101342}" srcOrd="0" destOrd="0" parTransId="{4139A315-4E02-4703-9A78-651293470E44}" sibTransId="{E63073C7-2B86-42FD-B8ED-39A8B18C4B4D}"/>
    <dgm:cxn modelId="{367B265F-CA4A-4F0A-9A29-D7764264365D}" srcId="{4DCA5E0A-231E-440C-AB94-0D749DD99903}" destId="{11C8A10A-E498-49AA-A948-3EC0EC964FC7}" srcOrd="0" destOrd="0" parTransId="{DD1F6368-5826-4891-91A6-BB9E776294A4}" sibTransId="{95433E04-0957-43EE-BA68-3DB43C2953BA}"/>
    <dgm:cxn modelId="{601CD6B1-5E02-43CD-A239-C621A2B4FFF1}" srcId="{F456C490-6EDD-42DF-9EB8-2A74D02B15A3}" destId="{CAF2B11D-6DF7-4DBA-97E7-779E830B655E}" srcOrd="1" destOrd="0" parTransId="{FE0664DE-1A84-44DD-BE93-F0973778DD44}" sibTransId="{DF526BD9-B58B-423C-9291-CDD4CF71124E}"/>
    <dgm:cxn modelId="{D74B66DF-C844-4AB1-A2E1-C2F2FC029FB8}" srcId="{491DA094-2CE2-4E8A-AE32-CC75FC78F65D}" destId="{468190A6-0BD9-4248-B6B9-FB9D3DF2F593}" srcOrd="1" destOrd="0" parTransId="{502A2F83-D898-4FF3-89AD-97AD47B27D3A}" sibTransId="{7EF51755-76A8-4934-8E8C-BB5EB74E8FB9}"/>
    <dgm:cxn modelId="{6E842C2D-BCC0-4518-B260-27B0F10243C4}" srcId="{1618E7CA-E934-4055-9561-21791D2E27EC}" destId="{B72E25D3-6843-4AAF-B71D-4695A96D597F}" srcOrd="0" destOrd="0" parTransId="{20CD7E40-3AE4-41ED-A26A-CDB2703F864C}" sibTransId="{F7037C76-815C-4AF3-B6D5-2ABD87AFB562}"/>
    <dgm:cxn modelId="{2A735A93-4479-4AB7-93DF-ABDF201EBAE7}" type="presOf" srcId="{11C8A10A-E498-49AA-A948-3EC0EC964FC7}" destId="{CD026840-7B39-483B-9F38-2C15C2CB4864}" srcOrd="0" destOrd="0" presId="urn:microsoft.com/office/officeart/2005/8/layout/hierarchy4"/>
    <dgm:cxn modelId="{BE7C47ED-3380-4D13-9481-8202A4EA5B24}" type="presOf" srcId="{9FCFA48B-3920-4695-B08D-76E230101342}" destId="{99394EE1-5764-4C79-8749-11855583F7E0}" srcOrd="0" destOrd="0" presId="urn:microsoft.com/office/officeart/2005/8/layout/hierarchy4"/>
    <dgm:cxn modelId="{C3CF5017-1174-48E4-AFD1-1643E8839CD0}" type="presOf" srcId="{491DA094-2CE2-4E8A-AE32-CC75FC78F65D}" destId="{B7324BE1-7F0E-4032-B7CB-F5BFEDC26143}" srcOrd="0" destOrd="0" presId="urn:microsoft.com/office/officeart/2005/8/layout/hierarchy4"/>
    <dgm:cxn modelId="{B5AB0F79-57A8-4405-848D-476B5FDBE574}" type="presOf" srcId="{B72E25D3-6843-4AAF-B71D-4695A96D597F}" destId="{950A61BF-7F26-4FB5-9F44-6C19AEA6E56A}" srcOrd="0" destOrd="0" presId="urn:microsoft.com/office/officeart/2005/8/layout/hierarchy4"/>
    <dgm:cxn modelId="{A6307530-0844-479D-9F8A-89988D342088}" type="presParOf" srcId="{90D7C3DB-CA20-439C-B61D-168AF979EE7A}" destId="{A982A3E0-6B9B-445C-8A48-215BA6FBA14B}" srcOrd="0" destOrd="0" presId="urn:microsoft.com/office/officeart/2005/8/layout/hierarchy4"/>
    <dgm:cxn modelId="{40EBD81A-4669-4748-B433-722314D8BF55}" type="presParOf" srcId="{A982A3E0-6B9B-445C-8A48-215BA6FBA14B}" destId="{CD026840-7B39-483B-9F38-2C15C2CB4864}" srcOrd="0" destOrd="0" presId="urn:microsoft.com/office/officeart/2005/8/layout/hierarchy4"/>
    <dgm:cxn modelId="{46C0C9C8-7E4C-466E-A84E-40973252678B}" type="presParOf" srcId="{A982A3E0-6B9B-445C-8A48-215BA6FBA14B}" destId="{B02381B5-05A5-42D5-A9EE-30D14AB3BF29}" srcOrd="1" destOrd="0" presId="urn:microsoft.com/office/officeart/2005/8/layout/hierarchy4"/>
    <dgm:cxn modelId="{D5CBBD84-9B6A-4DFB-855F-1086738AFEB5}" type="presParOf" srcId="{A982A3E0-6B9B-445C-8A48-215BA6FBA14B}" destId="{6B0617CE-4755-4F0F-9D97-C5D69286AC1D}" srcOrd="2" destOrd="0" presId="urn:microsoft.com/office/officeart/2005/8/layout/hierarchy4"/>
    <dgm:cxn modelId="{A732AFCA-DB8C-4A28-BEF6-604368F22A15}" type="presParOf" srcId="{6B0617CE-4755-4F0F-9D97-C5D69286AC1D}" destId="{445089F4-0A9C-4DF7-ACA3-AD239EEAAEDC}" srcOrd="0" destOrd="0" presId="urn:microsoft.com/office/officeart/2005/8/layout/hierarchy4"/>
    <dgm:cxn modelId="{1EBC17B0-1BBF-447C-9FE4-8628F7A8437D}" type="presParOf" srcId="{445089F4-0A9C-4DF7-ACA3-AD239EEAAEDC}" destId="{4B27C010-AECA-4D85-B365-29AF38CA3C0E}" srcOrd="0" destOrd="0" presId="urn:microsoft.com/office/officeart/2005/8/layout/hierarchy4"/>
    <dgm:cxn modelId="{E5DCD8D5-01F1-435A-B943-98ECCB9DC629}" type="presParOf" srcId="{445089F4-0A9C-4DF7-ACA3-AD239EEAAEDC}" destId="{4D8FB90D-7D91-4BAD-98F7-56934042E14E}" srcOrd="1" destOrd="0" presId="urn:microsoft.com/office/officeart/2005/8/layout/hierarchy4"/>
    <dgm:cxn modelId="{E2B4D7D6-3C5B-48E0-A265-6304472EDFDF}" type="presParOf" srcId="{445089F4-0A9C-4DF7-ACA3-AD239EEAAEDC}" destId="{260016AB-FEBB-4190-BF3A-18E79005978A}" srcOrd="2" destOrd="0" presId="urn:microsoft.com/office/officeart/2005/8/layout/hierarchy4"/>
    <dgm:cxn modelId="{F35BD917-C304-4DB8-A531-FC10E9DF6B5C}" type="presParOf" srcId="{260016AB-FEBB-4190-BF3A-18E79005978A}" destId="{84072295-241B-41CD-B83A-82032D8D66F1}" srcOrd="0" destOrd="0" presId="urn:microsoft.com/office/officeart/2005/8/layout/hierarchy4"/>
    <dgm:cxn modelId="{C1B7BC8D-35A2-4B9F-BD9D-19757C6F7EB9}" type="presParOf" srcId="{84072295-241B-41CD-B83A-82032D8D66F1}" destId="{569BD355-4C5E-4A99-9326-8310C89402F8}" srcOrd="0" destOrd="0" presId="urn:microsoft.com/office/officeart/2005/8/layout/hierarchy4"/>
    <dgm:cxn modelId="{50EFB7A2-D4AC-459A-96FF-1727956B98AF}" type="presParOf" srcId="{84072295-241B-41CD-B83A-82032D8D66F1}" destId="{62BC1F03-9705-4A88-8C19-45F198A8621C}" srcOrd="1" destOrd="0" presId="urn:microsoft.com/office/officeart/2005/8/layout/hierarchy4"/>
    <dgm:cxn modelId="{AFDA389C-2E37-4066-BA15-A8DA70F9080E}" type="presParOf" srcId="{260016AB-FEBB-4190-BF3A-18E79005978A}" destId="{00B35E4B-7EFB-4E6A-B301-CA27FBAEC4F1}" srcOrd="1" destOrd="0" presId="urn:microsoft.com/office/officeart/2005/8/layout/hierarchy4"/>
    <dgm:cxn modelId="{7D9939C2-CC34-439F-9649-27855A148EB6}" type="presParOf" srcId="{260016AB-FEBB-4190-BF3A-18E79005978A}" destId="{749AC431-01C8-4662-8BE0-E41FEB2E8923}" srcOrd="2" destOrd="0" presId="urn:microsoft.com/office/officeart/2005/8/layout/hierarchy4"/>
    <dgm:cxn modelId="{C8A24BE9-9B82-4575-9F05-B856EFAD171D}" type="presParOf" srcId="{749AC431-01C8-4662-8BE0-E41FEB2E8923}" destId="{4D85E698-CA5D-4D80-82C5-47D159FB7013}" srcOrd="0" destOrd="0" presId="urn:microsoft.com/office/officeart/2005/8/layout/hierarchy4"/>
    <dgm:cxn modelId="{528F2355-A9F0-4055-B2D9-6406E77E3D71}" type="presParOf" srcId="{749AC431-01C8-4662-8BE0-E41FEB2E8923}" destId="{1EB0DA27-273F-4847-A17F-27D5856497F1}" srcOrd="1" destOrd="0" presId="urn:microsoft.com/office/officeart/2005/8/layout/hierarchy4"/>
    <dgm:cxn modelId="{F5A5ED2B-116D-4177-B197-8EC1CE1CFAFA}" type="presParOf" srcId="{6B0617CE-4755-4F0F-9D97-C5D69286AC1D}" destId="{D558263D-D1C9-4998-AF7A-AA183D05719A}" srcOrd="1" destOrd="0" presId="urn:microsoft.com/office/officeart/2005/8/layout/hierarchy4"/>
    <dgm:cxn modelId="{37463105-5805-4866-A2C1-930FCB936CAB}" type="presParOf" srcId="{6B0617CE-4755-4F0F-9D97-C5D69286AC1D}" destId="{F7B6F2B8-82F2-4249-81C2-B01ACCC07610}" srcOrd="2" destOrd="0" presId="urn:microsoft.com/office/officeart/2005/8/layout/hierarchy4"/>
    <dgm:cxn modelId="{708EF39C-921B-4654-B1EB-9567EC38DE2E}" type="presParOf" srcId="{F7B6F2B8-82F2-4249-81C2-B01ACCC07610}" destId="{8D06874B-0820-4A3C-B709-F61AF17A70BF}" srcOrd="0" destOrd="0" presId="urn:microsoft.com/office/officeart/2005/8/layout/hierarchy4"/>
    <dgm:cxn modelId="{BC8F54EE-E70D-4742-82CB-F96C5FC8FD10}" type="presParOf" srcId="{F7B6F2B8-82F2-4249-81C2-B01ACCC07610}" destId="{533899AD-82FF-4F28-BF3A-DC052D753C69}" srcOrd="1" destOrd="0" presId="urn:microsoft.com/office/officeart/2005/8/layout/hierarchy4"/>
    <dgm:cxn modelId="{2FC112A8-A9EF-4AC4-9AAB-26D6A189E837}" type="presParOf" srcId="{F7B6F2B8-82F2-4249-81C2-B01ACCC07610}" destId="{46384EE2-7C58-4FCE-828D-AFA64122E80F}" srcOrd="2" destOrd="0" presId="urn:microsoft.com/office/officeart/2005/8/layout/hierarchy4"/>
    <dgm:cxn modelId="{6D7C87D5-8B73-4F58-BCA4-92DA25B76810}" type="presParOf" srcId="{46384EE2-7C58-4FCE-828D-AFA64122E80F}" destId="{351CC0D1-3110-4A44-B0F6-CCCB9623A449}" srcOrd="0" destOrd="0" presId="urn:microsoft.com/office/officeart/2005/8/layout/hierarchy4"/>
    <dgm:cxn modelId="{E3A1F5CD-6D28-4A65-ADB1-666B53693A73}" type="presParOf" srcId="{351CC0D1-3110-4A44-B0F6-CCCB9623A449}" destId="{950A61BF-7F26-4FB5-9F44-6C19AEA6E56A}" srcOrd="0" destOrd="0" presId="urn:microsoft.com/office/officeart/2005/8/layout/hierarchy4"/>
    <dgm:cxn modelId="{BC01C78A-DA4B-4AA1-99E9-792738EC13A0}" type="presParOf" srcId="{351CC0D1-3110-4A44-B0F6-CCCB9623A449}" destId="{D3C3C8F8-682C-464A-BD15-811471D74E69}" srcOrd="1" destOrd="0" presId="urn:microsoft.com/office/officeart/2005/8/layout/hierarchy4"/>
    <dgm:cxn modelId="{812F9B6F-8197-4385-8417-51EF7ABD1125}" type="presParOf" srcId="{46384EE2-7C58-4FCE-828D-AFA64122E80F}" destId="{E647B255-9282-4920-AB36-142AF5284CEF}" srcOrd="1" destOrd="0" presId="urn:microsoft.com/office/officeart/2005/8/layout/hierarchy4"/>
    <dgm:cxn modelId="{698DF37C-FDB2-42E3-B252-245B37D35745}" type="presParOf" srcId="{46384EE2-7C58-4FCE-828D-AFA64122E80F}" destId="{33FC8870-8FDE-4FA5-824A-DB304FC797EF}" srcOrd="2" destOrd="0" presId="urn:microsoft.com/office/officeart/2005/8/layout/hierarchy4"/>
    <dgm:cxn modelId="{ADDC18FF-7C18-40FE-A365-97F4E229CFE5}" type="presParOf" srcId="{33FC8870-8FDE-4FA5-824A-DB304FC797EF}" destId="{8944A22B-BF51-41DB-95B1-51C431D4DF09}" srcOrd="0" destOrd="0" presId="urn:microsoft.com/office/officeart/2005/8/layout/hierarchy4"/>
    <dgm:cxn modelId="{2065CD72-D2F4-4C65-A0EB-CAAF19AC3547}" type="presParOf" srcId="{33FC8870-8FDE-4FA5-824A-DB304FC797EF}" destId="{28092B09-1AD0-4DA7-97AF-C3AD75401AC2}" srcOrd="1" destOrd="0" presId="urn:microsoft.com/office/officeart/2005/8/layout/hierarchy4"/>
    <dgm:cxn modelId="{8FF35DE3-C207-4565-8E41-2028F0B87D42}" type="presParOf" srcId="{6B0617CE-4755-4F0F-9D97-C5D69286AC1D}" destId="{EEB4C3E2-4648-4FA2-AE36-17715857C0EF}" srcOrd="3" destOrd="0" presId="urn:microsoft.com/office/officeart/2005/8/layout/hierarchy4"/>
    <dgm:cxn modelId="{BBC6CB78-E534-4FAE-9A05-3595E2B337D2}" type="presParOf" srcId="{6B0617CE-4755-4F0F-9D97-C5D69286AC1D}" destId="{83B230B2-9D2F-4CE4-A97B-85A5D8ECF6C5}" srcOrd="4" destOrd="0" presId="urn:microsoft.com/office/officeart/2005/8/layout/hierarchy4"/>
    <dgm:cxn modelId="{6B374501-055A-4F6D-86AB-830F325091EF}" type="presParOf" srcId="{83B230B2-9D2F-4CE4-A97B-85A5D8ECF6C5}" destId="{B7324BE1-7F0E-4032-B7CB-F5BFEDC26143}" srcOrd="0" destOrd="0" presId="urn:microsoft.com/office/officeart/2005/8/layout/hierarchy4"/>
    <dgm:cxn modelId="{EF4D72C3-0B18-475C-A405-6771B5C04664}" type="presParOf" srcId="{83B230B2-9D2F-4CE4-A97B-85A5D8ECF6C5}" destId="{C301DFB6-2E7B-4B9B-B982-D7813B6A7C09}" srcOrd="1" destOrd="0" presId="urn:microsoft.com/office/officeart/2005/8/layout/hierarchy4"/>
    <dgm:cxn modelId="{A7614061-CEA7-4CBB-A7E6-AC098E4D69D6}" type="presParOf" srcId="{83B230B2-9D2F-4CE4-A97B-85A5D8ECF6C5}" destId="{DCB57D51-044E-4F0F-AEF1-E0C6AFF7A29D}" srcOrd="2" destOrd="0" presId="urn:microsoft.com/office/officeart/2005/8/layout/hierarchy4"/>
    <dgm:cxn modelId="{A4C50E2B-E132-430D-9D34-C4F5B1C084FF}" type="presParOf" srcId="{DCB57D51-044E-4F0F-AEF1-E0C6AFF7A29D}" destId="{0E76772C-65F3-494C-AECA-545C1B86DA86}" srcOrd="0" destOrd="0" presId="urn:microsoft.com/office/officeart/2005/8/layout/hierarchy4"/>
    <dgm:cxn modelId="{0F8536F1-D6A4-45B8-90C4-D17B6ECBAC75}" type="presParOf" srcId="{0E76772C-65F3-494C-AECA-545C1B86DA86}" destId="{99394EE1-5764-4C79-8749-11855583F7E0}" srcOrd="0" destOrd="0" presId="urn:microsoft.com/office/officeart/2005/8/layout/hierarchy4"/>
    <dgm:cxn modelId="{7048A534-ACC7-4CCA-ABF5-875A692306B5}" type="presParOf" srcId="{0E76772C-65F3-494C-AECA-545C1B86DA86}" destId="{28B86F9B-152A-403F-831C-E0F6D76CA2C4}" srcOrd="1" destOrd="0" presId="urn:microsoft.com/office/officeart/2005/8/layout/hierarchy4"/>
    <dgm:cxn modelId="{0B485CC4-4A69-45BE-B3A4-D33B8C845F1F}" type="presParOf" srcId="{DCB57D51-044E-4F0F-AEF1-E0C6AFF7A29D}" destId="{188D9525-619A-4211-815B-9E755130CCCE}" srcOrd="1" destOrd="0" presId="urn:microsoft.com/office/officeart/2005/8/layout/hierarchy4"/>
    <dgm:cxn modelId="{F921BED3-86B5-4737-8BB7-73F5867AE794}" type="presParOf" srcId="{DCB57D51-044E-4F0F-AEF1-E0C6AFF7A29D}" destId="{81F4E43E-A1BF-4524-B4C9-CA0D00746D6C}" srcOrd="2" destOrd="0" presId="urn:microsoft.com/office/officeart/2005/8/layout/hierarchy4"/>
    <dgm:cxn modelId="{C8C18BAA-0296-4639-BF97-9444AD9F7E33}" type="presParOf" srcId="{81F4E43E-A1BF-4524-B4C9-CA0D00746D6C}" destId="{4AA103ED-4A6B-417A-AB81-D447A11990D7}" srcOrd="0" destOrd="0" presId="urn:microsoft.com/office/officeart/2005/8/layout/hierarchy4"/>
    <dgm:cxn modelId="{590E8098-A57A-4F97-A763-4D7779332240}" type="presParOf" srcId="{81F4E43E-A1BF-4524-B4C9-CA0D00746D6C}" destId="{CB70FB51-7359-47C3-A2B0-13E29E100F93}" srcOrd="1" destOrd="0" presId="urn:microsoft.com/office/officeart/2005/8/layout/hierarchy4"/>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593940A8-8328-4608-9069-8D9FCBB289B7}" type="doc">
      <dgm:prSet loTypeId="urn:microsoft.com/office/officeart/2005/8/layout/lProcess2" loCatId="list" qsTypeId="urn:microsoft.com/office/officeart/2005/8/quickstyle/simple1" qsCatId="simple" csTypeId="urn:microsoft.com/office/officeart/2005/8/colors/accent0_3" csCatId="mainScheme" phldr="1"/>
      <dgm:spPr/>
      <dgm:t>
        <a:bodyPr/>
        <a:lstStyle/>
        <a:p>
          <a:endParaRPr lang="pl-PL"/>
        </a:p>
      </dgm:t>
    </dgm:pt>
    <dgm:pt modelId="{DEDD3E46-42EA-4F90-91FF-34AEED5B1752}">
      <dgm:prSet phldrT="[Tekst]" custT="1"/>
      <dgm:spPr>
        <a:xfrm>
          <a:off x="669" y="0"/>
          <a:ext cx="1741429" cy="3457797"/>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KPR: Innowacyjność dla wzrostu inteligentnego</a:t>
          </a:r>
        </a:p>
      </dgm:t>
    </dgm:pt>
    <dgm:pt modelId="{BBAE10C7-D328-4AAE-886B-30777095A577}" type="parTrans" cxnId="{B9428C8D-59D0-4AD9-9412-ADF0F1E922C0}">
      <dgm:prSet/>
      <dgm:spPr/>
      <dgm:t>
        <a:bodyPr/>
        <a:lstStyle/>
        <a:p>
          <a:endParaRPr lang="pl-PL" sz="1000" b="1">
            <a:solidFill>
              <a:sysClr val="windowText" lastClr="000000"/>
            </a:solidFill>
          </a:endParaRPr>
        </a:p>
      </dgm:t>
    </dgm:pt>
    <dgm:pt modelId="{0696C8A8-0673-4131-A1BB-A99284C0589D}" type="sibTrans" cxnId="{B9428C8D-59D0-4AD9-9412-ADF0F1E922C0}">
      <dgm:prSet/>
      <dgm:spPr/>
      <dgm:t>
        <a:bodyPr/>
        <a:lstStyle/>
        <a:p>
          <a:endParaRPr lang="pl-PL" sz="1000" b="1">
            <a:solidFill>
              <a:sysClr val="windowText" lastClr="000000"/>
            </a:solidFill>
          </a:endParaRPr>
        </a:p>
      </dgm:t>
    </dgm:pt>
    <dgm:pt modelId="{06013D42-1CB9-4CCB-A243-E4BADC082F30}">
      <dgm:prSet phldrT="[Tekst]" custT="1"/>
      <dgm:spPr>
        <a:xfrm>
          <a:off x="174812" y="1038352"/>
          <a:ext cx="1393143" cy="1042573"/>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I                       B+R, innowacje i przedsiebiorczość</a:t>
          </a:r>
        </a:p>
      </dgm:t>
    </dgm:pt>
    <dgm:pt modelId="{32C0E773-A15B-45F9-A48F-DE5A19FDE790}" type="parTrans" cxnId="{0C30E9BF-5D84-4C96-A6DD-94990F5F1936}">
      <dgm:prSet/>
      <dgm:spPr/>
      <dgm:t>
        <a:bodyPr/>
        <a:lstStyle/>
        <a:p>
          <a:endParaRPr lang="pl-PL" sz="1000" b="1">
            <a:solidFill>
              <a:sysClr val="windowText" lastClr="000000"/>
            </a:solidFill>
          </a:endParaRPr>
        </a:p>
      </dgm:t>
    </dgm:pt>
    <dgm:pt modelId="{E51DEECB-E0F5-4E46-B7EF-47DC193DFCAF}" type="sibTrans" cxnId="{0C30E9BF-5D84-4C96-A6DD-94990F5F1936}">
      <dgm:prSet/>
      <dgm:spPr/>
      <dgm:t>
        <a:bodyPr/>
        <a:lstStyle/>
        <a:p>
          <a:endParaRPr lang="pl-PL" sz="1000" b="1">
            <a:solidFill>
              <a:sysClr val="windowText" lastClr="000000"/>
            </a:solidFill>
          </a:endParaRPr>
        </a:p>
      </dgm:t>
    </dgm:pt>
    <dgm:pt modelId="{8B026C1E-18FC-4FDD-B2D8-39AC56707E0A}">
      <dgm:prSet phldrT="[Tekst]" custT="1"/>
      <dgm:spPr>
        <a:xfrm>
          <a:off x="174812" y="2241321"/>
          <a:ext cx="1393143" cy="1042573"/>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VIII Infrastruktura edukacyjna</a:t>
          </a:r>
        </a:p>
      </dgm:t>
    </dgm:pt>
    <dgm:pt modelId="{12ABE4C0-02FE-4A30-9D3A-249E4B8A3EFC}" type="parTrans" cxnId="{ACCD19D8-CBB9-46DF-8501-2E1176F57E04}">
      <dgm:prSet/>
      <dgm:spPr/>
      <dgm:t>
        <a:bodyPr/>
        <a:lstStyle/>
        <a:p>
          <a:endParaRPr lang="pl-PL" sz="1000" b="1">
            <a:solidFill>
              <a:sysClr val="windowText" lastClr="000000"/>
            </a:solidFill>
          </a:endParaRPr>
        </a:p>
      </dgm:t>
    </dgm:pt>
    <dgm:pt modelId="{2077C33C-C5B2-4AB5-9284-429CCD41DDE1}" type="sibTrans" cxnId="{ACCD19D8-CBB9-46DF-8501-2E1176F57E04}">
      <dgm:prSet/>
      <dgm:spPr/>
      <dgm:t>
        <a:bodyPr/>
        <a:lstStyle/>
        <a:p>
          <a:endParaRPr lang="pl-PL" sz="1000" b="1">
            <a:solidFill>
              <a:sysClr val="windowText" lastClr="000000"/>
            </a:solidFill>
          </a:endParaRPr>
        </a:p>
      </dgm:t>
    </dgm:pt>
    <dgm:pt modelId="{21972B78-1EE0-4427-B956-5E1E30337401}">
      <dgm:prSet phldrT="[Tekst]" custT="1"/>
      <dgm:spPr>
        <a:xfrm>
          <a:off x="1872706" y="0"/>
          <a:ext cx="1741429" cy="3457797"/>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KPR: Infrastruktura dla wzrostu zrównoważonego</a:t>
          </a:r>
        </a:p>
      </dgm:t>
    </dgm:pt>
    <dgm:pt modelId="{5A188706-0EB1-4393-A003-45284768D551}" type="parTrans" cxnId="{1E37E60B-90FC-4360-A124-142F29AC93FC}">
      <dgm:prSet/>
      <dgm:spPr/>
      <dgm:t>
        <a:bodyPr/>
        <a:lstStyle/>
        <a:p>
          <a:endParaRPr lang="pl-PL" sz="1000" b="1">
            <a:solidFill>
              <a:sysClr val="windowText" lastClr="000000"/>
            </a:solidFill>
          </a:endParaRPr>
        </a:p>
      </dgm:t>
    </dgm:pt>
    <dgm:pt modelId="{CB1525F4-0602-4794-AFBB-BD4CFB4EC793}" type="sibTrans" cxnId="{1E37E60B-90FC-4360-A124-142F29AC93FC}">
      <dgm:prSet/>
      <dgm:spPr/>
      <dgm:t>
        <a:bodyPr/>
        <a:lstStyle/>
        <a:p>
          <a:endParaRPr lang="pl-PL" sz="1000" b="1">
            <a:solidFill>
              <a:sysClr val="windowText" lastClr="000000"/>
            </a:solidFill>
          </a:endParaRPr>
        </a:p>
      </dgm:t>
    </dgm:pt>
    <dgm:pt modelId="{A9D86583-2EF7-4AEF-BEB4-9CC1F5B1271D}">
      <dgm:prSet phldrT="[Tekst]" custT="1"/>
      <dgm:spPr>
        <a:xfrm>
          <a:off x="2046849" y="944259"/>
          <a:ext cx="1393143" cy="610733"/>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I                          B+R, innowacje i przedsiebiorczość</a:t>
          </a:r>
        </a:p>
      </dgm:t>
    </dgm:pt>
    <dgm:pt modelId="{E75B0D1D-876C-4E6E-9129-E3DE4B53379F}" type="parTrans" cxnId="{9A963AAC-5964-40B9-AF44-978BA1D3D823}">
      <dgm:prSet/>
      <dgm:spPr/>
      <dgm:t>
        <a:bodyPr/>
        <a:lstStyle/>
        <a:p>
          <a:endParaRPr lang="pl-PL" sz="1000" b="1">
            <a:solidFill>
              <a:sysClr val="windowText" lastClr="000000"/>
            </a:solidFill>
          </a:endParaRPr>
        </a:p>
      </dgm:t>
    </dgm:pt>
    <dgm:pt modelId="{F6A627AC-09B7-4E22-86BD-E5B722145D9F}" type="sibTrans" cxnId="{9A963AAC-5964-40B9-AF44-978BA1D3D823}">
      <dgm:prSet/>
      <dgm:spPr/>
      <dgm:t>
        <a:bodyPr/>
        <a:lstStyle/>
        <a:p>
          <a:endParaRPr lang="pl-PL" sz="1000" b="1">
            <a:solidFill>
              <a:sysClr val="windowText" lastClr="000000"/>
            </a:solidFill>
          </a:endParaRPr>
        </a:p>
      </dgm:t>
    </dgm:pt>
    <dgm:pt modelId="{66E31E99-11D8-46F6-8E38-98F3C9FAFEE3}">
      <dgm:prSet phldrT="[Tekst]" custT="1"/>
      <dgm:spPr>
        <a:xfrm>
          <a:off x="2027805" y="1624581"/>
          <a:ext cx="1393143" cy="558599"/>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II Społeczeństwo informacyjne</a:t>
          </a:r>
        </a:p>
      </dgm:t>
    </dgm:pt>
    <dgm:pt modelId="{57D8AFDF-38E0-4BCF-9A05-C558DD625520}" type="parTrans" cxnId="{655D3E7E-2E0F-46B6-8E94-2A0F898BC39D}">
      <dgm:prSet/>
      <dgm:spPr/>
      <dgm:t>
        <a:bodyPr/>
        <a:lstStyle/>
        <a:p>
          <a:endParaRPr lang="pl-PL" sz="1000" b="1">
            <a:solidFill>
              <a:sysClr val="windowText" lastClr="000000"/>
            </a:solidFill>
          </a:endParaRPr>
        </a:p>
      </dgm:t>
    </dgm:pt>
    <dgm:pt modelId="{F8AD4785-21E3-4621-A767-ADC0A860CEBF}" type="sibTrans" cxnId="{655D3E7E-2E0F-46B6-8E94-2A0F898BC39D}">
      <dgm:prSet/>
      <dgm:spPr/>
      <dgm:t>
        <a:bodyPr/>
        <a:lstStyle/>
        <a:p>
          <a:endParaRPr lang="pl-PL" sz="1000" b="1">
            <a:solidFill>
              <a:sysClr val="windowText" lastClr="000000"/>
            </a:solidFill>
          </a:endParaRPr>
        </a:p>
      </dgm:t>
    </dgm:pt>
    <dgm:pt modelId="{7C67225F-F7E5-4913-9DB7-9938A070E70B}">
      <dgm:prSet phldrT="[Tekst]" custT="1"/>
      <dgm:spPr>
        <a:xfrm>
          <a:off x="3744743" y="0"/>
          <a:ext cx="1741429" cy="3457797"/>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KPR:  Aktywność dla wzrostu sprzyjającego włączeniu społecznemu</a:t>
          </a:r>
        </a:p>
      </dgm:t>
    </dgm:pt>
    <dgm:pt modelId="{72D03F78-B554-4FB7-8298-5ABECE5C492A}" type="parTrans" cxnId="{67DE980C-F5E3-404A-9251-5011751CDC40}">
      <dgm:prSet/>
      <dgm:spPr/>
      <dgm:t>
        <a:bodyPr/>
        <a:lstStyle/>
        <a:p>
          <a:endParaRPr lang="pl-PL" sz="1000" b="1">
            <a:solidFill>
              <a:sysClr val="windowText" lastClr="000000"/>
            </a:solidFill>
          </a:endParaRPr>
        </a:p>
      </dgm:t>
    </dgm:pt>
    <dgm:pt modelId="{385AA59F-94FB-4B84-A587-F8CA001A608F}" type="sibTrans" cxnId="{67DE980C-F5E3-404A-9251-5011751CDC40}">
      <dgm:prSet/>
      <dgm:spPr/>
      <dgm:t>
        <a:bodyPr/>
        <a:lstStyle/>
        <a:p>
          <a:endParaRPr lang="pl-PL" sz="1000" b="1">
            <a:solidFill>
              <a:sysClr val="windowText" lastClr="000000"/>
            </a:solidFill>
          </a:endParaRPr>
        </a:p>
      </dgm:t>
    </dgm:pt>
    <dgm:pt modelId="{2D1931F5-8517-4C04-A1DB-3DA42EE78AA2}">
      <dgm:prSet phldrT="[Tekst]" custT="1"/>
      <dgm:spPr>
        <a:xfrm>
          <a:off x="3918886" y="1037339"/>
          <a:ext cx="1393143" cy="2247568"/>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VI Zrównoważony rozwój miast</a:t>
          </a:r>
        </a:p>
      </dgm:t>
    </dgm:pt>
    <dgm:pt modelId="{59F9590A-E058-4E9E-8C70-DF149EC1704B}" type="parTrans" cxnId="{510A3C83-A8E0-4697-A5FF-387A6A28DF0B}">
      <dgm:prSet/>
      <dgm:spPr/>
      <dgm:t>
        <a:bodyPr/>
        <a:lstStyle/>
        <a:p>
          <a:endParaRPr lang="pl-PL" sz="1000" b="1">
            <a:solidFill>
              <a:sysClr val="windowText" lastClr="000000"/>
            </a:solidFill>
          </a:endParaRPr>
        </a:p>
      </dgm:t>
    </dgm:pt>
    <dgm:pt modelId="{2428101A-8B40-4560-B463-EE7735C7FBC9}" type="sibTrans" cxnId="{510A3C83-A8E0-4697-A5FF-387A6A28DF0B}">
      <dgm:prSet/>
      <dgm:spPr/>
      <dgm:t>
        <a:bodyPr/>
        <a:lstStyle/>
        <a:p>
          <a:endParaRPr lang="pl-PL" sz="1000" b="1">
            <a:solidFill>
              <a:sysClr val="windowText" lastClr="000000"/>
            </a:solidFill>
          </a:endParaRPr>
        </a:p>
      </dgm:t>
    </dgm:pt>
    <dgm:pt modelId="{244AB086-6791-4263-80DA-799DC404A476}">
      <dgm:prSet phldrT="[Tekst]" custT="1"/>
      <dgm:spPr>
        <a:xfrm>
          <a:off x="2046849" y="2246012"/>
          <a:ext cx="1393143" cy="352279"/>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V   Środowisko</a:t>
          </a:r>
        </a:p>
      </dgm:t>
    </dgm:pt>
    <dgm:pt modelId="{C273E805-71E9-48EF-A983-38C725627FD9}" type="parTrans" cxnId="{204A6B55-CC09-44EB-9D65-FC2CE2B05BDD}">
      <dgm:prSet/>
      <dgm:spPr/>
      <dgm:t>
        <a:bodyPr/>
        <a:lstStyle/>
        <a:p>
          <a:endParaRPr lang="pl-PL" sz="1000" b="1">
            <a:solidFill>
              <a:sysClr val="windowText" lastClr="000000"/>
            </a:solidFill>
          </a:endParaRPr>
        </a:p>
      </dgm:t>
    </dgm:pt>
    <dgm:pt modelId="{6249A4F2-DECF-4A4C-A429-2BFEF38AB2A7}" type="sibTrans" cxnId="{204A6B55-CC09-44EB-9D65-FC2CE2B05BDD}">
      <dgm:prSet/>
      <dgm:spPr/>
      <dgm:t>
        <a:bodyPr/>
        <a:lstStyle/>
        <a:p>
          <a:endParaRPr lang="pl-PL" sz="1000" b="1">
            <a:solidFill>
              <a:sysClr val="windowText" lastClr="000000"/>
            </a:solidFill>
          </a:endParaRPr>
        </a:p>
      </dgm:t>
    </dgm:pt>
    <dgm:pt modelId="{E62716F4-9D94-492E-B124-E51D272DAA10}">
      <dgm:prSet phldrT="[Tekst]" custT="1"/>
      <dgm:spPr>
        <a:xfrm>
          <a:off x="2046849" y="2721587"/>
          <a:ext cx="1393143" cy="563274"/>
        </a:xfrm>
        <a:prstGeom prst="roundRect">
          <a:avLst>
            <a:gd name="adj" fmla="val 10000"/>
          </a:avLst>
        </a:prstGeom>
      </dgm:spPr>
      <dgm:t>
        <a:bodyPr/>
        <a:lstStyle/>
        <a:p>
          <a:r>
            <a:rPr lang="pl-PL" sz="1000" b="1">
              <a:latin typeface="Times New Roman" pitchFamily="18" charset="0"/>
              <a:ea typeface="+mn-ea"/>
              <a:cs typeface="Times New Roman" pitchFamily="18" charset="0"/>
            </a:rPr>
            <a:t>Priorytet VII  Transport</a:t>
          </a:r>
        </a:p>
      </dgm:t>
    </dgm:pt>
    <dgm:pt modelId="{46E545BF-C6C6-45E0-95E8-BF49306A5C29}" type="parTrans" cxnId="{05F1FC4A-F8F2-4061-8DA9-4DF63039F4EB}">
      <dgm:prSet/>
      <dgm:spPr/>
      <dgm:t>
        <a:bodyPr/>
        <a:lstStyle/>
        <a:p>
          <a:endParaRPr lang="pl-PL" sz="1000" b="1">
            <a:solidFill>
              <a:sysClr val="windowText" lastClr="000000"/>
            </a:solidFill>
          </a:endParaRPr>
        </a:p>
      </dgm:t>
    </dgm:pt>
    <dgm:pt modelId="{CF47650A-9515-48CE-B8BF-E04C7A04D7F7}" type="sibTrans" cxnId="{05F1FC4A-F8F2-4061-8DA9-4DF63039F4EB}">
      <dgm:prSet/>
      <dgm:spPr/>
      <dgm:t>
        <a:bodyPr/>
        <a:lstStyle/>
        <a:p>
          <a:endParaRPr lang="pl-PL" sz="1000" b="1">
            <a:solidFill>
              <a:sysClr val="windowText" lastClr="000000"/>
            </a:solidFill>
          </a:endParaRPr>
        </a:p>
      </dgm:t>
    </dgm:pt>
    <dgm:pt modelId="{8A881123-4862-4078-9F6C-28D9783B983B}" type="pres">
      <dgm:prSet presAssocID="{593940A8-8328-4608-9069-8D9FCBB289B7}" presName="theList" presStyleCnt="0">
        <dgm:presLayoutVars>
          <dgm:dir/>
          <dgm:animLvl val="lvl"/>
          <dgm:resizeHandles val="exact"/>
        </dgm:presLayoutVars>
      </dgm:prSet>
      <dgm:spPr/>
      <dgm:t>
        <a:bodyPr/>
        <a:lstStyle/>
        <a:p>
          <a:endParaRPr lang="pl-PL"/>
        </a:p>
      </dgm:t>
    </dgm:pt>
    <dgm:pt modelId="{D4EF56CC-D3CD-4CF8-A3A7-656A58F0894B}" type="pres">
      <dgm:prSet presAssocID="{DEDD3E46-42EA-4F90-91FF-34AEED5B1752}" presName="compNode" presStyleCnt="0"/>
      <dgm:spPr/>
      <dgm:t>
        <a:bodyPr/>
        <a:lstStyle/>
        <a:p>
          <a:endParaRPr lang="pl-PL"/>
        </a:p>
      </dgm:t>
    </dgm:pt>
    <dgm:pt modelId="{2BB0C2F1-198C-494E-AC7B-B5F65416B178}" type="pres">
      <dgm:prSet presAssocID="{DEDD3E46-42EA-4F90-91FF-34AEED5B1752}" presName="aNode" presStyleLbl="bgShp" presStyleIdx="0" presStyleCnt="3"/>
      <dgm:spPr>
        <a:prstGeom prst="roundRect">
          <a:avLst>
            <a:gd name="adj" fmla="val 10000"/>
          </a:avLst>
        </a:prstGeom>
      </dgm:spPr>
      <dgm:t>
        <a:bodyPr/>
        <a:lstStyle/>
        <a:p>
          <a:endParaRPr lang="pl-PL"/>
        </a:p>
      </dgm:t>
    </dgm:pt>
    <dgm:pt modelId="{285CE242-B7F2-4B36-8F23-AA49C3111A43}" type="pres">
      <dgm:prSet presAssocID="{DEDD3E46-42EA-4F90-91FF-34AEED5B1752}" presName="textNode" presStyleLbl="bgShp" presStyleIdx="0" presStyleCnt="3"/>
      <dgm:spPr/>
      <dgm:t>
        <a:bodyPr/>
        <a:lstStyle/>
        <a:p>
          <a:endParaRPr lang="pl-PL"/>
        </a:p>
      </dgm:t>
    </dgm:pt>
    <dgm:pt modelId="{32A794F1-26B1-4E30-B9E7-14E05A63A918}" type="pres">
      <dgm:prSet presAssocID="{DEDD3E46-42EA-4F90-91FF-34AEED5B1752}" presName="compChildNode" presStyleCnt="0"/>
      <dgm:spPr/>
      <dgm:t>
        <a:bodyPr/>
        <a:lstStyle/>
        <a:p>
          <a:endParaRPr lang="pl-PL"/>
        </a:p>
      </dgm:t>
    </dgm:pt>
    <dgm:pt modelId="{649535FF-048A-4D63-9FE4-C183F8043B35}" type="pres">
      <dgm:prSet presAssocID="{DEDD3E46-42EA-4F90-91FF-34AEED5B1752}" presName="theInnerList" presStyleCnt="0"/>
      <dgm:spPr/>
      <dgm:t>
        <a:bodyPr/>
        <a:lstStyle/>
        <a:p>
          <a:endParaRPr lang="pl-PL"/>
        </a:p>
      </dgm:t>
    </dgm:pt>
    <dgm:pt modelId="{C6C86D35-D317-43DF-8201-E7B0110ED5CC}" type="pres">
      <dgm:prSet presAssocID="{06013D42-1CB9-4CCB-A243-E4BADC082F30}" presName="childNode" presStyleLbl="node1" presStyleIdx="0" presStyleCnt="7">
        <dgm:presLayoutVars>
          <dgm:bulletEnabled val="1"/>
        </dgm:presLayoutVars>
      </dgm:prSet>
      <dgm:spPr>
        <a:prstGeom prst="roundRect">
          <a:avLst>
            <a:gd name="adj" fmla="val 10000"/>
          </a:avLst>
        </a:prstGeom>
      </dgm:spPr>
      <dgm:t>
        <a:bodyPr/>
        <a:lstStyle/>
        <a:p>
          <a:endParaRPr lang="pl-PL"/>
        </a:p>
      </dgm:t>
    </dgm:pt>
    <dgm:pt modelId="{F381E52A-6A59-4C70-827E-B830E989D2DD}" type="pres">
      <dgm:prSet presAssocID="{06013D42-1CB9-4CCB-A243-E4BADC082F30}" presName="aSpace2" presStyleCnt="0"/>
      <dgm:spPr/>
      <dgm:t>
        <a:bodyPr/>
        <a:lstStyle/>
        <a:p>
          <a:endParaRPr lang="pl-PL"/>
        </a:p>
      </dgm:t>
    </dgm:pt>
    <dgm:pt modelId="{5270E2CF-B0B8-40F6-9645-71EAD3BE10CF}" type="pres">
      <dgm:prSet presAssocID="{8B026C1E-18FC-4FDD-B2D8-39AC56707E0A}" presName="childNode" presStyleLbl="node1" presStyleIdx="1" presStyleCnt="7">
        <dgm:presLayoutVars>
          <dgm:bulletEnabled val="1"/>
        </dgm:presLayoutVars>
      </dgm:prSet>
      <dgm:spPr>
        <a:prstGeom prst="roundRect">
          <a:avLst>
            <a:gd name="adj" fmla="val 10000"/>
          </a:avLst>
        </a:prstGeom>
      </dgm:spPr>
      <dgm:t>
        <a:bodyPr/>
        <a:lstStyle/>
        <a:p>
          <a:endParaRPr lang="pl-PL"/>
        </a:p>
      </dgm:t>
    </dgm:pt>
    <dgm:pt modelId="{90C15CBE-59D0-4F80-8872-A6EDFD8F0745}" type="pres">
      <dgm:prSet presAssocID="{DEDD3E46-42EA-4F90-91FF-34AEED5B1752}" presName="aSpace" presStyleCnt="0"/>
      <dgm:spPr/>
      <dgm:t>
        <a:bodyPr/>
        <a:lstStyle/>
        <a:p>
          <a:endParaRPr lang="pl-PL"/>
        </a:p>
      </dgm:t>
    </dgm:pt>
    <dgm:pt modelId="{F9377F90-3E84-465E-A290-5DBA4E97340E}" type="pres">
      <dgm:prSet presAssocID="{21972B78-1EE0-4427-B956-5E1E30337401}" presName="compNode" presStyleCnt="0"/>
      <dgm:spPr/>
      <dgm:t>
        <a:bodyPr/>
        <a:lstStyle/>
        <a:p>
          <a:endParaRPr lang="pl-PL"/>
        </a:p>
      </dgm:t>
    </dgm:pt>
    <dgm:pt modelId="{BCC60961-5932-4753-887A-6EAECAFC536A}" type="pres">
      <dgm:prSet presAssocID="{21972B78-1EE0-4427-B956-5E1E30337401}" presName="aNode" presStyleLbl="bgShp" presStyleIdx="1" presStyleCnt="3"/>
      <dgm:spPr>
        <a:prstGeom prst="roundRect">
          <a:avLst>
            <a:gd name="adj" fmla="val 10000"/>
          </a:avLst>
        </a:prstGeom>
      </dgm:spPr>
      <dgm:t>
        <a:bodyPr/>
        <a:lstStyle/>
        <a:p>
          <a:endParaRPr lang="pl-PL"/>
        </a:p>
      </dgm:t>
    </dgm:pt>
    <dgm:pt modelId="{0D7DCCF7-83F8-4883-B26D-55CD0E8A46E1}" type="pres">
      <dgm:prSet presAssocID="{21972B78-1EE0-4427-B956-5E1E30337401}" presName="textNode" presStyleLbl="bgShp" presStyleIdx="1" presStyleCnt="3"/>
      <dgm:spPr/>
      <dgm:t>
        <a:bodyPr/>
        <a:lstStyle/>
        <a:p>
          <a:endParaRPr lang="pl-PL"/>
        </a:p>
      </dgm:t>
    </dgm:pt>
    <dgm:pt modelId="{69AD3FB9-7E8B-4473-B1CB-5A6E02907E29}" type="pres">
      <dgm:prSet presAssocID="{21972B78-1EE0-4427-B956-5E1E30337401}" presName="compChildNode" presStyleCnt="0"/>
      <dgm:spPr/>
      <dgm:t>
        <a:bodyPr/>
        <a:lstStyle/>
        <a:p>
          <a:endParaRPr lang="pl-PL"/>
        </a:p>
      </dgm:t>
    </dgm:pt>
    <dgm:pt modelId="{22B1ECEA-9C3D-434F-8BBA-73EC051B4562}" type="pres">
      <dgm:prSet presAssocID="{21972B78-1EE0-4427-B956-5E1E30337401}" presName="theInnerList" presStyleCnt="0"/>
      <dgm:spPr/>
      <dgm:t>
        <a:bodyPr/>
        <a:lstStyle/>
        <a:p>
          <a:endParaRPr lang="pl-PL"/>
        </a:p>
      </dgm:t>
    </dgm:pt>
    <dgm:pt modelId="{EBD8F67A-C777-4F54-898B-C273657EA21F}" type="pres">
      <dgm:prSet presAssocID="{A9D86583-2EF7-4AEF-BEB4-9CC1F5B1271D}" presName="childNode" presStyleLbl="node1" presStyleIdx="2" presStyleCnt="7" custScaleY="173366" custLinFactY="-11050" custLinFactNeighborY="-100000">
        <dgm:presLayoutVars>
          <dgm:bulletEnabled val="1"/>
        </dgm:presLayoutVars>
      </dgm:prSet>
      <dgm:spPr>
        <a:prstGeom prst="roundRect">
          <a:avLst>
            <a:gd name="adj" fmla="val 10000"/>
          </a:avLst>
        </a:prstGeom>
      </dgm:spPr>
      <dgm:t>
        <a:bodyPr/>
        <a:lstStyle/>
        <a:p>
          <a:endParaRPr lang="pl-PL"/>
        </a:p>
      </dgm:t>
    </dgm:pt>
    <dgm:pt modelId="{7B3D0385-F6C0-4500-A69D-58C3CEF4ACD5}" type="pres">
      <dgm:prSet presAssocID="{A9D86583-2EF7-4AEF-BEB4-9CC1F5B1271D}" presName="aSpace2" presStyleCnt="0"/>
      <dgm:spPr/>
      <dgm:t>
        <a:bodyPr/>
        <a:lstStyle/>
        <a:p>
          <a:endParaRPr lang="pl-PL"/>
        </a:p>
      </dgm:t>
    </dgm:pt>
    <dgm:pt modelId="{D04D822B-08B3-4EE7-8639-0FF6049330ED}" type="pres">
      <dgm:prSet presAssocID="{66E31E99-11D8-46F6-8E38-98F3C9FAFEE3}" presName="childNode" presStyleLbl="node1" presStyleIdx="3" presStyleCnt="7" custScaleY="158567" custLinFactY="-6681" custLinFactNeighborX="-1367" custLinFactNeighborY="-100000">
        <dgm:presLayoutVars>
          <dgm:bulletEnabled val="1"/>
        </dgm:presLayoutVars>
      </dgm:prSet>
      <dgm:spPr>
        <a:prstGeom prst="roundRect">
          <a:avLst>
            <a:gd name="adj" fmla="val 10000"/>
          </a:avLst>
        </a:prstGeom>
      </dgm:spPr>
      <dgm:t>
        <a:bodyPr/>
        <a:lstStyle/>
        <a:p>
          <a:endParaRPr lang="pl-PL"/>
        </a:p>
      </dgm:t>
    </dgm:pt>
    <dgm:pt modelId="{C2AECCD0-B48D-48CB-9FE0-791AFBFC0443}" type="pres">
      <dgm:prSet presAssocID="{66E31E99-11D8-46F6-8E38-98F3C9FAFEE3}" presName="aSpace2" presStyleCnt="0"/>
      <dgm:spPr/>
      <dgm:t>
        <a:bodyPr/>
        <a:lstStyle/>
        <a:p>
          <a:endParaRPr lang="pl-PL"/>
        </a:p>
      </dgm:t>
    </dgm:pt>
    <dgm:pt modelId="{D5ACF8DB-8EE7-4A2A-B71C-36A39A68E959}" type="pres">
      <dgm:prSet presAssocID="{244AB086-6791-4263-80DA-799DC404A476}" presName="childNode" presStyleLbl="node1" presStyleIdx="4" presStyleCnt="7" custLinFactY="-4230" custLinFactNeighborY="-100000">
        <dgm:presLayoutVars>
          <dgm:bulletEnabled val="1"/>
        </dgm:presLayoutVars>
      </dgm:prSet>
      <dgm:spPr>
        <a:prstGeom prst="roundRect">
          <a:avLst>
            <a:gd name="adj" fmla="val 10000"/>
          </a:avLst>
        </a:prstGeom>
      </dgm:spPr>
      <dgm:t>
        <a:bodyPr/>
        <a:lstStyle/>
        <a:p>
          <a:endParaRPr lang="pl-PL"/>
        </a:p>
      </dgm:t>
    </dgm:pt>
    <dgm:pt modelId="{A35DA068-8CD7-4BB7-A79C-CE56D60FB5B8}" type="pres">
      <dgm:prSet presAssocID="{244AB086-6791-4263-80DA-799DC404A476}" presName="aSpace2" presStyleCnt="0"/>
      <dgm:spPr/>
      <dgm:t>
        <a:bodyPr/>
        <a:lstStyle/>
        <a:p>
          <a:endParaRPr lang="pl-PL"/>
        </a:p>
      </dgm:t>
    </dgm:pt>
    <dgm:pt modelId="{ECBAA0A2-E779-450A-8F48-8AE1CD8D329B}" type="pres">
      <dgm:prSet presAssocID="{E62716F4-9D94-492E-B124-E51D272DAA10}" presName="childNode" presStyleLbl="node1" presStyleIdx="5" presStyleCnt="7" custScaleY="159894">
        <dgm:presLayoutVars>
          <dgm:bulletEnabled val="1"/>
        </dgm:presLayoutVars>
      </dgm:prSet>
      <dgm:spPr>
        <a:prstGeom prst="roundRect">
          <a:avLst>
            <a:gd name="adj" fmla="val 10000"/>
          </a:avLst>
        </a:prstGeom>
      </dgm:spPr>
      <dgm:t>
        <a:bodyPr/>
        <a:lstStyle/>
        <a:p>
          <a:endParaRPr lang="pl-PL"/>
        </a:p>
      </dgm:t>
    </dgm:pt>
    <dgm:pt modelId="{E471F402-BABB-4497-A44A-4B1D97661F99}" type="pres">
      <dgm:prSet presAssocID="{21972B78-1EE0-4427-B956-5E1E30337401}" presName="aSpace" presStyleCnt="0"/>
      <dgm:spPr/>
      <dgm:t>
        <a:bodyPr/>
        <a:lstStyle/>
        <a:p>
          <a:endParaRPr lang="pl-PL"/>
        </a:p>
      </dgm:t>
    </dgm:pt>
    <dgm:pt modelId="{B7067DC7-A184-47B4-BE57-E1D02B08B3F3}" type="pres">
      <dgm:prSet presAssocID="{7C67225F-F7E5-4913-9DB7-9938A070E70B}" presName="compNode" presStyleCnt="0"/>
      <dgm:spPr/>
      <dgm:t>
        <a:bodyPr/>
        <a:lstStyle/>
        <a:p>
          <a:endParaRPr lang="pl-PL"/>
        </a:p>
      </dgm:t>
    </dgm:pt>
    <dgm:pt modelId="{92944964-18A7-4D86-AB7E-A11BDB9F0595}" type="pres">
      <dgm:prSet presAssocID="{7C67225F-F7E5-4913-9DB7-9938A070E70B}" presName="aNode" presStyleLbl="bgShp" presStyleIdx="2" presStyleCnt="3"/>
      <dgm:spPr>
        <a:prstGeom prst="roundRect">
          <a:avLst>
            <a:gd name="adj" fmla="val 10000"/>
          </a:avLst>
        </a:prstGeom>
      </dgm:spPr>
      <dgm:t>
        <a:bodyPr/>
        <a:lstStyle/>
        <a:p>
          <a:endParaRPr lang="pl-PL"/>
        </a:p>
      </dgm:t>
    </dgm:pt>
    <dgm:pt modelId="{3DAC787D-11FB-4B57-87AE-67BB1A61233B}" type="pres">
      <dgm:prSet presAssocID="{7C67225F-F7E5-4913-9DB7-9938A070E70B}" presName="textNode" presStyleLbl="bgShp" presStyleIdx="2" presStyleCnt="3"/>
      <dgm:spPr/>
      <dgm:t>
        <a:bodyPr/>
        <a:lstStyle/>
        <a:p>
          <a:endParaRPr lang="pl-PL"/>
        </a:p>
      </dgm:t>
    </dgm:pt>
    <dgm:pt modelId="{52A8A99A-85A4-4855-8B6A-2EF3529CA107}" type="pres">
      <dgm:prSet presAssocID="{7C67225F-F7E5-4913-9DB7-9938A070E70B}" presName="compChildNode" presStyleCnt="0"/>
      <dgm:spPr/>
      <dgm:t>
        <a:bodyPr/>
        <a:lstStyle/>
        <a:p>
          <a:endParaRPr lang="pl-PL"/>
        </a:p>
      </dgm:t>
    </dgm:pt>
    <dgm:pt modelId="{26E4134C-6DE1-4002-A395-B5A1BE79BFE8}" type="pres">
      <dgm:prSet presAssocID="{7C67225F-F7E5-4913-9DB7-9938A070E70B}" presName="theInnerList" presStyleCnt="0"/>
      <dgm:spPr/>
      <dgm:t>
        <a:bodyPr/>
        <a:lstStyle/>
        <a:p>
          <a:endParaRPr lang="pl-PL"/>
        </a:p>
      </dgm:t>
    </dgm:pt>
    <dgm:pt modelId="{20D4ED3D-10F5-427E-A70D-6DCAA8F5EAA4}" type="pres">
      <dgm:prSet presAssocID="{2D1931F5-8517-4C04-A1DB-3DA42EE78AA2}" presName="childNode" presStyleLbl="node1" presStyleIdx="6" presStyleCnt="7">
        <dgm:presLayoutVars>
          <dgm:bulletEnabled val="1"/>
        </dgm:presLayoutVars>
      </dgm:prSet>
      <dgm:spPr>
        <a:prstGeom prst="roundRect">
          <a:avLst>
            <a:gd name="adj" fmla="val 10000"/>
          </a:avLst>
        </a:prstGeom>
      </dgm:spPr>
      <dgm:t>
        <a:bodyPr/>
        <a:lstStyle/>
        <a:p>
          <a:endParaRPr lang="pl-PL"/>
        </a:p>
      </dgm:t>
    </dgm:pt>
  </dgm:ptLst>
  <dgm:cxnLst>
    <dgm:cxn modelId="{D6CC6DB9-32CE-4017-AAF7-D6B8D9D35C8F}" type="presOf" srcId="{E62716F4-9D94-492E-B124-E51D272DAA10}" destId="{ECBAA0A2-E779-450A-8F48-8AE1CD8D329B}" srcOrd="0" destOrd="0" presId="urn:microsoft.com/office/officeart/2005/8/layout/lProcess2"/>
    <dgm:cxn modelId="{A2FF80F4-666C-467B-BC2A-668FB80B7C10}" type="presOf" srcId="{DEDD3E46-42EA-4F90-91FF-34AEED5B1752}" destId="{285CE242-B7F2-4B36-8F23-AA49C3111A43}" srcOrd="1" destOrd="0" presId="urn:microsoft.com/office/officeart/2005/8/layout/lProcess2"/>
    <dgm:cxn modelId="{CC148FD9-1A1C-4EF7-9D37-9115A623F24F}" type="presOf" srcId="{593940A8-8328-4608-9069-8D9FCBB289B7}" destId="{8A881123-4862-4078-9F6C-28D9783B983B}" srcOrd="0" destOrd="0" presId="urn:microsoft.com/office/officeart/2005/8/layout/lProcess2"/>
    <dgm:cxn modelId="{4C330ACD-9FD5-4ED5-9A64-AEDF9C10DA68}" type="presOf" srcId="{8B026C1E-18FC-4FDD-B2D8-39AC56707E0A}" destId="{5270E2CF-B0B8-40F6-9645-71EAD3BE10CF}" srcOrd="0" destOrd="0" presId="urn:microsoft.com/office/officeart/2005/8/layout/lProcess2"/>
    <dgm:cxn modelId="{204A6B55-CC09-44EB-9D65-FC2CE2B05BDD}" srcId="{21972B78-1EE0-4427-B956-5E1E30337401}" destId="{244AB086-6791-4263-80DA-799DC404A476}" srcOrd="2" destOrd="0" parTransId="{C273E805-71E9-48EF-A983-38C725627FD9}" sibTransId="{6249A4F2-DECF-4A4C-A429-2BFEF38AB2A7}"/>
    <dgm:cxn modelId="{1E37E60B-90FC-4360-A124-142F29AC93FC}" srcId="{593940A8-8328-4608-9069-8D9FCBB289B7}" destId="{21972B78-1EE0-4427-B956-5E1E30337401}" srcOrd="1" destOrd="0" parTransId="{5A188706-0EB1-4393-A003-45284768D551}" sibTransId="{CB1525F4-0602-4794-AFBB-BD4CFB4EC793}"/>
    <dgm:cxn modelId="{CACC8595-BC32-42EE-A7DE-5BEF9E407F1D}" type="presOf" srcId="{DEDD3E46-42EA-4F90-91FF-34AEED5B1752}" destId="{2BB0C2F1-198C-494E-AC7B-B5F65416B178}" srcOrd="0" destOrd="0" presId="urn:microsoft.com/office/officeart/2005/8/layout/lProcess2"/>
    <dgm:cxn modelId="{CBF40A98-CA25-450F-904A-B1152236D90A}" type="presOf" srcId="{7C67225F-F7E5-4913-9DB7-9938A070E70B}" destId="{3DAC787D-11FB-4B57-87AE-67BB1A61233B}" srcOrd="1" destOrd="0" presId="urn:microsoft.com/office/officeart/2005/8/layout/lProcess2"/>
    <dgm:cxn modelId="{ACCD19D8-CBB9-46DF-8501-2E1176F57E04}" srcId="{DEDD3E46-42EA-4F90-91FF-34AEED5B1752}" destId="{8B026C1E-18FC-4FDD-B2D8-39AC56707E0A}" srcOrd="1" destOrd="0" parTransId="{12ABE4C0-02FE-4A30-9D3A-249E4B8A3EFC}" sibTransId="{2077C33C-C5B2-4AB5-9284-429CCD41DDE1}"/>
    <dgm:cxn modelId="{C519032E-C947-4EC8-AA04-FE6A69BB5444}" type="presOf" srcId="{21972B78-1EE0-4427-B956-5E1E30337401}" destId="{0D7DCCF7-83F8-4883-B26D-55CD0E8A46E1}" srcOrd="1" destOrd="0" presId="urn:microsoft.com/office/officeart/2005/8/layout/lProcess2"/>
    <dgm:cxn modelId="{AC924859-887C-4261-891C-B4998760FBB0}" type="presOf" srcId="{2D1931F5-8517-4C04-A1DB-3DA42EE78AA2}" destId="{20D4ED3D-10F5-427E-A70D-6DCAA8F5EAA4}" srcOrd="0" destOrd="0" presId="urn:microsoft.com/office/officeart/2005/8/layout/lProcess2"/>
    <dgm:cxn modelId="{C2C399E1-730E-456B-9957-9323CE84A903}" type="presOf" srcId="{A9D86583-2EF7-4AEF-BEB4-9CC1F5B1271D}" destId="{EBD8F67A-C777-4F54-898B-C273657EA21F}" srcOrd="0" destOrd="0" presId="urn:microsoft.com/office/officeart/2005/8/layout/lProcess2"/>
    <dgm:cxn modelId="{0C30E9BF-5D84-4C96-A6DD-94990F5F1936}" srcId="{DEDD3E46-42EA-4F90-91FF-34AEED5B1752}" destId="{06013D42-1CB9-4CCB-A243-E4BADC082F30}" srcOrd="0" destOrd="0" parTransId="{32C0E773-A15B-45F9-A48F-DE5A19FDE790}" sibTransId="{E51DEECB-E0F5-4E46-B7EF-47DC193DFCAF}"/>
    <dgm:cxn modelId="{B9428C8D-59D0-4AD9-9412-ADF0F1E922C0}" srcId="{593940A8-8328-4608-9069-8D9FCBB289B7}" destId="{DEDD3E46-42EA-4F90-91FF-34AEED5B1752}" srcOrd="0" destOrd="0" parTransId="{BBAE10C7-D328-4AAE-886B-30777095A577}" sibTransId="{0696C8A8-0673-4131-A1BB-A99284C0589D}"/>
    <dgm:cxn modelId="{9A963AAC-5964-40B9-AF44-978BA1D3D823}" srcId="{21972B78-1EE0-4427-B956-5E1E30337401}" destId="{A9D86583-2EF7-4AEF-BEB4-9CC1F5B1271D}" srcOrd="0" destOrd="0" parTransId="{E75B0D1D-876C-4E6E-9129-E3DE4B53379F}" sibTransId="{F6A627AC-09B7-4E22-86BD-E5B722145D9F}"/>
    <dgm:cxn modelId="{C1D0BB8E-4145-43A4-B620-86E51E3BDC3D}" type="presOf" srcId="{244AB086-6791-4263-80DA-799DC404A476}" destId="{D5ACF8DB-8EE7-4A2A-B71C-36A39A68E959}" srcOrd="0" destOrd="0" presId="urn:microsoft.com/office/officeart/2005/8/layout/lProcess2"/>
    <dgm:cxn modelId="{5D79AC20-B133-4696-A411-04A5B23E3737}" type="presOf" srcId="{66E31E99-11D8-46F6-8E38-98F3C9FAFEE3}" destId="{D04D822B-08B3-4EE7-8639-0FF6049330ED}" srcOrd="0" destOrd="0" presId="urn:microsoft.com/office/officeart/2005/8/layout/lProcess2"/>
    <dgm:cxn modelId="{67DE980C-F5E3-404A-9251-5011751CDC40}" srcId="{593940A8-8328-4608-9069-8D9FCBB289B7}" destId="{7C67225F-F7E5-4913-9DB7-9938A070E70B}" srcOrd="2" destOrd="0" parTransId="{72D03F78-B554-4FB7-8298-5ABECE5C492A}" sibTransId="{385AA59F-94FB-4B84-A587-F8CA001A608F}"/>
    <dgm:cxn modelId="{655D3E7E-2E0F-46B6-8E94-2A0F898BC39D}" srcId="{21972B78-1EE0-4427-B956-5E1E30337401}" destId="{66E31E99-11D8-46F6-8E38-98F3C9FAFEE3}" srcOrd="1" destOrd="0" parTransId="{57D8AFDF-38E0-4BCF-9A05-C558DD625520}" sibTransId="{F8AD4785-21E3-4621-A767-ADC0A860CEBF}"/>
    <dgm:cxn modelId="{510A3C83-A8E0-4697-A5FF-387A6A28DF0B}" srcId="{7C67225F-F7E5-4913-9DB7-9938A070E70B}" destId="{2D1931F5-8517-4C04-A1DB-3DA42EE78AA2}" srcOrd="0" destOrd="0" parTransId="{59F9590A-E058-4E9E-8C70-DF149EC1704B}" sibTransId="{2428101A-8B40-4560-B463-EE7735C7FBC9}"/>
    <dgm:cxn modelId="{DE883CEE-31BD-4EFF-8EB5-561DE185B659}" type="presOf" srcId="{21972B78-1EE0-4427-B956-5E1E30337401}" destId="{BCC60961-5932-4753-887A-6EAECAFC536A}" srcOrd="0" destOrd="0" presId="urn:microsoft.com/office/officeart/2005/8/layout/lProcess2"/>
    <dgm:cxn modelId="{D8A2B425-3347-4B2E-9BF4-7AB83ADFCFF7}" type="presOf" srcId="{06013D42-1CB9-4CCB-A243-E4BADC082F30}" destId="{C6C86D35-D317-43DF-8201-E7B0110ED5CC}" srcOrd="0" destOrd="0" presId="urn:microsoft.com/office/officeart/2005/8/layout/lProcess2"/>
    <dgm:cxn modelId="{05F1FC4A-F8F2-4061-8DA9-4DF63039F4EB}" srcId="{21972B78-1EE0-4427-B956-5E1E30337401}" destId="{E62716F4-9D94-492E-B124-E51D272DAA10}" srcOrd="3" destOrd="0" parTransId="{46E545BF-C6C6-45E0-95E8-BF49306A5C29}" sibTransId="{CF47650A-9515-48CE-B8BF-E04C7A04D7F7}"/>
    <dgm:cxn modelId="{D8A0FFEA-F85C-44EB-9956-389E2BB3B02F}" type="presOf" srcId="{7C67225F-F7E5-4913-9DB7-9938A070E70B}" destId="{92944964-18A7-4D86-AB7E-A11BDB9F0595}" srcOrd="0" destOrd="0" presId="urn:microsoft.com/office/officeart/2005/8/layout/lProcess2"/>
    <dgm:cxn modelId="{1892E08A-CD3C-4CD5-8BA1-F871400999E9}" type="presParOf" srcId="{8A881123-4862-4078-9F6C-28D9783B983B}" destId="{D4EF56CC-D3CD-4CF8-A3A7-656A58F0894B}" srcOrd="0" destOrd="0" presId="urn:microsoft.com/office/officeart/2005/8/layout/lProcess2"/>
    <dgm:cxn modelId="{113F149C-FFCA-4D0A-BE6B-599715BA4B1D}" type="presParOf" srcId="{D4EF56CC-D3CD-4CF8-A3A7-656A58F0894B}" destId="{2BB0C2F1-198C-494E-AC7B-B5F65416B178}" srcOrd="0" destOrd="0" presId="urn:microsoft.com/office/officeart/2005/8/layout/lProcess2"/>
    <dgm:cxn modelId="{8785DF1A-C943-4698-BB21-11C421F9B7CD}" type="presParOf" srcId="{D4EF56CC-D3CD-4CF8-A3A7-656A58F0894B}" destId="{285CE242-B7F2-4B36-8F23-AA49C3111A43}" srcOrd="1" destOrd="0" presId="urn:microsoft.com/office/officeart/2005/8/layout/lProcess2"/>
    <dgm:cxn modelId="{9EC48155-02D7-463E-8346-605711D963FC}" type="presParOf" srcId="{D4EF56CC-D3CD-4CF8-A3A7-656A58F0894B}" destId="{32A794F1-26B1-4E30-B9E7-14E05A63A918}" srcOrd="2" destOrd="0" presId="urn:microsoft.com/office/officeart/2005/8/layout/lProcess2"/>
    <dgm:cxn modelId="{0F4BADD0-D842-4381-82D4-183FA5E0EE62}" type="presParOf" srcId="{32A794F1-26B1-4E30-B9E7-14E05A63A918}" destId="{649535FF-048A-4D63-9FE4-C183F8043B35}" srcOrd="0" destOrd="0" presId="urn:microsoft.com/office/officeart/2005/8/layout/lProcess2"/>
    <dgm:cxn modelId="{84796955-BBBD-4C9B-93E8-78CAE3F55FF4}" type="presParOf" srcId="{649535FF-048A-4D63-9FE4-C183F8043B35}" destId="{C6C86D35-D317-43DF-8201-E7B0110ED5CC}" srcOrd="0" destOrd="0" presId="urn:microsoft.com/office/officeart/2005/8/layout/lProcess2"/>
    <dgm:cxn modelId="{10FF4629-711A-4C21-9F9A-9C41B2B3C2CC}" type="presParOf" srcId="{649535FF-048A-4D63-9FE4-C183F8043B35}" destId="{F381E52A-6A59-4C70-827E-B830E989D2DD}" srcOrd="1" destOrd="0" presId="urn:microsoft.com/office/officeart/2005/8/layout/lProcess2"/>
    <dgm:cxn modelId="{9D7F7293-8462-4254-A020-824A2406822C}" type="presParOf" srcId="{649535FF-048A-4D63-9FE4-C183F8043B35}" destId="{5270E2CF-B0B8-40F6-9645-71EAD3BE10CF}" srcOrd="2" destOrd="0" presId="urn:microsoft.com/office/officeart/2005/8/layout/lProcess2"/>
    <dgm:cxn modelId="{E452CD61-D4E8-4D69-B415-5FA2A0066847}" type="presParOf" srcId="{8A881123-4862-4078-9F6C-28D9783B983B}" destId="{90C15CBE-59D0-4F80-8872-A6EDFD8F0745}" srcOrd="1" destOrd="0" presId="urn:microsoft.com/office/officeart/2005/8/layout/lProcess2"/>
    <dgm:cxn modelId="{1B4A620E-4C06-4CB5-8FF0-E27762BFA728}" type="presParOf" srcId="{8A881123-4862-4078-9F6C-28D9783B983B}" destId="{F9377F90-3E84-465E-A290-5DBA4E97340E}" srcOrd="2" destOrd="0" presId="urn:microsoft.com/office/officeart/2005/8/layout/lProcess2"/>
    <dgm:cxn modelId="{303CE2F1-4B88-4918-97A0-136E0346D31E}" type="presParOf" srcId="{F9377F90-3E84-465E-A290-5DBA4E97340E}" destId="{BCC60961-5932-4753-887A-6EAECAFC536A}" srcOrd="0" destOrd="0" presId="urn:microsoft.com/office/officeart/2005/8/layout/lProcess2"/>
    <dgm:cxn modelId="{885645FE-327C-4C03-A430-EFF441B5CD96}" type="presParOf" srcId="{F9377F90-3E84-465E-A290-5DBA4E97340E}" destId="{0D7DCCF7-83F8-4883-B26D-55CD0E8A46E1}" srcOrd="1" destOrd="0" presId="urn:microsoft.com/office/officeart/2005/8/layout/lProcess2"/>
    <dgm:cxn modelId="{FDB1E912-B554-4EAD-8194-E74C5A40855D}" type="presParOf" srcId="{F9377F90-3E84-465E-A290-5DBA4E97340E}" destId="{69AD3FB9-7E8B-4473-B1CB-5A6E02907E29}" srcOrd="2" destOrd="0" presId="urn:microsoft.com/office/officeart/2005/8/layout/lProcess2"/>
    <dgm:cxn modelId="{CA2CDB5E-B056-4E51-AC36-04CE8592B787}" type="presParOf" srcId="{69AD3FB9-7E8B-4473-B1CB-5A6E02907E29}" destId="{22B1ECEA-9C3D-434F-8BBA-73EC051B4562}" srcOrd="0" destOrd="0" presId="urn:microsoft.com/office/officeart/2005/8/layout/lProcess2"/>
    <dgm:cxn modelId="{5802398B-74E4-4F16-A39E-A96F5EDA7E1A}" type="presParOf" srcId="{22B1ECEA-9C3D-434F-8BBA-73EC051B4562}" destId="{EBD8F67A-C777-4F54-898B-C273657EA21F}" srcOrd="0" destOrd="0" presId="urn:microsoft.com/office/officeart/2005/8/layout/lProcess2"/>
    <dgm:cxn modelId="{A47B633A-1DC9-4394-966D-4E441CED3B11}" type="presParOf" srcId="{22B1ECEA-9C3D-434F-8BBA-73EC051B4562}" destId="{7B3D0385-F6C0-4500-A69D-58C3CEF4ACD5}" srcOrd="1" destOrd="0" presId="urn:microsoft.com/office/officeart/2005/8/layout/lProcess2"/>
    <dgm:cxn modelId="{4B77E931-2741-41FF-9175-3C2371BD7CD1}" type="presParOf" srcId="{22B1ECEA-9C3D-434F-8BBA-73EC051B4562}" destId="{D04D822B-08B3-4EE7-8639-0FF6049330ED}" srcOrd="2" destOrd="0" presId="urn:microsoft.com/office/officeart/2005/8/layout/lProcess2"/>
    <dgm:cxn modelId="{FAE850CA-C165-4AE7-A502-76BA546DDEA2}" type="presParOf" srcId="{22B1ECEA-9C3D-434F-8BBA-73EC051B4562}" destId="{C2AECCD0-B48D-48CB-9FE0-791AFBFC0443}" srcOrd="3" destOrd="0" presId="urn:microsoft.com/office/officeart/2005/8/layout/lProcess2"/>
    <dgm:cxn modelId="{2E61CE11-1C99-443C-AAE8-044D9DFB2411}" type="presParOf" srcId="{22B1ECEA-9C3D-434F-8BBA-73EC051B4562}" destId="{D5ACF8DB-8EE7-4A2A-B71C-36A39A68E959}" srcOrd="4" destOrd="0" presId="urn:microsoft.com/office/officeart/2005/8/layout/lProcess2"/>
    <dgm:cxn modelId="{6B0DAAE4-79F3-4CEC-9479-1065772A687F}" type="presParOf" srcId="{22B1ECEA-9C3D-434F-8BBA-73EC051B4562}" destId="{A35DA068-8CD7-4BB7-A79C-CE56D60FB5B8}" srcOrd="5" destOrd="0" presId="urn:microsoft.com/office/officeart/2005/8/layout/lProcess2"/>
    <dgm:cxn modelId="{5AA2C0E5-7F2A-462B-BE08-5B1E1AC99F5E}" type="presParOf" srcId="{22B1ECEA-9C3D-434F-8BBA-73EC051B4562}" destId="{ECBAA0A2-E779-450A-8F48-8AE1CD8D329B}" srcOrd="6" destOrd="0" presId="urn:microsoft.com/office/officeart/2005/8/layout/lProcess2"/>
    <dgm:cxn modelId="{C15EB610-BA8E-4DA1-B196-169D5B844F0E}" type="presParOf" srcId="{8A881123-4862-4078-9F6C-28D9783B983B}" destId="{E471F402-BABB-4497-A44A-4B1D97661F99}" srcOrd="3" destOrd="0" presId="urn:microsoft.com/office/officeart/2005/8/layout/lProcess2"/>
    <dgm:cxn modelId="{12DB13B3-4465-4537-B66A-D50C052AF82D}" type="presParOf" srcId="{8A881123-4862-4078-9F6C-28D9783B983B}" destId="{B7067DC7-A184-47B4-BE57-E1D02B08B3F3}" srcOrd="4" destOrd="0" presId="urn:microsoft.com/office/officeart/2005/8/layout/lProcess2"/>
    <dgm:cxn modelId="{E4ADC2CF-AC5E-4E4D-8CB8-BADFE430149E}" type="presParOf" srcId="{B7067DC7-A184-47B4-BE57-E1D02B08B3F3}" destId="{92944964-18A7-4D86-AB7E-A11BDB9F0595}" srcOrd="0" destOrd="0" presId="urn:microsoft.com/office/officeart/2005/8/layout/lProcess2"/>
    <dgm:cxn modelId="{E668E4B5-6C36-45B9-A089-9C1624DB28F8}" type="presParOf" srcId="{B7067DC7-A184-47B4-BE57-E1D02B08B3F3}" destId="{3DAC787D-11FB-4B57-87AE-67BB1A61233B}" srcOrd="1" destOrd="0" presId="urn:microsoft.com/office/officeart/2005/8/layout/lProcess2"/>
    <dgm:cxn modelId="{E5C5B980-D02D-4954-8607-4B9447885EE6}" type="presParOf" srcId="{B7067DC7-A184-47B4-BE57-E1D02B08B3F3}" destId="{52A8A99A-85A4-4855-8B6A-2EF3529CA107}" srcOrd="2" destOrd="0" presId="urn:microsoft.com/office/officeart/2005/8/layout/lProcess2"/>
    <dgm:cxn modelId="{B8393D66-6956-40F7-BFD3-A4E9538BEB83}" type="presParOf" srcId="{52A8A99A-85A4-4855-8B6A-2EF3529CA107}" destId="{26E4134C-6DE1-4002-A395-B5A1BE79BFE8}" srcOrd="0" destOrd="0" presId="urn:microsoft.com/office/officeart/2005/8/layout/lProcess2"/>
    <dgm:cxn modelId="{D02A5307-2E4A-4F77-A8D0-3986F1FB436A}" type="presParOf" srcId="{26E4134C-6DE1-4002-A395-B5A1BE79BFE8}" destId="{20D4ED3D-10F5-427E-A70D-6DCAA8F5EAA4}" srcOrd="0" destOrd="0" presId="urn:microsoft.com/office/officeart/2005/8/layout/lProcess2"/>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D5157FC-345C-42EA-A0D2-DD6EBAA64FD5}">
      <dsp:nvSpPr>
        <dsp:cNvPr id="0" name=""/>
        <dsp:cNvSpPr/>
      </dsp:nvSpPr>
      <dsp:spPr>
        <a:xfrm>
          <a:off x="0" y="0"/>
          <a:ext cx="5781675" cy="1722773"/>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entrepreneurship and innovation</a:t>
          </a:r>
          <a:endPar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3096 projects were implemented in the scope of direct investment support for SMEs,</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1987 enterprises were supported,</a:t>
          </a:r>
        </a:p>
        <a:p>
          <a:pPr marL="57150" lvl="1" indent="-57150" algn="l" defTabSz="466725">
            <a:lnSpc>
              <a:spcPct val="90000"/>
            </a:lnSpc>
            <a:spcBef>
              <a:spcPct val="0"/>
            </a:spcBef>
            <a:spcAft>
              <a:spcPct val="15000"/>
            </a:spcAft>
            <a:buChar char="••"/>
          </a:pPr>
          <a:r>
            <a:rPr lang="pl-PL" sz="1050" kern="1200">
              <a:solidFill>
                <a:sysClr val="windowText" lastClr="000000"/>
              </a:solidFill>
              <a:latin typeface="Times New Roman" panose="02020603050405020304" pitchFamily="18" charset="0"/>
              <a:ea typeface="+mn-ea"/>
              <a:cs typeface="Times New Roman" panose="02020603050405020304" pitchFamily="18" charset="0"/>
            </a:rPr>
            <a:t>42 new investments localised in the supported incubators, business or technological parks</a:t>
          </a: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522 projects were implemented in the scope of direct investment support for SMEs,</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28 R&amp;D institutions supported under ROP.</a:t>
          </a:r>
        </a:p>
      </dsp:txBody>
      <dsp:txXfrm>
        <a:off x="1358261" y="50458"/>
        <a:ext cx="4372955" cy="1621857"/>
      </dsp:txXfrm>
    </dsp:sp>
    <dsp:sp modelId="{7197F60F-601A-49A1-91CD-5FD261F67708}">
      <dsp:nvSpPr>
        <dsp:cNvPr id="0" name=""/>
        <dsp:cNvSpPr/>
      </dsp:nvSpPr>
      <dsp:spPr>
        <a:xfrm>
          <a:off x="190385" y="171447"/>
          <a:ext cx="1078502" cy="1379878"/>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A429B8CF-CE6A-426D-A69A-25DF7A4CF1F6}">
      <dsp:nvSpPr>
        <dsp:cNvPr id="0" name=""/>
        <dsp:cNvSpPr/>
      </dsp:nvSpPr>
      <dsp:spPr>
        <a:xfrm>
          <a:off x="0" y="184585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endPar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Information Society</a:t>
          </a:r>
          <a:endPar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227 projects were implented  projektów</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904 PIAPs were launched,</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the length of broadband Internet network was 1235 km</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over 2 million people received the possibility of connection to broadband Internet. </a:t>
          </a:r>
        </a:p>
      </dsp:txBody>
      <dsp:txXfrm>
        <a:off x="1352167" y="1890220"/>
        <a:ext cx="4385143" cy="1425957"/>
      </dsp:txXfrm>
    </dsp:sp>
    <dsp:sp modelId="{BB3AD350-D1E6-4A79-8D7B-BB8E807825B0}">
      <dsp:nvSpPr>
        <dsp:cNvPr id="0" name=""/>
        <dsp:cNvSpPr/>
      </dsp:nvSpPr>
      <dsp:spPr>
        <a:xfrm>
          <a:off x="151468" y="2009775"/>
          <a:ext cx="1156334" cy="1243617"/>
        </a:xfrm>
        <a:prstGeom prst="roundRect">
          <a:avLst>
            <a:gd name="adj" fmla="val 1000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11000" b="-11000"/>
          </a:stretch>
        </a:blipFill>
        <a:ln>
          <a:noFill/>
        </a:ln>
        <a:effectLst/>
      </dsp:spPr>
      <dsp:style>
        <a:lnRef idx="0">
          <a:scrgbClr r="0" g="0" b="0"/>
        </a:lnRef>
        <a:fillRef idx="1">
          <a:scrgbClr r="0" g="0" b="0"/>
        </a:fillRef>
        <a:effectRef idx="2">
          <a:scrgbClr r="0" g="0" b="0"/>
        </a:effectRef>
        <a:fontRef idx="minor"/>
      </dsp:style>
    </dsp:sp>
    <dsp:sp modelId="{B56DEC04-E0E6-4DE1-B0DD-0C4EC4E4DBA1}">
      <dsp:nvSpPr>
        <dsp:cNvPr id="0" name=""/>
        <dsp:cNvSpPr/>
      </dsp:nvSpPr>
      <dsp:spPr>
        <a:xfrm>
          <a:off x="0" y="3540396"/>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tourism</a:t>
          </a:r>
          <a:endPar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548 projects were implemented in the scope of tourism,</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123 programme offers were promoted in the scope of tourism,</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revenues from tourism infrastructures are 89.56 million EUR,</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13 million unique people benefited from tourism infrastructure covered by programme support. </a:t>
          </a:r>
        </a:p>
      </dsp:txBody>
      <dsp:txXfrm>
        <a:off x="1352167" y="3584760"/>
        <a:ext cx="4385143" cy="1425957"/>
      </dsp:txXfrm>
    </dsp:sp>
    <dsp:sp modelId="{A97F60E1-ADF3-4DAA-A9F4-448EE0F5B4A7}">
      <dsp:nvSpPr>
        <dsp:cNvPr id="0" name=""/>
        <dsp:cNvSpPr/>
      </dsp:nvSpPr>
      <dsp:spPr>
        <a:xfrm>
          <a:off x="151468" y="3695699"/>
          <a:ext cx="1156334" cy="1136317"/>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2000" b="-2000"/>
          </a:stretch>
        </a:blipFill>
        <a:ln>
          <a:noFill/>
        </a:ln>
        <a:effectLst/>
      </dsp:spPr>
      <dsp:style>
        <a:lnRef idx="0">
          <a:scrgbClr r="0" g="0" b="0"/>
        </a:lnRef>
        <a:fillRef idx="1">
          <a:scrgbClr r="0" g="0" b="0"/>
        </a:fillRef>
        <a:effectRef idx="2">
          <a:scrgbClr r="0" g="0" b="0"/>
        </a:effectRef>
        <a:fontRef idx="minor"/>
      </dsp:style>
    </dsp:sp>
    <dsp:sp modelId="{D19E0EE2-093F-4DA9-8AC1-7CC34B17E214}">
      <dsp:nvSpPr>
        <dsp:cNvPr id="0" name=""/>
        <dsp:cNvSpPr/>
      </dsp:nvSpPr>
      <dsp:spPr>
        <a:xfrm>
          <a:off x="0" y="5206550"/>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Cultural heritage </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142 projects were implemented supporting the culture sector,</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152 buildings were modernised,</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nearly 5 million people used the culture infrastructure.</a:t>
          </a:r>
        </a:p>
      </dsp:txBody>
      <dsp:txXfrm>
        <a:off x="1352167" y="5250914"/>
        <a:ext cx="4385143" cy="1425957"/>
      </dsp:txXfrm>
    </dsp:sp>
    <dsp:sp modelId="{EA54F5A6-0930-4712-974E-9AC7E72403A2}">
      <dsp:nvSpPr>
        <dsp:cNvPr id="0" name=""/>
        <dsp:cNvSpPr/>
      </dsp:nvSpPr>
      <dsp:spPr>
        <a:xfrm>
          <a:off x="121357" y="5372099"/>
          <a:ext cx="1156334" cy="1183587"/>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20000" b="-20000"/>
          </a:stretch>
        </a:blipFill>
        <a:ln>
          <a:noFill/>
        </a:ln>
        <a:effectLst/>
      </dsp:spPr>
      <dsp:style>
        <a:lnRef idx="0">
          <a:scrgbClr r="0" g="0" b="0"/>
        </a:lnRef>
        <a:fillRef idx="1">
          <a:scrgbClr r="0" g="0" b="0"/>
        </a:fillRef>
        <a:effectRef idx="2">
          <a:scrgbClr r="0" g="0" b="0"/>
        </a:effectRef>
        <a:fontRef idx="minor"/>
      </dsp:style>
    </dsp:sp>
    <dsp:sp modelId="{6459102A-A16D-413E-B464-D5C141BFE10B}">
      <dsp:nvSpPr>
        <dsp:cNvPr id="0" name=""/>
        <dsp:cNvSpPr/>
      </dsp:nvSpPr>
      <dsp:spPr>
        <a:xfrm>
          <a:off x="0" y="6872704"/>
          <a:ext cx="5781675" cy="151468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Environment protection and reclamation</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as a result of the project, 48 201 people were connected to sewerage system,</a:t>
          </a:r>
        </a:p>
        <a:p>
          <a:pPr marL="57150" lvl="1" indent="-57150" algn="l" defTabSz="466725">
            <a:lnSpc>
              <a:spcPct val="90000"/>
            </a:lnSpc>
            <a:spcBef>
              <a:spcPct val="0"/>
            </a:spcBef>
            <a:spcAft>
              <a:spcPct val="15000"/>
            </a:spcAft>
            <a:buChar char="••"/>
          </a:pPr>
          <a:r>
            <a:rPr lang="pl-PL" sz="1050" kern="1200">
              <a:solidFill>
                <a:sysClr val="windowText" lastClr="000000"/>
              </a:solidFill>
              <a:latin typeface="Times New Roman" panose="02020603050405020304" pitchFamily="18" charset="0"/>
              <a:ea typeface="+mn-ea"/>
              <a:cs typeface="Times New Roman" panose="02020603050405020304" pitchFamily="18" charset="0"/>
            </a:rPr>
            <a:t> the power from installed sources of energy from renewable resources  is over </a:t>
          </a: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29 MW,</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328,45 k people were covered by sorted waste collection</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3 species were deleted from the regional records of endangered species</a:t>
          </a:r>
        </a:p>
        <a:p>
          <a:pPr marL="57150" lvl="1" indent="-57150" algn="l" defTabSz="444500">
            <a:lnSpc>
              <a:spcPct val="90000"/>
            </a:lnSpc>
            <a:spcBef>
              <a:spcPct val="0"/>
            </a:spcBef>
            <a:spcAft>
              <a:spcPct val="15000"/>
            </a:spcAft>
            <a:buChar char="••"/>
          </a:pPr>
          <a:endParaRPr lang="pl-PL" sz="10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1352167" y="6917068"/>
        <a:ext cx="4385143" cy="1425957"/>
      </dsp:txXfrm>
    </dsp:sp>
    <dsp:sp modelId="{01EF7B6F-31E7-496C-BBDD-605D1E87D847}">
      <dsp:nvSpPr>
        <dsp:cNvPr id="0" name=""/>
        <dsp:cNvSpPr/>
      </dsp:nvSpPr>
      <dsp:spPr>
        <a:xfrm>
          <a:off x="151468" y="7010401"/>
          <a:ext cx="1156334" cy="1239291"/>
        </a:xfrm>
        <a:prstGeom prst="roundRect">
          <a:avLst>
            <a:gd name="adj" fmla="val 10000"/>
          </a:avLst>
        </a:prstGeom>
        <a:blipFill>
          <a:blip xmlns:r="http://schemas.openxmlformats.org/officeDocument/2006/relationships" r:embed="rId5">
            <a:extLst>
              <a:ext uri="{28A0092B-C50C-407E-A947-70E740481C1C}">
                <a14:useLocalDpi xmlns:a14="http://schemas.microsoft.com/office/drawing/2010/main" val="0"/>
              </a:ext>
            </a:extLst>
          </a:blip>
          <a:srcRect/>
          <a:stretch>
            <a:fillRect t="-42000" b="-42000"/>
          </a:stretch>
        </a:blipFill>
        <a:ln>
          <a:noFill/>
        </a:ln>
        <a:effectLst/>
      </dsp:spPr>
      <dsp:style>
        <a:lnRef idx="0">
          <a:scrgbClr r="0" g="0" b="0"/>
        </a:lnRef>
        <a:fillRef idx="1">
          <a:scrgbClr r="0" g="0" b="0"/>
        </a:fillRef>
        <a:effectRef idx="2">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5D67C81-E270-46D8-8834-5C2E41F7EF35}">
      <dsp:nvSpPr>
        <dsp:cNvPr id="0" name=""/>
        <dsp:cNvSpPr/>
      </dsp:nvSpPr>
      <dsp:spPr>
        <a:xfrm>
          <a:off x="0" y="0"/>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endPar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road transport</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60.57 km of new road were constructed,</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413.86 km of roads were reconstructed, including 27.79 km regional roads and 386.07 km local roads,</a:t>
          </a:r>
        </a:p>
        <a:p>
          <a:pPr marL="57150" lvl="1" indent="-57150" algn="l" defTabSz="466725">
            <a:lnSpc>
              <a:spcPct val="90000"/>
            </a:lnSpc>
            <a:spcBef>
              <a:spcPct val="0"/>
            </a:spcBef>
            <a:spcAft>
              <a:spcPct val="15000"/>
            </a:spcAft>
            <a:buChar char="••"/>
          </a:pPr>
          <a:r>
            <a:rPr lang="pl-PL" sz="1050" kern="1200">
              <a:solidFill>
                <a:sysClr val="windowText" lastClr="000000"/>
              </a:solidFill>
              <a:latin typeface="Times New Roman" panose="02020603050405020304" pitchFamily="18" charset="0"/>
              <a:ea typeface="+mn-ea"/>
              <a:cs typeface="Times New Roman" panose="02020603050405020304" pitchFamily="18" charset="0"/>
            </a:rPr>
            <a:t>6</a:t>
          </a: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6.01 million EUR was saved for new and reconstructed roads in passenger and cargo carriages.</a:t>
          </a:r>
        </a:p>
      </dsp:txBody>
      <dsp:txXfrm>
        <a:off x="1448168" y="44102"/>
        <a:ext cx="4775179" cy="1417561"/>
      </dsp:txXfrm>
    </dsp:sp>
    <dsp:sp modelId="{55B2446D-BD47-4761-85F8-948559852989}">
      <dsp:nvSpPr>
        <dsp:cNvPr id="0" name=""/>
        <dsp:cNvSpPr/>
      </dsp:nvSpPr>
      <dsp:spPr>
        <a:xfrm>
          <a:off x="150576" y="365702"/>
          <a:ext cx="1253490" cy="774360"/>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2000" r="-22000"/>
          </a:stretch>
        </a:blipFill>
        <a:ln>
          <a:noFill/>
        </a:ln>
        <a:effectLst/>
      </dsp:spPr>
      <dsp:style>
        <a:lnRef idx="0">
          <a:scrgbClr r="0" g="0" b="0"/>
        </a:lnRef>
        <a:fillRef idx="1">
          <a:scrgbClr r="0" g="0" b="0"/>
        </a:fillRef>
        <a:effectRef idx="2">
          <a:scrgbClr r="0" g="0" b="0"/>
        </a:effectRef>
        <a:fontRef idx="minor"/>
      </dsp:style>
    </dsp:sp>
    <dsp:sp modelId="{1E0F086C-B266-4EB4-9CA9-6DC3D87E8910}">
      <dsp:nvSpPr>
        <dsp:cNvPr id="0" name=""/>
        <dsp:cNvSpPr/>
      </dsp:nvSpPr>
      <dsp:spPr>
        <a:xfrm>
          <a:off x="0" y="1656341"/>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endPar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More effective transport links</a:t>
          </a:r>
        </a:p>
        <a:p>
          <a:pPr marL="57150" lvl="1" indent="-57150" algn="l" defTabSz="466725">
            <a:lnSpc>
              <a:spcPct val="90000"/>
            </a:lnSpc>
            <a:spcBef>
              <a:spcPct val="0"/>
            </a:spcBef>
            <a:spcAft>
              <a:spcPct val="15000"/>
            </a:spcAft>
            <a:buChar char="••"/>
          </a:pPr>
          <a:r>
            <a:rPr lang="pl-PL" sz="1050" kern="1200">
              <a:solidFill>
                <a:sysClr val="windowText" lastClr="000000"/>
              </a:solidFill>
              <a:latin typeface="Times New Roman" panose="02020603050405020304" pitchFamily="18" charset="0"/>
              <a:ea typeface="+mn-ea"/>
              <a:cs typeface="Times New Roman" panose="02020603050405020304" pitchFamily="18" charset="0"/>
            </a:rPr>
            <a:t>235 pieces of urban transport stock were bought including 7 new tramways</a:t>
          </a: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13 pieces of railway stock were bought,</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4,6 km of new tramway line was constructed.</a:t>
          </a:r>
        </a:p>
      </dsp:txBody>
      <dsp:txXfrm>
        <a:off x="1448168" y="1700443"/>
        <a:ext cx="4775179" cy="1417561"/>
      </dsp:txXfrm>
    </dsp:sp>
    <dsp:sp modelId="{76276C71-E75E-49AE-B883-1A5435C1C5F1}">
      <dsp:nvSpPr>
        <dsp:cNvPr id="0" name=""/>
        <dsp:cNvSpPr/>
      </dsp:nvSpPr>
      <dsp:spPr>
        <a:xfrm>
          <a:off x="150576" y="1993657"/>
          <a:ext cx="1253490" cy="831134"/>
        </a:xfrm>
        <a:prstGeom prst="roundRect">
          <a:avLst>
            <a:gd name="adj" fmla="val 10000"/>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l="-33000" r="-33000"/>
          </a:stretch>
        </a:blipFill>
        <a:ln>
          <a:noFill/>
        </a:ln>
        <a:effectLst/>
      </dsp:spPr>
      <dsp:style>
        <a:lnRef idx="0">
          <a:scrgbClr r="0" g="0" b="0"/>
        </a:lnRef>
        <a:fillRef idx="1">
          <a:scrgbClr r="0" g="0" b="0"/>
        </a:fillRef>
        <a:effectRef idx="2">
          <a:scrgbClr r="0" g="0" b="0"/>
        </a:effectRef>
        <a:fontRef idx="minor"/>
      </dsp:style>
    </dsp:sp>
    <dsp:sp modelId="{A5D03F75-3113-4D1F-B643-182E8AF97173}">
      <dsp:nvSpPr>
        <dsp:cNvPr id="0" name=""/>
        <dsp:cNvSpPr/>
      </dsp:nvSpPr>
      <dsp:spPr>
        <a:xfrm>
          <a:off x="0" y="3312683"/>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endPar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More effective education</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111 education projects were implemented,</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85 k students benefited from the supported education infrastructure,</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17 continuous education centres were supported</a:t>
          </a:r>
        </a:p>
      </dsp:txBody>
      <dsp:txXfrm>
        <a:off x="1448168" y="3356785"/>
        <a:ext cx="4775179" cy="1417561"/>
      </dsp:txXfrm>
    </dsp:sp>
    <dsp:sp modelId="{92C3832B-AA73-409F-BE6E-7B14B3959981}">
      <dsp:nvSpPr>
        <dsp:cNvPr id="0" name=""/>
        <dsp:cNvSpPr/>
      </dsp:nvSpPr>
      <dsp:spPr>
        <a:xfrm>
          <a:off x="150576" y="3662696"/>
          <a:ext cx="1253490" cy="805741"/>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18000" r="-18000"/>
          </a:stretch>
        </a:blipFill>
        <a:ln>
          <a:noFill/>
        </a:ln>
        <a:effectLst/>
      </dsp:spPr>
      <dsp:style>
        <a:lnRef idx="0">
          <a:scrgbClr r="0" g="0" b="0"/>
        </a:lnRef>
        <a:fillRef idx="1">
          <a:scrgbClr r="0" g="0" b="0"/>
        </a:fillRef>
        <a:effectRef idx="2">
          <a:scrgbClr r="0" g="0" b="0"/>
        </a:effectRef>
        <a:fontRef idx="minor"/>
      </dsp:style>
    </dsp:sp>
    <dsp:sp modelId="{F1CDE5CB-5E94-4B02-9386-D1A89FA6C2AF}">
      <dsp:nvSpPr>
        <dsp:cNvPr id="0" name=""/>
        <dsp:cNvSpPr/>
      </dsp:nvSpPr>
      <dsp:spPr>
        <a:xfrm>
          <a:off x="0" y="4987667"/>
          <a:ext cx="6267450" cy="1682527"/>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endPar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Development of healthcare sector</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112 healthcare projects were implemented,</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122 healthcare centres were refurbished/modernised, or additionally equipped with medical equipment,</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over 2,25 million pieces of advice were given, using the healthcare infrastructure supported under the programme.</a:t>
          </a:r>
        </a:p>
      </dsp:txBody>
      <dsp:txXfrm>
        <a:off x="1453346" y="5036947"/>
        <a:ext cx="4764823" cy="1583967"/>
      </dsp:txXfrm>
    </dsp:sp>
    <dsp:sp modelId="{AB95DE6D-83F6-48A0-93D6-DDF2DD445FD8}">
      <dsp:nvSpPr>
        <dsp:cNvPr id="0" name=""/>
        <dsp:cNvSpPr/>
      </dsp:nvSpPr>
      <dsp:spPr>
        <a:xfrm>
          <a:off x="150576" y="5394379"/>
          <a:ext cx="1253490" cy="831820"/>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22000" r="-22000"/>
          </a:stretch>
        </a:blipFill>
        <a:ln>
          <a:noFill/>
        </a:ln>
        <a:effectLst/>
      </dsp:spPr>
      <dsp:style>
        <a:lnRef idx="0">
          <a:scrgbClr r="0" g="0" b="0"/>
        </a:lnRef>
        <a:fillRef idx="1">
          <a:scrgbClr r="0" g="0" b="0"/>
        </a:fillRef>
        <a:effectRef idx="2">
          <a:scrgbClr r="0" g="0" b="0"/>
        </a:effectRef>
        <a:fontRef idx="minor"/>
      </dsp:style>
    </dsp:sp>
    <dsp:sp modelId="{185E2FDF-AC72-4D5C-8B22-C7357965A844}">
      <dsp:nvSpPr>
        <dsp:cNvPr id="0" name=""/>
        <dsp:cNvSpPr/>
      </dsp:nvSpPr>
      <dsp:spPr>
        <a:xfrm>
          <a:off x="0" y="6802129"/>
          <a:ext cx="6267450" cy="1505765"/>
        </a:xfrm>
        <a:prstGeom prst="roundRect">
          <a:avLst>
            <a:gd name="adj" fmla="val 10000"/>
          </a:avLst>
        </a:prstGeom>
        <a:gradFill rotWithShape="0">
          <a:gsLst>
            <a:gs pos="0">
              <a:sysClr val="window" lastClr="FFFFFF">
                <a:hueOff val="0"/>
                <a:satOff val="0"/>
                <a:lumOff val="0"/>
                <a:alphaOff val="0"/>
                <a:satMod val="103000"/>
                <a:lumMod val="102000"/>
                <a:tint val="94000"/>
              </a:sysClr>
            </a:gs>
            <a:gs pos="50000">
              <a:sysClr val="window" lastClr="FFFFFF">
                <a:hueOff val="0"/>
                <a:satOff val="0"/>
                <a:lumOff val="0"/>
                <a:alphaOff val="0"/>
                <a:satMod val="110000"/>
                <a:lumMod val="100000"/>
                <a:shade val="100000"/>
              </a:sysClr>
            </a:gs>
            <a:gs pos="100000">
              <a:sysClr val="window" lastClr="FFFFFF">
                <a:hueOff val="0"/>
                <a:satOff val="0"/>
                <a:lumOff val="0"/>
                <a:alphaOff val="0"/>
                <a:lumMod val="99000"/>
                <a:satMod val="120000"/>
                <a:shade val="78000"/>
              </a:sys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t" anchorCtr="0">
          <a:noAutofit/>
        </a:bodyPr>
        <a:lstStyle/>
        <a:p>
          <a:pPr lvl="0" algn="l" defTabSz="466725">
            <a:lnSpc>
              <a:spcPct val="90000"/>
            </a:lnSpc>
            <a:spcBef>
              <a:spcPct val="0"/>
            </a:spcBef>
            <a:spcAft>
              <a:spcPct val="35000"/>
            </a:spcAft>
          </a:pPr>
          <a:endPar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lvl="0" algn="l" defTabSz="466725">
            <a:lnSpc>
              <a:spcPct val="90000"/>
            </a:lnSpc>
            <a:spcBef>
              <a:spcPct val="0"/>
            </a:spcBef>
            <a:spcAft>
              <a:spcPct val="35000"/>
            </a:spcAft>
          </a:pPr>
          <a:r>
            <a:rPr lang="pl-PL" sz="105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Sports infrastructure</a:t>
          </a:r>
          <a:endPar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45 outdoor and indoor sports facilities were supported,</a:t>
          </a:r>
        </a:p>
        <a:p>
          <a:pPr marL="57150" lvl="1" indent="-57150" algn="l" defTabSz="466725">
            <a:lnSpc>
              <a:spcPct val="90000"/>
            </a:lnSpc>
            <a:spcBef>
              <a:spcPct val="0"/>
            </a:spcBef>
            <a:spcAft>
              <a:spcPct val="15000"/>
            </a:spcAft>
            <a:buChar char="••"/>
          </a:pPr>
          <a:r>
            <a:rPr lang="pl-PL" sz="105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nearly 1.6 million people benefited from the funded sports infrastructure.</a:t>
          </a:r>
        </a:p>
      </dsp:txBody>
      <dsp:txXfrm>
        <a:off x="1448168" y="6846231"/>
        <a:ext cx="4775179" cy="1417561"/>
      </dsp:txXfrm>
    </dsp:sp>
    <dsp:sp modelId="{6AB19C08-8490-4C7E-A619-4119E9FB6B8F}">
      <dsp:nvSpPr>
        <dsp:cNvPr id="0" name=""/>
        <dsp:cNvSpPr/>
      </dsp:nvSpPr>
      <dsp:spPr>
        <a:xfrm>
          <a:off x="150576" y="7109866"/>
          <a:ext cx="1253490" cy="890292"/>
        </a:xfrm>
        <a:prstGeom prst="roundRect">
          <a:avLst>
            <a:gd name="adj" fmla="val 10000"/>
          </a:avLst>
        </a:prstGeom>
        <a:blipFill>
          <a:blip xmlns:r="http://schemas.openxmlformats.org/officeDocument/2006/relationships" r:embed="rId5" cstate="print">
            <a:extLst>
              <a:ext uri="{28A0092B-C50C-407E-A947-70E740481C1C}">
                <a14:useLocalDpi xmlns:a14="http://schemas.microsoft.com/office/drawing/2010/main" val="0"/>
              </a:ext>
            </a:extLst>
          </a:blip>
          <a:srcRect/>
          <a:stretch>
            <a:fillRect l="-25000" r="-25000"/>
          </a:stretch>
        </a:blipFill>
        <a:ln>
          <a:noFill/>
        </a:ln>
        <a:effectLst/>
      </dsp:spPr>
      <dsp:style>
        <a:lnRef idx="0">
          <a:scrgbClr r="0" g="0" b="0"/>
        </a:lnRef>
        <a:fillRef idx="1">
          <a:scrgbClr r="0" g="0" b="0"/>
        </a:fillRef>
        <a:effectRef idx="2">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026840-7B39-483B-9F38-2C15C2CB4864}">
      <dsp:nvSpPr>
        <dsp:cNvPr id="0" name=""/>
        <dsp:cNvSpPr/>
      </dsp:nvSpPr>
      <dsp:spPr>
        <a:xfrm>
          <a:off x="6725" y="0"/>
          <a:ext cx="5753828" cy="414450"/>
        </a:xfrm>
        <a:prstGeom prst="round2SameRect">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DOKUMENTY</a:t>
          </a:r>
        </a:p>
      </dsp:txBody>
      <dsp:txXfrm>
        <a:off x="26957" y="20232"/>
        <a:ext cx="5713364" cy="394218"/>
      </dsp:txXfrm>
    </dsp:sp>
    <dsp:sp modelId="{4B27C010-AECA-4D85-B365-29AF38CA3C0E}">
      <dsp:nvSpPr>
        <dsp:cNvPr id="0" name=""/>
        <dsp:cNvSpPr/>
      </dsp:nvSpPr>
      <dsp:spPr>
        <a:xfrm>
          <a:off x="3445" y="536195"/>
          <a:ext cx="1866748"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PROGRAMOWANIE</a:t>
          </a:r>
        </a:p>
      </dsp:txBody>
      <dsp:txXfrm>
        <a:off x="32808" y="565558"/>
        <a:ext cx="1808022" cy="943790"/>
      </dsp:txXfrm>
    </dsp:sp>
    <dsp:sp modelId="{569BD355-4C5E-4A99-9326-8310C89402F8}">
      <dsp:nvSpPr>
        <dsp:cNvPr id="0" name=""/>
        <dsp:cNvSpPr/>
      </dsp:nvSpPr>
      <dsp:spPr>
        <a:xfrm>
          <a:off x="3445" y="1660159"/>
          <a:ext cx="914176"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RPO WSL</a:t>
          </a:r>
        </a:p>
      </dsp:txBody>
      <dsp:txXfrm>
        <a:off x="30220" y="1686934"/>
        <a:ext cx="860626" cy="948966"/>
      </dsp:txXfrm>
    </dsp:sp>
    <dsp:sp modelId="{4D85E698-CA5D-4D80-82C5-47D159FB7013}">
      <dsp:nvSpPr>
        <dsp:cNvPr id="0" name=""/>
        <dsp:cNvSpPr/>
      </dsp:nvSpPr>
      <dsp:spPr>
        <a:xfrm>
          <a:off x="956017" y="1660159"/>
          <a:ext cx="914176"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URPO WSL</a:t>
          </a:r>
        </a:p>
      </dsp:txBody>
      <dsp:txXfrm>
        <a:off x="982792" y="1686934"/>
        <a:ext cx="860626" cy="948966"/>
      </dsp:txXfrm>
    </dsp:sp>
    <dsp:sp modelId="{8D06874B-0820-4A3C-B709-F61AF17A70BF}">
      <dsp:nvSpPr>
        <dsp:cNvPr id="0" name=""/>
        <dsp:cNvSpPr/>
      </dsp:nvSpPr>
      <dsp:spPr>
        <a:xfrm>
          <a:off x="1946985" y="536195"/>
          <a:ext cx="1866748"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ZARZĄDZANIE</a:t>
          </a:r>
        </a:p>
      </dsp:txBody>
      <dsp:txXfrm>
        <a:off x="1976348" y="565558"/>
        <a:ext cx="1808022" cy="943790"/>
      </dsp:txXfrm>
    </dsp:sp>
    <dsp:sp modelId="{950A61BF-7F26-4FB5-9F44-6C19AEA6E56A}">
      <dsp:nvSpPr>
        <dsp:cNvPr id="0" name=""/>
        <dsp:cNvSpPr/>
      </dsp:nvSpPr>
      <dsp:spPr>
        <a:xfrm>
          <a:off x="1946985" y="1660159"/>
          <a:ext cx="914176"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OSZiK</a:t>
          </a:r>
        </a:p>
      </dsp:txBody>
      <dsp:txXfrm>
        <a:off x="1973760" y="1686934"/>
        <a:ext cx="860626" cy="948966"/>
      </dsp:txXfrm>
    </dsp:sp>
    <dsp:sp modelId="{8944A22B-BF51-41DB-95B1-51C431D4DF09}">
      <dsp:nvSpPr>
        <dsp:cNvPr id="0" name=""/>
        <dsp:cNvSpPr/>
      </dsp:nvSpPr>
      <dsp:spPr>
        <a:xfrm>
          <a:off x="2899557" y="1660159"/>
          <a:ext cx="914176"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pl-PL" sz="700" b="1" kern="1200">
              <a:latin typeface="Times New Roman" pitchFamily="18" charset="0"/>
              <a:cs typeface="Times New Roman" pitchFamily="18" charset="0"/>
            </a:rPr>
            <a:t>POROZUMIENIE Z IP2 RPO WSL</a:t>
          </a:r>
        </a:p>
      </dsp:txBody>
      <dsp:txXfrm>
        <a:off x="2926332" y="1686934"/>
        <a:ext cx="860626" cy="948966"/>
      </dsp:txXfrm>
    </dsp:sp>
    <dsp:sp modelId="{B7324BE1-7F0E-4032-B7CB-F5BFEDC26143}">
      <dsp:nvSpPr>
        <dsp:cNvPr id="0" name=""/>
        <dsp:cNvSpPr/>
      </dsp:nvSpPr>
      <dsp:spPr>
        <a:xfrm>
          <a:off x="3890525" y="536195"/>
          <a:ext cx="1866748"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WDRAŻANIE</a:t>
          </a:r>
        </a:p>
      </dsp:txBody>
      <dsp:txXfrm>
        <a:off x="3919888" y="565558"/>
        <a:ext cx="1808022" cy="943790"/>
      </dsp:txXfrm>
    </dsp:sp>
    <dsp:sp modelId="{99394EE1-5764-4C79-8749-11855583F7E0}">
      <dsp:nvSpPr>
        <dsp:cNvPr id="0" name=""/>
        <dsp:cNvSpPr/>
      </dsp:nvSpPr>
      <dsp:spPr>
        <a:xfrm>
          <a:off x="3890525" y="1660159"/>
          <a:ext cx="914176"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pl-PL" sz="900" b="1" kern="1200">
              <a:latin typeface="Times New Roman" pitchFamily="18" charset="0"/>
              <a:cs typeface="Times New Roman" pitchFamily="18" charset="0"/>
            </a:rPr>
            <a:t>PODRĘCZNIK PROCEDUR IZ RPO WSL</a:t>
          </a:r>
        </a:p>
      </dsp:txBody>
      <dsp:txXfrm>
        <a:off x="3917300" y="1686934"/>
        <a:ext cx="860626" cy="948966"/>
      </dsp:txXfrm>
    </dsp:sp>
    <dsp:sp modelId="{4AA103ED-4A6B-417A-AB81-D447A11990D7}">
      <dsp:nvSpPr>
        <dsp:cNvPr id="0" name=""/>
        <dsp:cNvSpPr/>
      </dsp:nvSpPr>
      <dsp:spPr>
        <a:xfrm>
          <a:off x="4843097" y="1660159"/>
          <a:ext cx="914176" cy="1002516"/>
        </a:xfrm>
        <a:prstGeom prst="roundRect">
          <a:avLst>
            <a:gd name="adj" fmla="val 10000"/>
          </a:avLst>
        </a:prstGeom>
        <a:solidFill>
          <a:schemeClr val="dk2">
            <a:hueOff val="0"/>
            <a:satOff val="0"/>
            <a:lumOff val="0"/>
            <a:alphaOff val="0"/>
          </a:schemeClr>
        </a:solidFill>
        <a:ln w="19050" cap="flat" cmpd="sng" algn="ctr">
          <a:solidFill>
            <a:schemeClr val="lt2">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cs typeface="Times New Roman" pitchFamily="18" charset="0"/>
            </a:rPr>
            <a:t>WYTYCZNE IZ RPO WSL</a:t>
          </a:r>
        </a:p>
      </dsp:txBody>
      <dsp:txXfrm>
        <a:off x="4869872" y="1686934"/>
        <a:ext cx="860626" cy="94896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B0C2F1-198C-494E-AC7B-B5F65416B178}">
      <dsp:nvSpPr>
        <dsp:cNvPr id="0" name=""/>
        <dsp:cNvSpPr/>
      </dsp:nvSpPr>
      <dsp:spPr>
        <a:xfrm>
          <a:off x="669" y="0"/>
          <a:ext cx="1741429" cy="3457797"/>
        </a:xfrm>
        <a:prstGeom prst="roundRect">
          <a:avLst>
            <a:gd name="adj" fmla="val 10000"/>
          </a:avLst>
        </a:prstGeom>
        <a:solidFill>
          <a:schemeClr val="dk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KPR: Innowacyjność dla wzrostu inteligentnego</a:t>
          </a:r>
        </a:p>
      </dsp:txBody>
      <dsp:txXfrm>
        <a:off x="31052" y="30383"/>
        <a:ext cx="1680663" cy="976573"/>
      </dsp:txXfrm>
    </dsp:sp>
    <dsp:sp modelId="{C6C86D35-D317-43DF-8201-E7B0110ED5CC}">
      <dsp:nvSpPr>
        <dsp:cNvPr id="0" name=""/>
        <dsp:cNvSpPr/>
      </dsp:nvSpPr>
      <dsp:spPr>
        <a:xfrm>
          <a:off x="174812" y="1038352"/>
          <a:ext cx="1393143" cy="1042573"/>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I                       B+R, innowacje i przedsiebiorczość</a:t>
          </a:r>
        </a:p>
      </dsp:txBody>
      <dsp:txXfrm>
        <a:off x="205348" y="1068888"/>
        <a:ext cx="1332071" cy="981501"/>
      </dsp:txXfrm>
    </dsp:sp>
    <dsp:sp modelId="{5270E2CF-B0B8-40F6-9645-71EAD3BE10CF}">
      <dsp:nvSpPr>
        <dsp:cNvPr id="0" name=""/>
        <dsp:cNvSpPr/>
      </dsp:nvSpPr>
      <dsp:spPr>
        <a:xfrm>
          <a:off x="174812" y="2241321"/>
          <a:ext cx="1393143" cy="1042573"/>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VIII Infrastruktura edukacyjna</a:t>
          </a:r>
        </a:p>
      </dsp:txBody>
      <dsp:txXfrm>
        <a:off x="205348" y="2271857"/>
        <a:ext cx="1332071" cy="981501"/>
      </dsp:txXfrm>
    </dsp:sp>
    <dsp:sp modelId="{BCC60961-5932-4753-887A-6EAECAFC536A}">
      <dsp:nvSpPr>
        <dsp:cNvPr id="0" name=""/>
        <dsp:cNvSpPr/>
      </dsp:nvSpPr>
      <dsp:spPr>
        <a:xfrm>
          <a:off x="1872706" y="0"/>
          <a:ext cx="1741429" cy="3457797"/>
        </a:xfrm>
        <a:prstGeom prst="roundRect">
          <a:avLst>
            <a:gd name="adj" fmla="val 10000"/>
          </a:avLst>
        </a:prstGeom>
        <a:solidFill>
          <a:schemeClr val="dk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KPR: Infrastruktura dla wzrostu zrównoważonego</a:t>
          </a:r>
        </a:p>
      </dsp:txBody>
      <dsp:txXfrm>
        <a:off x="1903089" y="30383"/>
        <a:ext cx="1680663" cy="976573"/>
      </dsp:txXfrm>
    </dsp:sp>
    <dsp:sp modelId="{EBD8F67A-C777-4F54-898B-C273657EA21F}">
      <dsp:nvSpPr>
        <dsp:cNvPr id="0" name=""/>
        <dsp:cNvSpPr/>
      </dsp:nvSpPr>
      <dsp:spPr>
        <a:xfrm>
          <a:off x="2046849" y="944259"/>
          <a:ext cx="1393143" cy="610733"/>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I                          B+R, innowacje i przedsiebiorczość</a:t>
          </a:r>
        </a:p>
      </dsp:txBody>
      <dsp:txXfrm>
        <a:off x="2064737" y="962147"/>
        <a:ext cx="1357367" cy="574957"/>
      </dsp:txXfrm>
    </dsp:sp>
    <dsp:sp modelId="{D04D822B-08B3-4EE7-8639-0FF6049330ED}">
      <dsp:nvSpPr>
        <dsp:cNvPr id="0" name=""/>
        <dsp:cNvSpPr/>
      </dsp:nvSpPr>
      <dsp:spPr>
        <a:xfrm>
          <a:off x="2027805" y="1624581"/>
          <a:ext cx="1393143" cy="558599"/>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II Społeczeństwo informacyjne</a:t>
          </a:r>
        </a:p>
      </dsp:txBody>
      <dsp:txXfrm>
        <a:off x="2044166" y="1640942"/>
        <a:ext cx="1360421" cy="525877"/>
      </dsp:txXfrm>
    </dsp:sp>
    <dsp:sp modelId="{D5ACF8DB-8EE7-4A2A-B71C-36A39A68E959}">
      <dsp:nvSpPr>
        <dsp:cNvPr id="0" name=""/>
        <dsp:cNvSpPr/>
      </dsp:nvSpPr>
      <dsp:spPr>
        <a:xfrm>
          <a:off x="2046849" y="2246012"/>
          <a:ext cx="1393143" cy="352279"/>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V   Środowisko</a:t>
          </a:r>
        </a:p>
      </dsp:txBody>
      <dsp:txXfrm>
        <a:off x="2057167" y="2256330"/>
        <a:ext cx="1372507" cy="331643"/>
      </dsp:txXfrm>
    </dsp:sp>
    <dsp:sp modelId="{ECBAA0A2-E779-450A-8F48-8AE1CD8D329B}">
      <dsp:nvSpPr>
        <dsp:cNvPr id="0" name=""/>
        <dsp:cNvSpPr/>
      </dsp:nvSpPr>
      <dsp:spPr>
        <a:xfrm>
          <a:off x="2046849" y="2721587"/>
          <a:ext cx="1393143" cy="563274"/>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VII  Transport</a:t>
          </a:r>
        </a:p>
      </dsp:txBody>
      <dsp:txXfrm>
        <a:off x="2063347" y="2738085"/>
        <a:ext cx="1360147" cy="530278"/>
      </dsp:txXfrm>
    </dsp:sp>
    <dsp:sp modelId="{92944964-18A7-4D86-AB7E-A11BDB9F0595}">
      <dsp:nvSpPr>
        <dsp:cNvPr id="0" name=""/>
        <dsp:cNvSpPr/>
      </dsp:nvSpPr>
      <dsp:spPr>
        <a:xfrm>
          <a:off x="3744743" y="0"/>
          <a:ext cx="1741429" cy="3457797"/>
        </a:xfrm>
        <a:prstGeom prst="roundRect">
          <a:avLst>
            <a:gd name="adj" fmla="val 10000"/>
          </a:avLst>
        </a:prstGeom>
        <a:solidFill>
          <a:schemeClr val="dk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KPR:  Aktywność dla wzrostu sprzyjającego włączeniu społecznemu</a:t>
          </a:r>
        </a:p>
      </dsp:txBody>
      <dsp:txXfrm>
        <a:off x="3775126" y="30383"/>
        <a:ext cx="1680663" cy="976573"/>
      </dsp:txXfrm>
    </dsp:sp>
    <dsp:sp modelId="{20D4ED3D-10F5-427E-A70D-6DCAA8F5EAA4}">
      <dsp:nvSpPr>
        <dsp:cNvPr id="0" name=""/>
        <dsp:cNvSpPr/>
      </dsp:nvSpPr>
      <dsp:spPr>
        <a:xfrm>
          <a:off x="3918886" y="1037339"/>
          <a:ext cx="1393143" cy="2247568"/>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pl-PL" sz="1000" b="1" kern="1200">
              <a:latin typeface="Times New Roman" pitchFamily="18" charset="0"/>
              <a:ea typeface="+mn-ea"/>
              <a:cs typeface="Times New Roman" pitchFamily="18" charset="0"/>
            </a:rPr>
            <a:t>Priorytet VI Zrównoważony rozwój miast</a:t>
          </a:r>
        </a:p>
      </dsp:txBody>
      <dsp:txXfrm>
        <a:off x="3959690" y="1078143"/>
        <a:ext cx="1311535" cy="2165960"/>
      </dsp:txXfrm>
    </dsp:sp>
  </dsp:spTree>
</dsp:drawing>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0.07889</cdr:x>
      <cdr:y>0.27025</cdr:y>
    </cdr:from>
    <cdr:to>
      <cdr:x>0.31365</cdr:x>
      <cdr:y>0.33994</cdr:y>
    </cdr:to>
    <cdr:sp macro="" textlink="">
      <cdr:nvSpPr>
        <cdr:cNvPr id="2" name="pole tekstowe 1"/>
        <cdr:cNvSpPr txBox="1"/>
      </cdr:nvSpPr>
      <cdr:spPr>
        <a:xfrm xmlns:a="http://schemas.openxmlformats.org/drawingml/2006/main">
          <a:off x="454462" y="989839"/>
          <a:ext cx="1352391" cy="2552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t>Polska  - spadek o 12%</a:t>
          </a:r>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20140-01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F819E5-E998-44F1-89B4-2282A2D54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TotalTime>
  <Pages>206</Pages>
  <Words>57026</Words>
  <Characters>342162</Characters>
  <Application>Microsoft Office Word</Application>
  <DocSecurity>0</DocSecurity>
  <Lines>2851</Lines>
  <Paragraphs>796</Paragraphs>
  <ScaleCrop>false</ScaleCrop>
  <HeadingPairs>
    <vt:vector size="2" baseType="variant">
      <vt:variant>
        <vt:lpstr>Tytuł</vt:lpstr>
      </vt:variant>
      <vt:variant>
        <vt:i4>1</vt:i4>
      </vt:variant>
    </vt:vector>
  </HeadingPairs>
  <TitlesOfParts>
    <vt:vector size="1" baseType="lpstr">
      <vt:lpstr>KOŃCOWE SPRAWOZDANIE Z REALIZACJI 
REGIONALNEGO PROGRAMU OPERACYJNEGO WOJEWÓDZTWA ŚLĄSKIEGO NA LATA 2007-2013</vt:lpstr>
    </vt:vector>
  </TitlesOfParts>
  <Company/>
  <LinksUpToDate>false</LinksUpToDate>
  <CharactersWithSpaces>398392</CharactersWithSpaces>
  <SharedDoc>false</SharedDoc>
  <HLinks>
    <vt:vector size="744" baseType="variant">
      <vt:variant>
        <vt:i4>1507376</vt:i4>
      </vt:variant>
      <vt:variant>
        <vt:i4>737</vt:i4>
      </vt:variant>
      <vt:variant>
        <vt:i4>0</vt:i4>
      </vt:variant>
      <vt:variant>
        <vt:i4>5</vt:i4>
      </vt:variant>
      <vt:variant>
        <vt:lpwstr/>
      </vt:variant>
      <vt:variant>
        <vt:lpwstr>_Toc262031376</vt:lpwstr>
      </vt:variant>
      <vt:variant>
        <vt:i4>1507376</vt:i4>
      </vt:variant>
      <vt:variant>
        <vt:i4>731</vt:i4>
      </vt:variant>
      <vt:variant>
        <vt:i4>0</vt:i4>
      </vt:variant>
      <vt:variant>
        <vt:i4>5</vt:i4>
      </vt:variant>
      <vt:variant>
        <vt:lpwstr/>
      </vt:variant>
      <vt:variant>
        <vt:lpwstr>_Toc262031375</vt:lpwstr>
      </vt:variant>
      <vt:variant>
        <vt:i4>1507376</vt:i4>
      </vt:variant>
      <vt:variant>
        <vt:i4>725</vt:i4>
      </vt:variant>
      <vt:variant>
        <vt:i4>0</vt:i4>
      </vt:variant>
      <vt:variant>
        <vt:i4>5</vt:i4>
      </vt:variant>
      <vt:variant>
        <vt:lpwstr/>
      </vt:variant>
      <vt:variant>
        <vt:lpwstr>_Toc262031374</vt:lpwstr>
      </vt:variant>
      <vt:variant>
        <vt:i4>1507376</vt:i4>
      </vt:variant>
      <vt:variant>
        <vt:i4>719</vt:i4>
      </vt:variant>
      <vt:variant>
        <vt:i4>0</vt:i4>
      </vt:variant>
      <vt:variant>
        <vt:i4>5</vt:i4>
      </vt:variant>
      <vt:variant>
        <vt:lpwstr/>
      </vt:variant>
      <vt:variant>
        <vt:lpwstr>_Toc262031373</vt:lpwstr>
      </vt:variant>
      <vt:variant>
        <vt:i4>1507376</vt:i4>
      </vt:variant>
      <vt:variant>
        <vt:i4>713</vt:i4>
      </vt:variant>
      <vt:variant>
        <vt:i4>0</vt:i4>
      </vt:variant>
      <vt:variant>
        <vt:i4>5</vt:i4>
      </vt:variant>
      <vt:variant>
        <vt:lpwstr/>
      </vt:variant>
      <vt:variant>
        <vt:lpwstr>_Toc262031372</vt:lpwstr>
      </vt:variant>
      <vt:variant>
        <vt:i4>1507376</vt:i4>
      </vt:variant>
      <vt:variant>
        <vt:i4>707</vt:i4>
      </vt:variant>
      <vt:variant>
        <vt:i4>0</vt:i4>
      </vt:variant>
      <vt:variant>
        <vt:i4>5</vt:i4>
      </vt:variant>
      <vt:variant>
        <vt:lpwstr/>
      </vt:variant>
      <vt:variant>
        <vt:lpwstr>_Toc262031371</vt:lpwstr>
      </vt:variant>
      <vt:variant>
        <vt:i4>1507376</vt:i4>
      </vt:variant>
      <vt:variant>
        <vt:i4>701</vt:i4>
      </vt:variant>
      <vt:variant>
        <vt:i4>0</vt:i4>
      </vt:variant>
      <vt:variant>
        <vt:i4>5</vt:i4>
      </vt:variant>
      <vt:variant>
        <vt:lpwstr/>
      </vt:variant>
      <vt:variant>
        <vt:lpwstr>_Toc262031370</vt:lpwstr>
      </vt:variant>
      <vt:variant>
        <vt:i4>1441840</vt:i4>
      </vt:variant>
      <vt:variant>
        <vt:i4>695</vt:i4>
      </vt:variant>
      <vt:variant>
        <vt:i4>0</vt:i4>
      </vt:variant>
      <vt:variant>
        <vt:i4>5</vt:i4>
      </vt:variant>
      <vt:variant>
        <vt:lpwstr/>
      </vt:variant>
      <vt:variant>
        <vt:lpwstr>_Toc262031369</vt:lpwstr>
      </vt:variant>
      <vt:variant>
        <vt:i4>1441840</vt:i4>
      </vt:variant>
      <vt:variant>
        <vt:i4>689</vt:i4>
      </vt:variant>
      <vt:variant>
        <vt:i4>0</vt:i4>
      </vt:variant>
      <vt:variant>
        <vt:i4>5</vt:i4>
      </vt:variant>
      <vt:variant>
        <vt:lpwstr/>
      </vt:variant>
      <vt:variant>
        <vt:lpwstr>_Toc262031368</vt:lpwstr>
      </vt:variant>
      <vt:variant>
        <vt:i4>1441840</vt:i4>
      </vt:variant>
      <vt:variant>
        <vt:i4>683</vt:i4>
      </vt:variant>
      <vt:variant>
        <vt:i4>0</vt:i4>
      </vt:variant>
      <vt:variant>
        <vt:i4>5</vt:i4>
      </vt:variant>
      <vt:variant>
        <vt:lpwstr/>
      </vt:variant>
      <vt:variant>
        <vt:lpwstr>_Toc262031367</vt:lpwstr>
      </vt:variant>
      <vt:variant>
        <vt:i4>1441840</vt:i4>
      </vt:variant>
      <vt:variant>
        <vt:i4>677</vt:i4>
      </vt:variant>
      <vt:variant>
        <vt:i4>0</vt:i4>
      </vt:variant>
      <vt:variant>
        <vt:i4>5</vt:i4>
      </vt:variant>
      <vt:variant>
        <vt:lpwstr/>
      </vt:variant>
      <vt:variant>
        <vt:lpwstr>_Toc262031366</vt:lpwstr>
      </vt:variant>
      <vt:variant>
        <vt:i4>1441840</vt:i4>
      </vt:variant>
      <vt:variant>
        <vt:i4>671</vt:i4>
      </vt:variant>
      <vt:variant>
        <vt:i4>0</vt:i4>
      </vt:variant>
      <vt:variant>
        <vt:i4>5</vt:i4>
      </vt:variant>
      <vt:variant>
        <vt:lpwstr/>
      </vt:variant>
      <vt:variant>
        <vt:lpwstr>_Toc262031365</vt:lpwstr>
      </vt:variant>
      <vt:variant>
        <vt:i4>1441840</vt:i4>
      </vt:variant>
      <vt:variant>
        <vt:i4>665</vt:i4>
      </vt:variant>
      <vt:variant>
        <vt:i4>0</vt:i4>
      </vt:variant>
      <vt:variant>
        <vt:i4>5</vt:i4>
      </vt:variant>
      <vt:variant>
        <vt:lpwstr/>
      </vt:variant>
      <vt:variant>
        <vt:lpwstr>_Toc262031364</vt:lpwstr>
      </vt:variant>
      <vt:variant>
        <vt:i4>1441840</vt:i4>
      </vt:variant>
      <vt:variant>
        <vt:i4>659</vt:i4>
      </vt:variant>
      <vt:variant>
        <vt:i4>0</vt:i4>
      </vt:variant>
      <vt:variant>
        <vt:i4>5</vt:i4>
      </vt:variant>
      <vt:variant>
        <vt:lpwstr/>
      </vt:variant>
      <vt:variant>
        <vt:lpwstr>_Toc262031363</vt:lpwstr>
      </vt:variant>
      <vt:variant>
        <vt:i4>1441840</vt:i4>
      </vt:variant>
      <vt:variant>
        <vt:i4>653</vt:i4>
      </vt:variant>
      <vt:variant>
        <vt:i4>0</vt:i4>
      </vt:variant>
      <vt:variant>
        <vt:i4>5</vt:i4>
      </vt:variant>
      <vt:variant>
        <vt:lpwstr/>
      </vt:variant>
      <vt:variant>
        <vt:lpwstr>_Toc262031362</vt:lpwstr>
      </vt:variant>
      <vt:variant>
        <vt:i4>1441840</vt:i4>
      </vt:variant>
      <vt:variant>
        <vt:i4>647</vt:i4>
      </vt:variant>
      <vt:variant>
        <vt:i4>0</vt:i4>
      </vt:variant>
      <vt:variant>
        <vt:i4>5</vt:i4>
      </vt:variant>
      <vt:variant>
        <vt:lpwstr/>
      </vt:variant>
      <vt:variant>
        <vt:lpwstr>_Toc262031361</vt:lpwstr>
      </vt:variant>
      <vt:variant>
        <vt:i4>1441840</vt:i4>
      </vt:variant>
      <vt:variant>
        <vt:i4>641</vt:i4>
      </vt:variant>
      <vt:variant>
        <vt:i4>0</vt:i4>
      </vt:variant>
      <vt:variant>
        <vt:i4>5</vt:i4>
      </vt:variant>
      <vt:variant>
        <vt:lpwstr/>
      </vt:variant>
      <vt:variant>
        <vt:lpwstr>_Toc262031360</vt:lpwstr>
      </vt:variant>
      <vt:variant>
        <vt:i4>1376304</vt:i4>
      </vt:variant>
      <vt:variant>
        <vt:i4>635</vt:i4>
      </vt:variant>
      <vt:variant>
        <vt:i4>0</vt:i4>
      </vt:variant>
      <vt:variant>
        <vt:i4>5</vt:i4>
      </vt:variant>
      <vt:variant>
        <vt:lpwstr/>
      </vt:variant>
      <vt:variant>
        <vt:lpwstr>_Toc262031359</vt:lpwstr>
      </vt:variant>
      <vt:variant>
        <vt:i4>1376304</vt:i4>
      </vt:variant>
      <vt:variant>
        <vt:i4>629</vt:i4>
      </vt:variant>
      <vt:variant>
        <vt:i4>0</vt:i4>
      </vt:variant>
      <vt:variant>
        <vt:i4>5</vt:i4>
      </vt:variant>
      <vt:variant>
        <vt:lpwstr/>
      </vt:variant>
      <vt:variant>
        <vt:lpwstr>_Toc262031358</vt:lpwstr>
      </vt:variant>
      <vt:variant>
        <vt:i4>1376304</vt:i4>
      </vt:variant>
      <vt:variant>
        <vt:i4>623</vt:i4>
      </vt:variant>
      <vt:variant>
        <vt:i4>0</vt:i4>
      </vt:variant>
      <vt:variant>
        <vt:i4>5</vt:i4>
      </vt:variant>
      <vt:variant>
        <vt:lpwstr/>
      </vt:variant>
      <vt:variant>
        <vt:lpwstr>_Toc262031357</vt:lpwstr>
      </vt:variant>
      <vt:variant>
        <vt:i4>1572913</vt:i4>
      </vt:variant>
      <vt:variant>
        <vt:i4>614</vt:i4>
      </vt:variant>
      <vt:variant>
        <vt:i4>0</vt:i4>
      </vt:variant>
      <vt:variant>
        <vt:i4>5</vt:i4>
      </vt:variant>
      <vt:variant>
        <vt:lpwstr/>
      </vt:variant>
      <vt:variant>
        <vt:lpwstr>_Toc262031284</vt:lpwstr>
      </vt:variant>
      <vt:variant>
        <vt:i4>1572913</vt:i4>
      </vt:variant>
      <vt:variant>
        <vt:i4>608</vt:i4>
      </vt:variant>
      <vt:variant>
        <vt:i4>0</vt:i4>
      </vt:variant>
      <vt:variant>
        <vt:i4>5</vt:i4>
      </vt:variant>
      <vt:variant>
        <vt:lpwstr/>
      </vt:variant>
      <vt:variant>
        <vt:lpwstr>_Toc262031283</vt:lpwstr>
      </vt:variant>
      <vt:variant>
        <vt:i4>1572913</vt:i4>
      </vt:variant>
      <vt:variant>
        <vt:i4>602</vt:i4>
      </vt:variant>
      <vt:variant>
        <vt:i4>0</vt:i4>
      </vt:variant>
      <vt:variant>
        <vt:i4>5</vt:i4>
      </vt:variant>
      <vt:variant>
        <vt:lpwstr/>
      </vt:variant>
      <vt:variant>
        <vt:lpwstr>_Toc262031282</vt:lpwstr>
      </vt:variant>
      <vt:variant>
        <vt:i4>1572913</vt:i4>
      </vt:variant>
      <vt:variant>
        <vt:i4>596</vt:i4>
      </vt:variant>
      <vt:variant>
        <vt:i4>0</vt:i4>
      </vt:variant>
      <vt:variant>
        <vt:i4>5</vt:i4>
      </vt:variant>
      <vt:variant>
        <vt:lpwstr/>
      </vt:variant>
      <vt:variant>
        <vt:lpwstr>_Toc262031281</vt:lpwstr>
      </vt:variant>
      <vt:variant>
        <vt:i4>1572913</vt:i4>
      </vt:variant>
      <vt:variant>
        <vt:i4>590</vt:i4>
      </vt:variant>
      <vt:variant>
        <vt:i4>0</vt:i4>
      </vt:variant>
      <vt:variant>
        <vt:i4>5</vt:i4>
      </vt:variant>
      <vt:variant>
        <vt:lpwstr/>
      </vt:variant>
      <vt:variant>
        <vt:lpwstr>_Toc262031280</vt:lpwstr>
      </vt:variant>
      <vt:variant>
        <vt:i4>1507377</vt:i4>
      </vt:variant>
      <vt:variant>
        <vt:i4>584</vt:i4>
      </vt:variant>
      <vt:variant>
        <vt:i4>0</vt:i4>
      </vt:variant>
      <vt:variant>
        <vt:i4>5</vt:i4>
      </vt:variant>
      <vt:variant>
        <vt:lpwstr/>
      </vt:variant>
      <vt:variant>
        <vt:lpwstr>_Toc262031279</vt:lpwstr>
      </vt:variant>
      <vt:variant>
        <vt:i4>1507377</vt:i4>
      </vt:variant>
      <vt:variant>
        <vt:i4>578</vt:i4>
      </vt:variant>
      <vt:variant>
        <vt:i4>0</vt:i4>
      </vt:variant>
      <vt:variant>
        <vt:i4>5</vt:i4>
      </vt:variant>
      <vt:variant>
        <vt:lpwstr/>
      </vt:variant>
      <vt:variant>
        <vt:lpwstr>_Toc262031278</vt:lpwstr>
      </vt:variant>
      <vt:variant>
        <vt:i4>1507377</vt:i4>
      </vt:variant>
      <vt:variant>
        <vt:i4>572</vt:i4>
      </vt:variant>
      <vt:variant>
        <vt:i4>0</vt:i4>
      </vt:variant>
      <vt:variant>
        <vt:i4>5</vt:i4>
      </vt:variant>
      <vt:variant>
        <vt:lpwstr/>
      </vt:variant>
      <vt:variant>
        <vt:lpwstr>_Toc262031277</vt:lpwstr>
      </vt:variant>
      <vt:variant>
        <vt:i4>1507377</vt:i4>
      </vt:variant>
      <vt:variant>
        <vt:i4>566</vt:i4>
      </vt:variant>
      <vt:variant>
        <vt:i4>0</vt:i4>
      </vt:variant>
      <vt:variant>
        <vt:i4>5</vt:i4>
      </vt:variant>
      <vt:variant>
        <vt:lpwstr/>
      </vt:variant>
      <vt:variant>
        <vt:lpwstr>_Toc262031276</vt:lpwstr>
      </vt:variant>
      <vt:variant>
        <vt:i4>1507377</vt:i4>
      </vt:variant>
      <vt:variant>
        <vt:i4>560</vt:i4>
      </vt:variant>
      <vt:variant>
        <vt:i4>0</vt:i4>
      </vt:variant>
      <vt:variant>
        <vt:i4>5</vt:i4>
      </vt:variant>
      <vt:variant>
        <vt:lpwstr/>
      </vt:variant>
      <vt:variant>
        <vt:lpwstr>_Toc262031275</vt:lpwstr>
      </vt:variant>
      <vt:variant>
        <vt:i4>1507377</vt:i4>
      </vt:variant>
      <vt:variant>
        <vt:i4>554</vt:i4>
      </vt:variant>
      <vt:variant>
        <vt:i4>0</vt:i4>
      </vt:variant>
      <vt:variant>
        <vt:i4>5</vt:i4>
      </vt:variant>
      <vt:variant>
        <vt:lpwstr/>
      </vt:variant>
      <vt:variant>
        <vt:lpwstr>_Toc262031274</vt:lpwstr>
      </vt:variant>
      <vt:variant>
        <vt:i4>1507377</vt:i4>
      </vt:variant>
      <vt:variant>
        <vt:i4>548</vt:i4>
      </vt:variant>
      <vt:variant>
        <vt:i4>0</vt:i4>
      </vt:variant>
      <vt:variant>
        <vt:i4>5</vt:i4>
      </vt:variant>
      <vt:variant>
        <vt:lpwstr/>
      </vt:variant>
      <vt:variant>
        <vt:lpwstr>_Toc262031273</vt:lpwstr>
      </vt:variant>
      <vt:variant>
        <vt:i4>1507377</vt:i4>
      </vt:variant>
      <vt:variant>
        <vt:i4>542</vt:i4>
      </vt:variant>
      <vt:variant>
        <vt:i4>0</vt:i4>
      </vt:variant>
      <vt:variant>
        <vt:i4>5</vt:i4>
      </vt:variant>
      <vt:variant>
        <vt:lpwstr/>
      </vt:variant>
      <vt:variant>
        <vt:lpwstr>_Toc262031272</vt:lpwstr>
      </vt:variant>
      <vt:variant>
        <vt:i4>1507377</vt:i4>
      </vt:variant>
      <vt:variant>
        <vt:i4>536</vt:i4>
      </vt:variant>
      <vt:variant>
        <vt:i4>0</vt:i4>
      </vt:variant>
      <vt:variant>
        <vt:i4>5</vt:i4>
      </vt:variant>
      <vt:variant>
        <vt:lpwstr/>
      </vt:variant>
      <vt:variant>
        <vt:lpwstr>_Toc262031271</vt:lpwstr>
      </vt:variant>
      <vt:variant>
        <vt:i4>1507377</vt:i4>
      </vt:variant>
      <vt:variant>
        <vt:i4>530</vt:i4>
      </vt:variant>
      <vt:variant>
        <vt:i4>0</vt:i4>
      </vt:variant>
      <vt:variant>
        <vt:i4>5</vt:i4>
      </vt:variant>
      <vt:variant>
        <vt:lpwstr/>
      </vt:variant>
      <vt:variant>
        <vt:lpwstr>_Toc262031270</vt:lpwstr>
      </vt:variant>
      <vt:variant>
        <vt:i4>1441841</vt:i4>
      </vt:variant>
      <vt:variant>
        <vt:i4>524</vt:i4>
      </vt:variant>
      <vt:variant>
        <vt:i4>0</vt:i4>
      </vt:variant>
      <vt:variant>
        <vt:i4>5</vt:i4>
      </vt:variant>
      <vt:variant>
        <vt:lpwstr/>
      </vt:variant>
      <vt:variant>
        <vt:lpwstr>_Toc262031269</vt:lpwstr>
      </vt:variant>
      <vt:variant>
        <vt:i4>1441841</vt:i4>
      </vt:variant>
      <vt:variant>
        <vt:i4>518</vt:i4>
      </vt:variant>
      <vt:variant>
        <vt:i4>0</vt:i4>
      </vt:variant>
      <vt:variant>
        <vt:i4>5</vt:i4>
      </vt:variant>
      <vt:variant>
        <vt:lpwstr/>
      </vt:variant>
      <vt:variant>
        <vt:lpwstr>_Toc262031268</vt:lpwstr>
      </vt:variant>
      <vt:variant>
        <vt:i4>1441841</vt:i4>
      </vt:variant>
      <vt:variant>
        <vt:i4>512</vt:i4>
      </vt:variant>
      <vt:variant>
        <vt:i4>0</vt:i4>
      </vt:variant>
      <vt:variant>
        <vt:i4>5</vt:i4>
      </vt:variant>
      <vt:variant>
        <vt:lpwstr/>
      </vt:variant>
      <vt:variant>
        <vt:lpwstr>_Toc262031267</vt:lpwstr>
      </vt:variant>
      <vt:variant>
        <vt:i4>1441841</vt:i4>
      </vt:variant>
      <vt:variant>
        <vt:i4>506</vt:i4>
      </vt:variant>
      <vt:variant>
        <vt:i4>0</vt:i4>
      </vt:variant>
      <vt:variant>
        <vt:i4>5</vt:i4>
      </vt:variant>
      <vt:variant>
        <vt:lpwstr/>
      </vt:variant>
      <vt:variant>
        <vt:lpwstr>_Toc262031266</vt:lpwstr>
      </vt:variant>
      <vt:variant>
        <vt:i4>1441841</vt:i4>
      </vt:variant>
      <vt:variant>
        <vt:i4>500</vt:i4>
      </vt:variant>
      <vt:variant>
        <vt:i4>0</vt:i4>
      </vt:variant>
      <vt:variant>
        <vt:i4>5</vt:i4>
      </vt:variant>
      <vt:variant>
        <vt:lpwstr/>
      </vt:variant>
      <vt:variant>
        <vt:lpwstr>_Toc262031265</vt:lpwstr>
      </vt:variant>
      <vt:variant>
        <vt:i4>1441841</vt:i4>
      </vt:variant>
      <vt:variant>
        <vt:i4>494</vt:i4>
      </vt:variant>
      <vt:variant>
        <vt:i4>0</vt:i4>
      </vt:variant>
      <vt:variant>
        <vt:i4>5</vt:i4>
      </vt:variant>
      <vt:variant>
        <vt:lpwstr/>
      </vt:variant>
      <vt:variant>
        <vt:lpwstr>_Toc262031264</vt:lpwstr>
      </vt:variant>
      <vt:variant>
        <vt:i4>1441841</vt:i4>
      </vt:variant>
      <vt:variant>
        <vt:i4>488</vt:i4>
      </vt:variant>
      <vt:variant>
        <vt:i4>0</vt:i4>
      </vt:variant>
      <vt:variant>
        <vt:i4>5</vt:i4>
      </vt:variant>
      <vt:variant>
        <vt:lpwstr/>
      </vt:variant>
      <vt:variant>
        <vt:lpwstr>_Toc262031263</vt:lpwstr>
      </vt:variant>
      <vt:variant>
        <vt:i4>1441841</vt:i4>
      </vt:variant>
      <vt:variant>
        <vt:i4>482</vt:i4>
      </vt:variant>
      <vt:variant>
        <vt:i4>0</vt:i4>
      </vt:variant>
      <vt:variant>
        <vt:i4>5</vt:i4>
      </vt:variant>
      <vt:variant>
        <vt:lpwstr/>
      </vt:variant>
      <vt:variant>
        <vt:lpwstr>_Toc262031262</vt:lpwstr>
      </vt:variant>
      <vt:variant>
        <vt:i4>1441841</vt:i4>
      </vt:variant>
      <vt:variant>
        <vt:i4>476</vt:i4>
      </vt:variant>
      <vt:variant>
        <vt:i4>0</vt:i4>
      </vt:variant>
      <vt:variant>
        <vt:i4>5</vt:i4>
      </vt:variant>
      <vt:variant>
        <vt:lpwstr/>
      </vt:variant>
      <vt:variant>
        <vt:lpwstr>_Toc262031261</vt:lpwstr>
      </vt:variant>
      <vt:variant>
        <vt:i4>1441841</vt:i4>
      </vt:variant>
      <vt:variant>
        <vt:i4>470</vt:i4>
      </vt:variant>
      <vt:variant>
        <vt:i4>0</vt:i4>
      </vt:variant>
      <vt:variant>
        <vt:i4>5</vt:i4>
      </vt:variant>
      <vt:variant>
        <vt:lpwstr/>
      </vt:variant>
      <vt:variant>
        <vt:lpwstr>_Toc262031260</vt:lpwstr>
      </vt:variant>
      <vt:variant>
        <vt:i4>1376305</vt:i4>
      </vt:variant>
      <vt:variant>
        <vt:i4>464</vt:i4>
      </vt:variant>
      <vt:variant>
        <vt:i4>0</vt:i4>
      </vt:variant>
      <vt:variant>
        <vt:i4>5</vt:i4>
      </vt:variant>
      <vt:variant>
        <vt:lpwstr/>
      </vt:variant>
      <vt:variant>
        <vt:lpwstr>_Toc262031259</vt:lpwstr>
      </vt:variant>
      <vt:variant>
        <vt:i4>1376305</vt:i4>
      </vt:variant>
      <vt:variant>
        <vt:i4>458</vt:i4>
      </vt:variant>
      <vt:variant>
        <vt:i4>0</vt:i4>
      </vt:variant>
      <vt:variant>
        <vt:i4>5</vt:i4>
      </vt:variant>
      <vt:variant>
        <vt:lpwstr/>
      </vt:variant>
      <vt:variant>
        <vt:lpwstr>_Toc262031258</vt:lpwstr>
      </vt:variant>
      <vt:variant>
        <vt:i4>1376305</vt:i4>
      </vt:variant>
      <vt:variant>
        <vt:i4>452</vt:i4>
      </vt:variant>
      <vt:variant>
        <vt:i4>0</vt:i4>
      </vt:variant>
      <vt:variant>
        <vt:i4>5</vt:i4>
      </vt:variant>
      <vt:variant>
        <vt:lpwstr/>
      </vt:variant>
      <vt:variant>
        <vt:lpwstr>_Toc262031257</vt:lpwstr>
      </vt:variant>
      <vt:variant>
        <vt:i4>1376305</vt:i4>
      </vt:variant>
      <vt:variant>
        <vt:i4>446</vt:i4>
      </vt:variant>
      <vt:variant>
        <vt:i4>0</vt:i4>
      </vt:variant>
      <vt:variant>
        <vt:i4>5</vt:i4>
      </vt:variant>
      <vt:variant>
        <vt:lpwstr/>
      </vt:variant>
      <vt:variant>
        <vt:lpwstr>_Toc262031256</vt:lpwstr>
      </vt:variant>
      <vt:variant>
        <vt:i4>1376305</vt:i4>
      </vt:variant>
      <vt:variant>
        <vt:i4>440</vt:i4>
      </vt:variant>
      <vt:variant>
        <vt:i4>0</vt:i4>
      </vt:variant>
      <vt:variant>
        <vt:i4>5</vt:i4>
      </vt:variant>
      <vt:variant>
        <vt:lpwstr/>
      </vt:variant>
      <vt:variant>
        <vt:lpwstr>_Toc262031255</vt:lpwstr>
      </vt:variant>
      <vt:variant>
        <vt:i4>1376305</vt:i4>
      </vt:variant>
      <vt:variant>
        <vt:i4>434</vt:i4>
      </vt:variant>
      <vt:variant>
        <vt:i4>0</vt:i4>
      </vt:variant>
      <vt:variant>
        <vt:i4>5</vt:i4>
      </vt:variant>
      <vt:variant>
        <vt:lpwstr/>
      </vt:variant>
      <vt:variant>
        <vt:lpwstr>_Toc262031254</vt:lpwstr>
      </vt:variant>
      <vt:variant>
        <vt:i4>1376305</vt:i4>
      </vt:variant>
      <vt:variant>
        <vt:i4>428</vt:i4>
      </vt:variant>
      <vt:variant>
        <vt:i4>0</vt:i4>
      </vt:variant>
      <vt:variant>
        <vt:i4>5</vt:i4>
      </vt:variant>
      <vt:variant>
        <vt:lpwstr/>
      </vt:variant>
      <vt:variant>
        <vt:lpwstr>_Toc262031253</vt:lpwstr>
      </vt:variant>
      <vt:variant>
        <vt:i4>1376305</vt:i4>
      </vt:variant>
      <vt:variant>
        <vt:i4>422</vt:i4>
      </vt:variant>
      <vt:variant>
        <vt:i4>0</vt:i4>
      </vt:variant>
      <vt:variant>
        <vt:i4>5</vt:i4>
      </vt:variant>
      <vt:variant>
        <vt:lpwstr/>
      </vt:variant>
      <vt:variant>
        <vt:lpwstr>_Toc262031252</vt:lpwstr>
      </vt:variant>
      <vt:variant>
        <vt:i4>1376305</vt:i4>
      </vt:variant>
      <vt:variant>
        <vt:i4>416</vt:i4>
      </vt:variant>
      <vt:variant>
        <vt:i4>0</vt:i4>
      </vt:variant>
      <vt:variant>
        <vt:i4>5</vt:i4>
      </vt:variant>
      <vt:variant>
        <vt:lpwstr/>
      </vt:variant>
      <vt:variant>
        <vt:lpwstr>_Toc262031251</vt:lpwstr>
      </vt:variant>
      <vt:variant>
        <vt:i4>1376305</vt:i4>
      </vt:variant>
      <vt:variant>
        <vt:i4>410</vt:i4>
      </vt:variant>
      <vt:variant>
        <vt:i4>0</vt:i4>
      </vt:variant>
      <vt:variant>
        <vt:i4>5</vt:i4>
      </vt:variant>
      <vt:variant>
        <vt:lpwstr/>
      </vt:variant>
      <vt:variant>
        <vt:lpwstr>_Toc262031250</vt:lpwstr>
      </vt:variant>
      <vt:variant>
        <vt:i4>1310769</vt:i4>
      </vt:variant>
      <vt:variant>
        <vt:i4>404</vt:i4>
      </vt:variant>
      <vt:variant>
        <vt:i4>0</vt:i4>
      </vt:variant>
      <vt:variant>
        <vt:i4>5</vt:i4>
      </vt:variant>
      <vt:variant>
        <vt:lpwstr/>
      </vt:variant>
      <vt:variant>
        <vt:lpwstr>_Toc262031249</vt:lpwstr>
      </vt:variant>
      <vt:variant>
        <vt:i4>1310769</vt:i4>
      </vt:variant>
      <vt:variant>
        <vt:i4>398</vt:i4>
      </vt:variant>
      <vt:variant>
        <vt:i4>0</vt:i4>
      </vt:variant>
      <vt:variant>
        <vt:i4>5</vt:i4>
      </vt:variant>
      <vt:variant>
        <vt:lpwstr/>
      </vt:variant>
      <vt:variant>
        <vt:lpwstr>_Toc262031248</vt:lpwstr>
      </vt:variant>
      <vt:variant>
        <vt:i4>1310769</vt:i4>
      </vt:variant>
      <vt:variant>
        <vt:i4>392</vt:i4>
      </vt:variant>
      <vt:variant>
        <vt:i4>0</vt:i4>
      </vt:variant>
      <vt:variant>
        <vt:i4>5</vt:i4>
      </vt:variant>
      <vt:variant>
        <vt:lpwstr/>
      </vt:variant>
      <vt:variant>
        <vt:lpwstr>_Toc262031247</vt:lpwstr>
      </vt:variant>
      <vt:variant>
        <vt:i4>1310769</vt:i4>
      </vt:variant>
      <vt:variant>
        <vt:i4>386</vt:i4>
      </vt:variant>
      <vt:variant>
        <vt:i4>0</vt:i4>
      </vt:variant>
      <vt:variant>
        <vt:i4>5</vt:i4>
      </vt:variant>
      <vt:variant>
        <vt:lpwstr/>
      </vt:variant>
      <vt:variant>
        <vt:lpwstr>_Toc262031246</vt:lpwstr>
      </vt:variant>
      <vt:variant>
        <vt:i4>1310769</vt:i4>
      </vt:variant>
      <vt:variant>
        <vt:i4>380</vt:i4>
      </vt:variant>
      <vt:variant>
        <vt:i4>0</vt:i4>
      </vt:variant>
      <vt:variant>
        <vt:i4>5</vt:i4>
      </vt:variant>
      <vt:variant>
        <vt:lpwstr/>
      </vt:variant>
      <vt:variant>
        <vt:lpwstr>_Toc262031245</vt:lpwstr>
      </vt:variant>
      <vt:variant>
        <vt:i4>1310769</vt:i4>
      </vt:variant>
      <vt:variant>
        <vt:i4>374</vt:i4>
      </vt:variant>
      <vt:variant>
        <vt:i4>0</vt:i4>
      </vt:variant>
      <vt:variant>
        <vt:i4>5</vt:i4>
      </vt:variant>
      <vt:variant>
        <vt:lpwstr/>
      </vt:variant>
      <vt:variant>
        <vt:lpwstr>_Toc262031244</vt:lpwstr>
      </vt:variant>
      <vt:variant>
        <vt:i4>1310769</vt:i4>
      </vt:variant>
      <vt:variant>
        <vt:i4>368</vt:i4>
      </vt:variant>
      <vt:variant>
        <vt:i4>0</vt:i4>
      </vt:variant>
      <vt:variant>
        <vt:i4>5</vt:i4>
      </vt:variant>
      <vt:variant>
        <vt:lpwstr/>
      </vt:variant>
      <vt:variant>
        <vt:lpwstr>_Toc262031243</vt:lpwstr>
      </vt:variant>
      <vt:variant>
        <vt:i4>1310769</vt:i4>
      </vt:variant>
      <vt:variant>
        <vt:i4>362</vt:i4>
      </vt:variant>
      <vt:variant>
        <vt:i4>0</vt:i4>
      </vt:variant>
      <vt:variant>
        <vt:i4>5</vt:i4>
      </vt:variant>
      <vt:variant>
        <vt:lpwstr/>
      </vt:variant>
      <vt:variant>
        <vt:lpwstr>_Toc262031242</vt:lpwstr>
      </vt:variant>
      <vt:variant>
        <vt:i4>1310769</vt:i4>
      </vt:variant>
      <vt:variant>
        <vt:i4>356</vt:i4>
      </vt:variant>
      <vt:variant>
        <vt:i4>0</vt:i4>
      </vt:variant>
      <vt:variant>
        <vt:i4>5</vt:i4>
      </vt:variant>
      <vt:variant>
        <vt:lpwstr/>
      </vt:variant>
      <vt:variant>
        <vt:lpwstr>_Toc262031241</vt:lpwstr>
      </vt:variant>
      <vt:variant>
        <vt:i4>1310769</vt:i4>
      </vt:variant>
      <vt:variant>
        <vt:i4>350</vt:i4>
      </vt:variant>
      <vt:variant>
        <vt:i4>0</vt:i4>
      </vt:variant>
      <vt:variant>
        <vt:i4>5</vt:i4>
      </vt:variant>
      <vt:variant>
        <vt:lpwstr/>
      </vt:variant>
      <vt:variant>
        <vt:lpwstr>_Toc262031240</vt:lpwstr>
      </vt:variant>
      <vt:variant>
        <vt:i4>1245233</vt:i4>
      </vt:variant>
      <vt:variant>
        <vt:i4>344</vt:i4>
      </vt:variant>
      <vt:variant>
        <vt:i4>0</vt:i4>
      </vt:variant>
      <vt:variant>
        <vt:i4>5</vt:i4>
      </vt:variant>
      <vt:variant>
        <vt:lpwstr/>
      </vt:variant>
      <vt:variant>
        <vt:lpwstr>_Toc262031239</vt:lpwstr>
      </vt:variant>
      <vt:variant>
        <vt:i4>1245233</vt:i4>
      </vt:variant>
      <vt:variant>
        <vt:i4>338</vt:i4>
      </vt:variant>
      <vt:variant>
        <vt:i4>0</vt:i4>
      </vt:variant>
      <vt:variant>
        <vt:i4>5</vt:i4>
      </vt:variant>
      <vt:variant>
        <vt:lpwstr/>
      </vt:variant>
      <vt:variant>
        <vt:lpwstr>_Toc262031238</vt:lpwstr>
      </vt:variant>
      <vt:variant>
        <vt:i4>1245233</vt:i4>
      </vt:variant>
      <vt:variant>
        <vt:i4>332</vt:i4>
      </vt:variant>
      <vt:variant>
        <vt:i4>0</vt:i4>
      </vt:variant>
      <vt:variant>
        <vt:i4>5</vt:i4>
      </vt:variant>
      <vt:variant>
        <vt:lpwstr/>
      </vt:variant>
      <vt:variant>
        <vt:lpwstr>_Toc262031237</vt:lpwstr>
      </vt:variant>
      <vt:variant>
        <vt:i4>1245233</vt:i4>
      </vt:variant>
      <vt:variant>
        <vt:i4>326</vt:i4>
      </vt:variant>
      <vt:variant>
        <vt:i4>0</vt:i4>
      </vt:variant>
      <vt:variant>
        <vt:i4>5</vt:i4>
      </vt:variant>
      <vt:variant>
        <vt:lpwstr/>
      </vt:variant>
      <vt:variant>
        <vt:lpwstr>_Toc262031236</vt:lpwstr>
      </vt:variant>
      <vt:variant>
        <vt:i4>1245233</vt:i4>
      </vt:variant>
      <vt:variant>
        <vt:i4>320</vt:i4>
      </vt:variant>
      <vt:variant>
        <vt:i4>0</vt:i4>
      </vt:variant>
      <vt:variant>
        <vt:i4>5</vt:i4>
      </vt:variant>
      <vt:variant>
        <vt:lpwstr/>
      </vt:variant>
      <vt:variant>
        <vt:lpwstr>_Toc262031235</vt:lpwstr>
      </vt:variant>
      <vt:variant>
        <vt:i4>1245233</vt:i4>
      </vt:variant>
      <vt:variant>
        <vt:i4>314</vt:i4>
      </vt:variant>
      <vt:variant>
        <vt:i4>0</vt:i4>
      </vt:variant>
      <vt:variant>
        <vt:i4>5</vt:i4>
      </vt:variant>
      <vt:variant>
        <vt:lpwstr/>
      </vt:variant>
      <vt:variant>
        <vt:lpwstr>_Toc262031234</vt:lpwstr>
      </vt:variant>
      <vt:variant>
        <vt:i4>1179699</vt:i4>
      </vt:variant>
      <vt:variant>
        <vt:i4>308</vt:i4>
      </vt:variant>
      <vt:variant>
        <vt:i4>0</vt:i4>
      </vt:variant>
      <vt:variant>
        <vt:i4>5</vt:i4>
      </vt:variant>
      <vt:variant>
        <vt:lpwstr/>
      </vt:variant>
      <vt:variant>
        <vt:lpwstr>_Toc262032015</vt:lpwstr>
      </vt:variant>
      <vt:variant>
        <vt:i4>1179699</vt:i4>
      </vt:variant>
      <vt:variant>
        <vt:i4>302</vt:i4>
      </vt:variant>
      <vt:variant>
        <vt:i4>0</vt:i4>
      </vt:variant>
      <vt:variant>
        <vt:i4>5</vt:i4>
      </vt:variant>
      <vt:variant>
        <vt:lpwstr/>
      </vt:variant>
      <vt:variant>
        <vt:lpwstr>_Toc262032014</vt:lpwstr>
      </vt:variant>
      <vt:variant>
        <vt:i4>1179699</vt:i4>
      </vt:variant>
      <vt:variant>
        <vt:i4>296</vt:i4>
      </vt:variant>
      <vt:variant>
        <vt:i4>0</vt:i4>
      </vt:variant>
      <vt:variant>
        <vt:i4>5</vt:i4>
      </vt:variant>
      <vt:variant>
        <vt:lpwstr/>
      </vt:variant>
      <vt:variant>
        <vt:lpwstr>_Toc262032013</vt:lpwstr>
      </vt:variant>
      <vt:variant>
        <vt:i4>1179699</vt:i4>
      </vt:variant>
      <vt:variant>
        <vt:i4>290</vt:i4>
      </vt:variant>
      <vt:variant>
        <vt:i4>0</vt:i4>
      </vt:variant>
      <vt:variant>
        <vt:i4>5</vt:i4>
      </vt:variant>
      <vt:variant>
        <vt:lpwstr/>
      </vt:variant>
      <vt:variant>
        <vt:lpwstr>_Toc262032012</vt:lpwstr>
      </vt:variant>
      <vt:variant>
        <vt:i4>1179699</vt:i4>
      </vt:variant>
      <vt:variant>
        <vt:i4>284</vt:i4>
      </vt:variant>
      <vt:variant>
        <vt:i4>0</vt:i4>
      </vt:variant>
      <vt:variant>
        <vt:i4>5</vt:i4>
      </vt:variant>
      <vt:variant>
        <vt:lpwstr/>
      </vt:variant>
      <vt:variant>
        <vt:lpwstr>_Toc262032011</vt:lpwstr>
      </vt:variant>
      <vt:variant>
        <vt:i4>1179699</vt:i4>
      </vt:variant>
      <vt:variant>
        <vt:i4>278</vt:i4>
      </vt:variant>
      <vt:variant>
        <vt:i4>0</vt:i4>
      </vt:variant>
      <vt:variant>
        <vt:i4>5</vt:i4>
      </vt:variant>
      <vt:variant>
        <vt:lpwstr/>
      </vt:variant>
      <vt:variant>
        <vt:lpwstr>_Toc262032010</vt:lpwstr>
      </vt:variant>
      <vt:variant>
        <vt:i4>1245235</vt:i4>
      </vt:variant>
      <vt:variant>
        <vt:i4>272</vt:i4>
      </vt:variant>
      <vt:variant>
        <vt:i4>0</vt:i4>
      </vt:variant>
      <vt:variant>
        <vt:i4>5</vt:i4>
      </vt:variant>
      <vt:variant>
        <vt:lpwstr/>
      </vt:variant>
      <vt:variant>
        <vt:lpwstr>_Toc262032009</vt:lpwstr>
      </vt:variant>
      <vt:variant>
        <vt:i4>1245235</vt:i4>
      </vt:variant>
      <vt:variant>
        <vt:i4>266</vt:i4>
      </vt:variant>
      <vt:variant>
        <vt:i4>0</vt:i4>
      </vt:variant>
      <vt:variant>
        <vt:i4>5</vt:i4>
      </vt:variant>
      <vt:variant>
        <vt:lpwstr/>
      </vt:variant>
      <vt:variant>
        <vt:lpwstr>_Toc262032008</vt:lpwstr>
      </vt:variant>
      <vt:variant>
        <vt:i4>1245235</vt:i4>
      </vt:variant>
      <vt:variant>
        <vt:i4>260</vt:i4>
      </vt:variant>
      <vt:variant>
        <vt:i4>0</vt:i4>
      </vt:variant>
      <vt:variant>
        <vt:i4>5</vt:i4>
      </vt:variant>
      <vt:variant>
        <vt:lpwstr/>
      </vt:variant>
      <vt:variant>
        <vt:lpwstr>_Toc262032003</vt:lpwstr>
      </vt:variant>
      <vt:variant>
        <vt:i4>1245235</vt:i4>
      </vt:variant>
      <vt:variant>
        <vt:i4>254</vt:i4>
      </vt:variant>
      <vt:variant>
        <vt:i4>0</vt:i4>
      </vt:variant>
      <vt:variant>
        <vt:i4>5</vt:i4>
      </vt:variant>
      <vt:variant>
        <vt:lpwstr/>
      </vt:variant>
      <vt:variant>
        <vt:lpwstr>_Toc262032002</vt:lpwstr>
      </vt:variant>
      <vt:variant>
        <vt:i4>1245235</vt:i4>
      </vt:variant>
      <vt:variant>
        <vt:i4>248</vt:i4>
      </vt:variant>
      <vt:variant>
        <vt:i4>0</vt:i4>
      </vt:variant>
      <vt:variant>
        <vt:i4>5</vt:i4>
      </vt:variant>
      <vt:variant>
        <vt:lpwstr/>
      </vt:variant>
      <vt:variant>
        <vt:lpwstr>_Toc262032001</vt:lpwstr>
      </vt:variant>
      <vt:variant>
        <vt:i4>1638458</vt:i4>
      </vt:variant>
      <vt:variant>
        <vt:i4>242</vt:i4>
      </vt:variant>
      <vt:variant>
        <vt:i4>0</vt:i4>
      </vt:variant>
      <vt:variant>
        <vt:i4>5</vt:i4>
      </vt:variant>
      <vt:variant>
        <vt:lpwstr/>
      </vt:variant>
      <vt:variant>
        <vt:lpwstr>_Toc262031990</vt:lpwstr>
      </vt:variant>
      <vt:variant>
        <vt:i4>1572922</vt:i4>
      </vt:variant>
      <vt:variant>
        <vt:i4>236</vt:i4>
      </vt:variant>
      <vt:variant>
        <vt:i4>0</vt:i4>
      </vt:variant>
      <vt:variant>
        <vt:i4>5</vt:i4>
      </vt:variant>
      <vt:variant>
        <vt:lpwstr/>
      </vt:variant>
      <vt:variant>
        <vt:lpwstr>_Toc262031989</vt:lpwstr>
      </vt:variant>
      <vt:variant>
        <vt:i4>1572922</vt:i4>
      </vt:variant>
      <vt:variant>
        <vt:i4>230</vt:i4>
      </vt:variant>
      <vt:variant>
        <vt:i4>0</vt:i4>
      </vt:variant>
      <vt:variant>
        <vt:i4>5</vt:i4>
      </vt:variant>
      <vt:variant>
        <vt:lpwstr/>
      </vt:variant>
      <vt:variant>
        <vt:lpwstr>_Toc262031988</vt:lpwstr>
      </vt:variant>
      <vt:variant>
        <vt:i4>1507386</vt:i4>
      </vt:variant>
      <vt:variant>
        <vt:i4>224</vt:i4>
      </vt:variant>
      <vt:variant>
        <vt:i4>0</vt:i4>
      </vt:variant>
      <vt:variant>
        <vt:i4>5</vt:i4>
      </vt:variant>
      <vt:variant>
        <vt:lpwstr/>
      </vt:variant>
      <vt:variant>
        <vt:lpwstr>_Toc262031976</vt:lpwstr>
      </vt:variant>
      <vt:variant>
        <vt:i4>1507386</vt:i4>
      </vt:variant>
      <vt:variant>
        <vt:i4>218</vt:i4>
      </vt:variant>
      <vt:variant>
        <vt:i4>0</vt:i4>
      </vt:variant>
      <vt:variant>
        <vt:i4>5</vt:i4>
      </vt:variant>
      <vt:variant>
        <vt:lpwstr/>
      </vt:variant>
      <vt:variant>
        <vt:lpwstr>_Toc262031975</vt:lpwstr>
      </vt:variant>
      <vt:variant>
        <vt:i4>1507386</vt:i4>
      </vt:variant>
      <vt:variant>
        <vt:i4>212</vt:i4>
      </vt:variant>
      <vt:variant>
        <vt:i4>0</vt:i4>
      </vt:variant>
      <vt:variant>
        <vt:i4>5</vt:i4>
      </vt:variant>
      <vt:variant>
        <vt:lpwstr/>
      </vt:variant>
      <vt:variant>
        <vt:lpwstr>_Toc262031974</vt:lpwstr>
      </vt:variant>
      <vt:variant>
        <vt:i4>1441850</vt:i4>
      </vt:variant>
      <vt:variant>
        <vt:i4>206</vt:i4>
      </vt:variant>
      <vt:variant>
        <vt:i4>0</vt:i4>
      </vt:variant>
      <vt:variant>
        <vt:i4>5</vt:i4>
      </vt:variant>
      <vt:variant>
        <vt:lpwstr/>
      </vt:variant>
      <vt:variant>
        <vt:lpwstr>_Toc262031961</vt:lpwstr>
      </vt:variant>
      <vt:variant>
        <vt:i4>1441850</vt:i4>
      </vt:variant>
      <vt:variant>
        <vt:i4>200</vt:i4>
      </vt:variant>
      <vt:variant>
        <vt:i4>0</vt:i4>
      </vt:variant>
      <vt:variant>
        <vt:i4>5</vt:i4>
      </vt:variant>
      <vt:variant>
        <vt:lpwstr/>
      </vt:variant>
      <vt:variant>
        <vt:lpwstr>_Toc262031960</vt:lpwstr>
      </vt:variant>
      <vt:variant>
        <vt:i4>1376314</vt:i4>
      </vt:variant>
      <vt:variant>
        <vt:i4>194</vt:i4>
      </vt:variant>
      <vt:variant>
        <vt:i4>0</vt:i4>
      </vt:variant>
      <vt:variant>
        <vt:i4>5</vt:i4>
      </vt:variant>
      <vt:variant>
        <vt:lpwstr/>
      </vt:variant>
      <vt:variant>
        <vt:lpwstr>_Toc262031959</vt:lpwstr>
      </vt:variant>
      <vt:variant>
        <vt:i4>1310778</vt:i4>
      </vt:variant>
      <vt:variant>
        <vt:i4>188</vt:i4>
      </vt:variant>
      <vt:variant>
        <vt:i4>0</vt:i4>
      </vt:variant>
      <vt:variant>
        <vt:i4>5</vt:i4>
      </vt:variant>
      <vt:variant>
        <vt:lpwstr/>
      </vt:variant>
      <vt:variant>
        <vt:lpwstr>_Toc262031947</vt:lpwstr>
      </vt:variant>
      <vt:variant>
        <vt:i4>1310778</vt:i4>
      </vt:variant>
      <vt:variant>
        <vt:i4>182</vt:i4>
      </vt:variant>
      <vt:variant>
        <vt:i4>0</vt:i4>
      </vt:variant>
      <vt:variant>
        <vt:i4>5</vt:i4>
      </vt:variant>
      <vt:variant>
        <vt:lpwstr/>
      </vt:variant>
      <vt:variant>
        <vt:lpwstr>_Toc262031946</vt:lpwstr>
      </vt:variant>
      <vt:variant>
        <vt:i4>1310778</vt:i4>
      </vt:variant>
      <vt:variant>
        <vt:i4>176</vt:i4>
      </vt:variant>
      <vt:variant>
        <vt:i4>0</vt:i4>
      </vt:variant>
      <vt:variant>
        <vt:i4>5</vt:i4>
      </vt:variant>
      <vt:variant>
        <vt:lpwstr/>
      </vt:variant>
      <vt:variant>
        <vt:lpwstr>_Toc262031945</vt:lpwstr>
      </vt:variant>
      <vt:variant>
        <vt:i4>1245242</vt:i4>
      </vt:variant>
      <vt:variant>
        <vt:i4>170</vt:i4>
      </vt:variant>
      <vt:variant>
        <vt:i4>0</vt:i4>
      </vt:variant>
      <vt:variant>
        <vt:i4>5</vt:i4>
      </vt:variant>
      <vt:variant>
        <vt:lpwstr/>
      </vt:variant>
      <vt:variant>
        <vt:lpwstr>_Toc262031935</vt:lpwstr>
      </vt:variant>
      <vt:variant>
        <vt:i4>1245242</vt:i4>
      </vt:variant>
      <vt:variant>
        <vt:i4>164</vt:i4>
      </vt:variant>
      <vt:variant>
        <vt:i4>0</vt:i4>
      </vt:variant>
      <vt:variant>
        <vt:i4>5</vt:i4>
      </vt:variant>
      <vt:variant>
        <vt:lpwstr/>
      </vt:variant>
      <vt:variant>
        <vt:lpwstr>_Toc262031934</vt:lpwstr>
      </vt:variant>
      <vt:variant>
        <vt:i4>1245242</vt:i4>
      </vt:variant>
      <vt:variant>
        <vt:i4>158</vt:i4>
      </vt:variant>
      <vt:variant>
        <vt:i4>0</vt:i4>
      </vt:variant>
      <vt:variant>
        <vt:i4>5</vt:i4>
      </vt:variant>
      <vt:variant>
        <vt:lpwstr/>
      </vt:variant>
      <vt:variant>
        <vt:lpwstr>_Toc262031933</vt:lpwstr>
      </vt:variant>
      <vt:variant>
        <vt:i4>1179706</vt:i4>
      </vt:variant>
      <vt:variant>
        <vt:i4>152</vt:i4>
      </vt:variant>
      <vt:variant>
        <vt:i4>0</vt:i4>
      </vt:variant>
      <vt:variant>
        <vt:i4>5</vt:i4>
      </vt:variant>
      <vt:variant>
        <vt:lpwstr/>
      </vt:variant>
      <vt:variant>
        <vt:lpwstr>_Toc262031922</vt:lpwstr>
      </vt:variant>
      <vt:variant>
        <vt:i4>1179706</vt:i4>
      </vt:variant>
      <vt:variant>
        <vt:i4>146</vt:i4>
      </vt:variant>
      <vt:variant>
        <vt:i4>0</vt:i4>
      </vt:variant>
      <vt:variant>
        <vt:i4>5</vt:i4>
      </vt:variant>
      <vt:variant>
        <vt:lpwstr/>
      </vt:variant>
      <vt:variant>
        <vt:lpwstr>_Toc262031921</vt:lpwstr>
      </vt:variant>
      <vt:variant>
        <vt:i4>1179706</vt:i4>
      </vt:variant>
      <vt:variant>
        <vt:i4>140</vt:i4>
      </vt:variant>
      <vt:variant>
        <vt:i4>0</vt:i4>
      </vt:variant>
      <vt:variant>
        <vt:i4>5</vt:i4>
      </vt:variant>
      <vt:variant>
        <vt:lpwstr/>
      </vt:variant>
      <vt:variant>
        <vt:lpwstr>_Toc262031920</vt:lpwstr>
      </vt:variant>
      <vt:variant>
        <vt:i4>1048634</vt:i4>
      </vt:variant>
      <vt:variant>
        <vt:i4>134</vt:i4>
      </vt:variant>
      <vt:variant>
        <vt:i4>0</vt:i4>
      </vt:variant>
      <vt:variant>
        <vt:i4>5</vt:i4>
      </vt:variant>
      <vt:variant>
        <vt:lpwstr/>
      </vt:variant>
      <vt:variant>
        <vt:lpwstr>_Toc262031908</vt:lpwstr>
      </vt:variant>
      <vt:variant>
        <vt:i4>1048634</vt:i4>
      </vt:variant>
      <vt:variant>
        <vt:i4>128</vt:i4>
      </vt:variant>
      <vt:variant>
        <vt:i4>0</vt:i4>
      </vt:variant>
      <vt:variant>
        <vt:i4>5</vt:i4>
      </vt:variant>
      <vt:variant>
        <vt:lpwstr/>
      </vt:variant>
      <vt:variant>
        <vt:lpwstr>_Toc262031907</vt:lpwstr>
      </vt:variant>
      <vt:variant>
        <vt:i4>1048634</vt:i4>
      </vt:variant>
      <vt:variant>
        <vt:i4>122</vt:i4>
      </vt:variant>
      <vt:variant>
        <vt:i4>0</vt:i4>
      </vt:variant>
      <vt:variant>
        <vt:i4>5</vt:i4>
      </vt:variant>
      <vt:variant>
        <vt:lpwstr/>
      </vt:variant>
      <vt:variant>
        <vt:lpwstr>_Toc262031906</vt:lpwstr>
      </vt:variant>
      <vt:variant>
        <vt:i4>1638459</vt:i4>
      </vt:variant>
      <vt:variant>
        <vt:i4>116</vt:i4>
      </vt:variant>
      <vt:variant>
        <vt:i4>0</vt:i4>
      </vt:variant>
      <vt:variant>
        <vt:i4>5</vt:i4>
      </vt:variant>
      <vt:variant>
        <vt:lpwstr/>
      </vt:variant>
      <vt:variant>
        <vt:lpwstr>_Toc262031897</vt:lpwstr>
      </vt:variant>
      <vt:variant>
        <vt:i4>1638459</vt:i4>
      </vt:variant>
      <vt:variant>
        <vt:i4>110</vt:i4>
      </vt:variant>
      <vt:variant>
        <vt:i4>0</vt:i4>
      </vt:variant>
      <vt:variant>
        <vt:i4>5</vt:i4>
      </vt:variant>
      <vt:variant>
        <vt:lpwstr/>
      </vt:variant>
      <vt:variant>
        <vt:lpwstr>_Toc262031896</vt:lpwstr>
      </vt:variant>
      <vt:variant>
        <vt:i4>1638459</vt:i4>
      </vt:variant>
      <vt:variant>
        <vt:i4>104</vt:i4>
      </vt:variant>
      <vt:variant>
        <vt:i4>0</vt:i4>
      </vt:variant>
      <vt:variant>
        <vt:i4>5</vt:i4>
      </vt:variant>
      <vt:variant>
        <vt:lpwstr/>
      </vt:variant>
      <vt:variant>
        <vt:lpwstr>_Toc262031895</vt:lpwstr>
      </vt:variant>
      <vt:variant>
        <vt:i4>1441851</vt:i4>
      </vt:variant>
      <vt:variant>
        <vt:i4>98</vt:i4>
      </vt:variant>
      <vt:variant>
        <vt:i4>0</vt:i4>
      </vt:variant>
      <vt:variant>
        <vt:i4>5</vt:i4>
      </vt:variant>
      <vt:variant>
        <vt:lpwstr/>
      </vt:variant>
      <vt:variant>
        <vt:lpwstr>_Toc262031861</vt:lpwstr>
      </vt:variant>
      <vt:variant>
        <vt:i4>1441851</vt:i4>
      </vt:variant>
      <vt:variant>
        <vt:i4>92</vt:i4>
      </vt:variant>
      <vt:variant>
        <vt:i4>0</vt:i4>
      </vt:variant>
      <vt:variant>
        <vt:i4>5</vt:i4>
      </vt:variant>
      <vt:variant>
        <vt:lpwstr/>
      </vt:variant>
      <vt:variant>
        <vt:lpwstr>_Toc262031860</vt:lpwstr>
      </vt:variant>
      <vt:variant>
        <vt:i4>1376315</vt:i4>
      </vt:variant>
      <vt:variant>
        <vt:i4>86</vt:i4>
      </vt:variant>
      <vt:variant>
        <vt:i4>0</vt:i4>
      </vt:variant>
      <vt:variant>
        <vt:i4>5</vt:i4>
      </vt:variant>
      <vt:variant>
        <vt:lpwstr/>
      </vt:variant>
      <vt:variant>
        <vt:lpwstr>_Toc262031859</vt:lpwstr>
      </vt:variant>
      <vt:variant>
        <vt:i4>1376315</vt:i4>
      </vt:variant>
      <vt:variant>
        <vt:i4>80</vt:i4>
      </vt:variant>
      <vt:variant>
        <vt:i4>0</vt:i4>
      </vt:variant>
      <vt:variant>
        <vt:i4>5</vt:i4>
      </vt:variant>
      <vt:variant>
        <vt:lpwstr/>
      </vt:variant>
      <vt:variant>
        <vt:lpwstr>_Toc262031858</vt:lpwstr>
      </vt:variant>
      <vt:variant>
        <vt:i4>1376315</vt:i4>
      </vt:variant>
      <vt:variant>
        <vt:i4>74</vt:i4>
      </vt:variant>
      <vt:variant>
        <vt:i4>0</vt:i4>
      </vt:variant>
      <vt:variant>
        <vt:i4>5</vt:i4>
      </vt:variant>
      <vt:variant>
        <vt:lpwstr/>
      </vt:variant>
      <vt:variant>
        <vt:lpwstr>_Toc262031857</vt:lpwstr>
      </vt:variant>
      <vt:variant>
        <vt:i4>1376315</vt:i4>
      </vt:variant>
      <vt:variant>
        <vt:i4>68</vt:i4>
      </vt:variant>
      <vt:variant>
        <vt:i4>0</vt:i4>
      </vt:variant>
      <vt:variant>
        <vt:i4>5</vt:i4>
      </vt:variant>
      <vt:variant>
        <vt:lpwstr/>
      </vt:variant>
      <vt:variant>
        <vt:lpwstr>_Toc262031854</vt:lpwstr>
      </vt:variant>
      <vt:variant>
        <vt:i4>1376315</vt:i4>
      </vt:variant>
      <vt:variant>
        <vt:i4>62</vt:i4>
      </vt:variant>
      <vt:variant>
        <vt:i4>0</vt:i4>
      </vt:variant>
      <vt:variant>
        <vt:i4>5</vt:i4>
      </vt:variant>
      <vt:variant>
        <vt:lpwstr/>
      </vt:variant>
      <vt:variant>
        <vt:lpwstr>_Toc262031853</vt:lpwstr>
      </vt:variant>
      <vt:variant>
        <vt:i4>1376315</vt:i4>
      </vt:variant>
      <vt:variant>
        <vt:i4>56</vt:i4>
      </vt:variant>
      <vt:variant>
        <vt:i4>0</vt:i4>
      </vt:variant>
      <vt:variant>
        <vt:i4>5</vt:i4>
      </vt:variant>
      <vt:variant>
        <vt:lpwstr/>
      </vt:variant>
      <vt:variant>
        <vt:lpwstr>_Toc262031852</vt:lpwstr>
      </vt:variant>
      <vt:variant>
        <vt:i4>1376315</vt:i4>
      </vt:variant>
      <vt:variant>
        <vt:i4>50</vt:i4>
      </vt:variant>
      <vt:variant>
        <vt:i4>0</vt:i4>
      </vt:variant>
      <vt:variant>
        <vt:i4>5</vt:i4>
      </vt:variant>
      <vt:variant>
        <vt:lpwstr/>
      </vt:variant>
      <vt:variant>
        <vt:lpwstr>_Toc262031851</vt:lpwstr>
      </vt:variant>
      <vt:variant>
        <vt:i4>1376315</vt:i4>
      </vt:variant>
      <vt:variant>
        <vt:i4>44</vt:i4>
      </vt:variant>
      <vt:variant>
        <vt:i4>0</vt:i4>
      </vt:variant>
      <vt:variant>
        <vt:i4>5</vt:i4>
      </vt:variant>
      <vt:variant>
        <vt:lpwstr/>
      </vt:variant>
      <vt:variant>
        <vt:lpwstr>_Toc262031850</vt:lpwstr>
      </vt:variant>
      <vt:variant>
        <vt:i4>1310779</vt:i4>
      </vt:variant>
      <vt:variant>
        <vt:i4>38</vt:i4>
      </vt:variant>
      <vt:variant>
        <vt:i4>0</vt:i4>
      </vt:variant>
      <vt:variant>
        <vt:i4>5</vt:i4>
      </vt:variant>
      <vt:variant>
        <vt:lpwstr/>
      </vt:variant>
      <vt:variant>
        <vt:lpwstr>_Toc262031844</vt:lpwstr>
      </vt:variant>
      <vt:variant>
        <vt:i4>1310779</vt:i4>
      </vt:variant>
      <vt:variant>
        <vt:i4>32</vt:i4>
      </vt:variant>
      <vt:variant>
        <vt:i4>0</vt:i4>
      </vt:variant>
      <vt:variant>
        <vt:i4>5</vt:i4>
      </vt:variant>
      <vt:variant>
        <vt:lpwstr/>
      </vt:variant>
      <vt:variant>
        <vt:lpwstr>_Toc262031843</vt:lpwstr>
      </vt:variant>
      <vt:variant>
        <vt:i4>1310779</vt:i4>
      </vt:variant>
      <vt:variant>
        <vt:i4>26</vt:i4>
      </vt:variant>
      <vt:variant>
        <vt:i4>0</vt:i4>
      </vt:variant>
      <vt:variant>
        <vt:i4>5</vt:i4>
      </vt:variant>
      <vt:variant>
        <vt:lpwstr/>
      </vt:variant>
      <vt:variant>
        <vt:lpwstr>_Toc262031842</vt:lpwstr>
      </vt:variant>
      <vt:variant>
        <vt:i4>1310779</vt:i4>
      </vt:variant>
      <vt:variant>
        <vt:i4>20</vt:i4>
      </vt:variant>
      <vt:variant>
        <vt:i4>0</vt:i4>
      </vt:variant>
      <vt:variant>
        <vt:i4>5</vt:i4>
      </vt:variant>
      <vt:variant>
        <vt:lpwstr/>
      </vt:variant>
      <vt:variant>
        <vt:lpwstr>_Toc262031841</vt:lpwstr>
      </vt:variant>
      <vt:variant>
        <vt:i4>1310779</vt:i4>
      </vt:variant>
      <vt:variant>
        <vt:i4>14</vt:i4>
      </vt:variant>
      <vt:variant>
        <vt:i4>0</vt:i4>
      </vt:variant>
      <vt:variant>
        <vt:i4>5</vt:i4>
      </vt:variant>
      <vt:variant>
        <vt:lpwstr/>
      </vt:variant>
      <vt:variant>
        <vt:lpwstr>_Toc262031840</vt:lpwstr>
      </vt:variant>
      <vt:variant>
        <vt:i4>1245243</vt:i4>
      </vt:variant>
      <vt:variant>
        <vt:i4>8</vt:i4>
      </vt:variant>
      <vt:variant>
        <vt:i4>0</vt:i4>
      </vt:variant>
      <vt:variant>
        <vt:i4>5</vt:i4>
      </vt:variant>
      <vt:variant>
        <vt:lpwstr/>
      </vt:variant>
      <vt:variant>
        <vt:lpwstr>_Toc262031839</vt:lpwstr>
      </vt:variant>
      <vt:variant>
        <vt:i4>1245243</vt:i4>
      </vt:variant>
      <vt:variant>
        <vt:i4>2</vt:i4>
      </vt:variant>
      <vt:variant>
        <vt:i4>0</vt:i4>
      </vt:variant>
      <vt:variant>
        <vt:i4>5</vt:i4>
      </vt:variant>
      <vt:variant>
        <vt:lpwstr/>
      </vt:variant>
      <vt:variant>
        <vt:lpwstr>_Toc262031838</vt:lpwstr>
      </vt:variant>
      <vt:variant>
        <vt:i4>7667828</vt:i4>
      </vt:variant>
      <vt:variant>
        <vt:i4>-1</vt:i4>
      </vt:variant>
      <vt:variant>
        <vt:i4>1026</vt:i4>
      </vt:variant>
      <vt:variant>
        <vt:i4>1</vt:i4>
      </vt:variant>
      <vt:variant>
        <vt:lpwstr>http://www.silesia-region.pl/STRATEGIA/strat_2_1/07.jpg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KOŃCOWE SPRAWOZDANIE Z REALIZACJI 
REGIONALNEGO PROGRAMU OPERACYJNEGO WOJEWÓDZTWA ŚLĄSKIEGO NA LATA 2007-2013</dc:title>
  <dc:creator>Gosi</dc:creator>
  <cp:lastModifiedBy>RRF</cp:lastModifiedBy>
  <cp:revision>42</cp:revision>
  <cp:lastPrinted>2017-03-09T13:38:00Z</cp:lastPrinted>
  <dcterms:created xsi:type="dcterms:W3CDTF">2017-03-20T13:02:00Z</dcterms:created>
  <dcterms:modified xsi:type="dcterms:W3CDTF">2017-03-23T07:03:00Z</dcterms:modified>
</cp:coreProperties>
</file>